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17" w:rsidRDefault="00CD46F9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</w:rPr>
        <w:t>Illllllllllllllllllllll</w:t>
      </w:r>
      <w:bookmarkEnd w:id="0"/>
      <w:proofErr w:type="spellEnd"/>
    </w:p>
    <w:p w:rsidR="009E5D17" w:rsidRDefault="00CD46F9">
      <w:pPr>
        <w:pStyle w:val="Zkladntext20"/>
        <w:spacing w:line="240" w:lineRule="auto"/>
        <w:ind w:right="620" w:firstLine="0"/>
        <w:jc w:val="right"/>
      </w:pPr>
      <w:r>
        <w:rPr>
          <w:rStyle w:val="Zkladntext2"/>
        </w:rPr>
        <w:t>2024008769</w:t>
      </w:r>
    </w:p>
    <w:p w:rsidR="009E5D17" w:rsidRDefault="00CD46F9">
      <w:pPr>
        <w:pStyle w:val="Zkladntext1"/>
        <w:spacing w:line="226" w:lineRule="auto"/>
        <w:jc w:val="center"/>
      </w:pPr>
      <w:r>
        <w:rPr>
          <w:rStyle w:val="Zkladntext"/>
          <w:b/>
          <w:bCs/>
          <w:u w:val="single"/>
        </w:rPr>
        <w:t>RÁMCOVÁ KUPNÍ SMLOUVA</w:t>
      </w:r>
    </w:p>
    <w:p w:rsidR="009E5D17" w:rsidRDefault="00CD46F9">
      <w:pPr>
        <w:pStyle w:val="Zkladntext1"/>
        <w:spacing w:after="400" w:line="312" w:lineRule="auto"/>
        <w:ind w:left="2000" w:hanging="130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139"/>
      </w:tblGrid>
      <w:tr w:rsidR="009E5D1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39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90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</w:t>
            </w:r>
            <w:r>
              <w:rPr>
                <w:rStyle w:val="Jin"/>
                <w:b/>
                <w:bCs/>
              </w:rPr>
              <w:t xml:space="preserve"> organizace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39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39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39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</w:t>
            </w:r>
            <w:r>
              <w:rPr>
                <w:rStyle w:val="Jin"/>
              </w:rPr>
              <w:t xml:space="preserve">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39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9E5D17" w:rsidRDefault="00CD46F9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</w:t>
      </w:r>
      <w:proofErr w:type="gramStart"/>
      <w:r>
        <w:rPr>
          <w:rStyle w:val="Titulektabulky"/>
          <w:b/>
          <w:bCs/>
          <w:i/>
          <w:iCs/>
        </w:rPr>
        <w:t>kupující )</w:t>
      </w:r>
      <w:proofErr w:type="gramEnd"/>
    </w:p>
    <w:p w:rsidR="009E5D17" w:rsidRDefault="009E5D17">
      <w:pPr>
        <w:spacing w:after="279" w:line="1" w:lineRule="exact"/>
      </w:pPr>
    </w:p>
    <w:p w:rsidR="009E5D17" w:rsidRDefault="009E5D1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134"/>
      </w:tblGrid>
      <w:tr w:rsidR="009E5D1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200" w:line="240" w:lineRule="auto"/>
            </w:pPr>
            <w:r>
              <w:rPr>
                <w:rStyle w:val="Jin"/>
              </w:rPr>
              <w:t>a</w:t>
            </w:r>
          </w:p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34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MSM, spol. s r.o.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34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Lhota u Příbramě 13, 261 01 Příbram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34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Mgr. Jaroslav </w:t>
            </w:r>
            <w:proofErr w:type="spellStart"/>
            <w:r>
              <w:rPr>
                <w:rStyle w:val="Jin"/>
              </w:rPr>
              <w:t>Bauš</w:t>
            </w:r>
            <w:proofErr w:type="spellEnd"/>
            <w:r>
              <w:rPr>
                <w:rStyle w:val="Jin"/>
              </w:rPr>
              <w:t>, jednatel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Kontaktní </w:t>
            </w:r>
            <w:r>
              <w:rPr>
                <w:rStyle w:val="Jin"/>
              </w:rPr>
              <w:t>osoba:</w:t>
            </w:r>
          </w:p>
        </w:tc>
        <w:tc>
          <w:tcPr>
            <w:tcW w:w="6134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</w:t>
            </w:r>
            <w:proofErr w:type="gramEnd"/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134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47546999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34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CZ47546999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35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34" w:type="dxa"/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Městský soud v Praze, </w:t>
            </w:r>
            <w:proofErr w:type="spellStart"/>
            <w:r>
              <w:rPr>
                <w:rStyle w:val="Jin"/>
              </w:rPr>
              <w:t>ood.C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vl</w:t>
            </w:r>
            <w:proofErr w:type="spellEnd"/>
            <w:r>
              <w:rPr>
                <w:rStyle w:val="Jin"/>
              </w:rPr>
              <w:t>. 19801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35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34" w:type="dxa"/>
            <w:shd w:val="clear" w:color="auto" w:fill="auto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Komerční banka, a.s., pobočka Příbram,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>. 878880237/0100</w:t>
            </w:r>
            <w:proofErr w:type="gramEnd"/>
          </w:p>
        </w:tc>
      </w:tr>
    </w:tbl>
    <w:p w:rsidR="009E5D17" w:rsidRDefault="00CD46F9">
      <w:pPr>
        <w:pStyle w:val="Titulektabulky0"/>
        <w:ind w:left="1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„prodávající“)</w:t>
      </w:r>
    </w:p>
    <w:p w:rsidR="009E5D17" w:rsidRDefault="009E5D17">
      <w:pPr>
        <w:spacing w:after="679" w:line="1" w:lineRule="exact"/>
      </w:pP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spacing w:line="283" w:lineRule="auto"/>
        <w:ind w:left="400" w:hanging="400"/>
        <w:jc w:val="both"/>
      </w:pPr>
      <w:r>
        <w:rPr>
          <w:rStyle w:val="Zkladntext"/>
        </w:rPr>
        <w:t xml:space="preserve">Prodávající je oprávněn na základě svého vlastnického práva nakládat se zbožím v podobě: </w:t>
      </w:r>
      <w:proofErr w:type="spellStart"/>
      <w:r>
        <w:rPr>
          <w:rStyle w:val="Zkladntext"/>
          <w:b/>
          <w:bCs/>
        </w:rPr>
        <w:t>předplněných</w:t>
      </w:r>
      <w:proofErr w:type="spellEnd"/>
      <w:r>
        <w:rPr>
          <w:rStyle w:val="Zkladntext"/>
          <w:b/>
          <w:bCs/>
        </w:rPr>
        <w:t xml:space="preserve"> stříkaček s fyziologickým roztokem, </w:t>
      </w:r>
      <w:r>
        <w:rPr>
          <w:rStyle w:val="Zkladntext"/>
        </w:rPr>
        <w:t>jejichž bližší specifikace je uvedena v příloze č. 1 této smlouvy.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Prodávající se zavazuje dodávat zboží podle čl. 1 </w:t>
      </w:r>
      <w:r>
        <w:rPr>
          <w:rStyle w:val="Zkladntext"/>
        </w:rPr>
        <w:t>této smlouvy kupujícímu a převádět na Jihomoravský kraj, jako jeho zřizovatele, vlastnické právo k tomuto zboží, a to v rozsahu dle jednotlivých dílčích kupních smluv. Jednotlivá dílčí kupní smlouva se přitom považuje za uzavřenou doručením jednotlivé píse</w:t>
      </w:r>
      <w:r>
        <w:rPr>
          <w:rStyle w:val="Zkladntext"/>
        </w:rPr>
        <w:t>mné výzvy (objednávky) do rukou prodávajícího, a to ve znění, daném touto výzvou (objednávkou) a touto rámcovou kupní smlouvou. Výzva (objednávka) kupujícího musí obsahovat vždy údaj o množství objednaného zboží, datum a jméno kupujícího. Výzvu (objednávku</w:t>
      </w:r>
      <w:r>
        <w:rPr>
          <w:rStyle w:val="Zkladntext"/>
        </w:rPr>
        <w:t>) kupujícího lze učinit i elektronickou formou (e-mailem).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Součástí dodávky zboží podle čl. 1 a čl. 2 této smlouvy je vždy předání veškerých písemných dokladů, které jsou potřebné k používání tohoto zboží. Prodávající je povinen dodat kupujícímu nové zboží</w:t>
      </w:r>
      <w:r>
        <w:rPr>
          <w:rStyle w:val="Zkladntext"/>
        </w:rPr>
        <w:t xml:space="preserve"> s minimální skladovací životností 24 měsíců od doby dodání. Dodané zboží musí splňovat požadavky na jakost, neporušenost balení a řádné označení dle platných právních předpisů.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Prodávající se zavazuje plnit svůj závazek k dodání zboží podle čl. 1 této sml</w:t>
      </w:r>
      <w:r>
        <w:rPr>
          <w:rStyle w:val="Zkladntext"/>
        </w:rPr>
        <w:t xml:space="preserve">ouvy vždy nejpozději </w:t>
      </w:r>
      <w:proofErr w:type="gramStart"/>
      <w:r>
        <w:rPr>
          <w:rStyle w:val="Zkladntext"/>
        </w:rPr>
        <w:t xml:space="preserve">do </w:t>
      </w:r>
      <w:r>
        <w:rPr>
          <w:rStyle w:val="Zkladntext"/>
          <w:b/>
          <w:bCs/>
        </w:rPr>
        <w:t>5-ti</w:t>
      </w:r>
      <w:proofErr w:type="gramEnd"/>
      <w:r>
        <w:rPr>
          <w:rStyle w:val="Zkladntext"/>
          <w:b/>
          <w:bCs/>
        </w:rPr>
        <w:t xml:space="preserve"> pracovních dní </w:t>
      </w:r>
      <w:r>
        <w:rPr>
          <w:rStyle w:val="Zkladntext"/>
        </w:rPr>
        <w:t>ode dne účinnosti příslušné dílčí kupní smlouvy, nebude-li dohodnuto jinak. Místem splnění tohoto závazku prodávajícího je centrální sklad v sídle kupujícího.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Závazek prodávajícího k dodávce zboží podle čl. 1 tét</w:t>
      </w:r>
      <w:r>
        <w:rPr>
          <w:rStyle w:val="Zkladntext"/>
        </w:rPr>
        <w:t>o smlouvy se považuje v každém jednotlivém případě za splněný předáním a převzetím příslušného zboží, prostého všech vad, formou písemného předávacího protokolu, podepsaného oběma stranami.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lastRenderedPageBreak/>
        <w:t>Nebezpečí škody na převáděném zboží podle čl. 1 této smlouvy a vla</w:t>
      </w:r>
      <w:r>
        <w:rPr>
          <w:rStyle w:val="Zkladntext"/>
        </w:rPr>
        <w:t>stnické právo k tomuto zboží přechází z prodávajícího na kupujícího dnem faktického převzetí tohoto zboží.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Kupující se zavazuje zaplatit prodávajícímu za předmět koupě a prodeje podle čl. 1 této smlouvy kupní cenu ve výši dle tohoto článku této smlouvy. Ku</w:t>
      </w:r>
      <w:r>
        <w:rPr>
          <w:rStyle w:val="Zkladntext"/>
        </w:rPr>
        <w:t>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</w:t>
      </w:r>
      <w:r>
        <w:rPr>
          <w:rStyle w:val="Zkladntext"/>
        </w:rPr>
        <w:t>vajícího na splnění jeho závazku k dodání zboží podle této smlouvy. Výše uvedené ceny se prodávající zavazuje garantovat po dobu podle čl. 20 této smlouvy. Změna ceny je možná pouze v případě zákonné změny sazby DPH.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Kupní cena podle čl. 7 této smlouvy je </w:t>
      </w:r>
      <w:r>
        <w:rPr>
          <w:rStyle w:val="Zkladntext"/>
        </w:rPr>
        <w:t>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</w:t>
      </w:r>
      <w:r>
        <w:rPr>
          <w:rStyle w:val="Zkladntext"/>
        </w:rPr>
        <w:t xml:space="preserve">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Zkladntext"/>
          <w:color w:val="7D93BD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P24V00003520. </w:t>
      </w:r>
      <w:r>
        <w:rPr>
          <w:rStyle w:val="Zkladntext"/>
        </w:rPr>
        <w:t xml:space="preserve">Součástí faktury bude rovněž kopie podepsaného </w:t>
      </w:r>
      <w:r>
        <w:rPr>
          <w:rStyle w:val="Zkladntext"/>
        </w:rPr>
        <w:t>předávacího protokolu dle čl. 5 této smlouvy. Nebude-li faktura splňovat veškeré náležitosti daňového dokladu podle zákona a další náležitosti podle této smlouvy, je objednatel oprávněn vrátit takovou fakturu prodávajícímu k opravě, přičemž doba její splat</w:t>
      </w:r>
      <w:r>
        <w:rPr>
          <w:rStyle w:val="Zkladntext"/>
        </w:rPr>
        <w:t>nosti začne znovu celá běžet ode dne doručení opravené faktury objednateli.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příslušného zboží. V rámci záruky se prodávající zavazuje, ž</w:t>
      </w:r>
      <w:r>
        <w:rPr>
          <w:rStyle w:val="Zkladntext"/>
        </w:rPr>
        <w:t>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</w:t>
      </w:r>
      <w:r>
        <w:rPr>
          <w:rStyle w:val="Zkladntext"/>
        </w:rPr>
        <w:t xml:space="preserve">t vady, které se na zboží podle čl. 1 této smlouvy vyskytnou, a to ve lhůtě do 3 pracovních dnů od </w:t>
      </w:r>
      <w:proofErr w:type="gramStart"/>
      <w:r>
        <w:rPr>
          <w:rStyle w:val="Zkladntext"/>
        </w:rPr>
        <w:t>doručeni</w:t>
      </w:r>
      <w:proofErr w:type="gramEnd"/>
      <w:r>
        <w:rPr>
          <w:rStyle w:val="Zkladntext"/>
        </w:rPr>
        <w:t xml:space="preserve"> příslušné písemné nebo e-mailové reklamace kupujícího, pokud nebude dohodnuto jinak. Vzhledem k povaze zboží podle čl. 1 této smlouvy lze přitom ods</w:t>
      </w:r>
      <w:r>
        <w:rPr>
          <w:rStyle w:val="Zkladntext"/>
        </w:rPr>
        <w:t>tranění vady provést jen výměnou vadného zboží za nové bezvadné.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 případ sporu o oprávněnost reklamace se prodávajícímu vyhrazuje právo nechat vyhotovit k prověření jakosti zboží soudně znalecký posudek, jehož výroku se obě strany zavazují podřizovat s </w:t>
      </w:r>
      <w:r>
        <w:rPr>
          <w:rStyle w:val="Zkladntext"/>
        </w:rPr>
        <w:t>tím, že náklady na vyhotovení tohoto posudku se zavazuje nést ten účastník tohoto sporu, kterému tento posudek nedal zapravdu.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Neodstraní-li prodávající vady zboží ve lhůtě podle čl. 9 této smlouvy nebo v něm z důvodů na své straně nepokračuje, a to ani po</w:t>
      </w:r>
      <w:r>
        <w:rPr>
          <w:rStyle w:val="Zkladntext"/>
        </w:rPr>
        <w:t xml:space="preserve"> písemné výzvě ze strany kupujícího, je kupující oprávněn nechat provést toto odstranění třetí osobou na náklady prodávajícího.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</w:t>
      </w:r>
      <w:r>
        <w:rPr>
          <w:rStyle w:val="Zkladntext"/>
        </w:rPr>
        <w:t>latit kupujícímu smluvní pokutu ve výši 0,1 % z kupní ceny bez DPH nedodané části zboží podle čl. 7 této smlouvy, za každý započatý den tohoto prodlení. Pro případ prodlení s odstraněním vady ve lhůtě podle čl. 9 této smlouvy se prodávající zavazuje platit</w:t>
      </w:r>
      <w:r>
        <w:rPr>
          <w:rStyle w:val="Zkladntext"/>
        </w:rPr>
        <w:t xml:space="preserve">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</w:t>
      </w:r>
      <w:r>
        <w:rPr>
          <w:rStyle w:val="Zkladntext"/>
        </w:rPr>
        <w:t>e aplikace § 2050 na vztah mezi oběma stranami podle této smlouvy.</w:t>
      </w:r>
      <w:r>
        <w:br w:type="page"/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lastRenderedPageBreak/>
        <w:t>Pro případ prodlení se splněním jeho závazku k dodání zboží ve lhůtě podle čl. 4 této smlouvy o více, než 1 týden nebo pro případ výskytu neodstranitelné vady resp. výskytu 3 a více vad na</w:t>
      </w:r>
      <w:r>
        <w:rPr>
          <w:rStyle w:val="Zkladntext"/>
        </w:rPr>
        <w:t xml:space="preserve"> jednom kusu zboží, a to i postupně, je kupující oprávněn odstoupit od jednotlivé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prodlení kupujícího se zaplacením kupní ceny nebo její části ve lhůtě podle čl. 8 této smlouvy ó víc, než 2</w:t>
      </w:r>
      <w:r>
        <w:rPr>
          <w:rStyle w:val="Zkladntext"/>
        </w:rPr>
        <w:t xml:space="preserve"> týdny, je prodávající oprávněn od jednotlivé dílčí kupní smlouvy i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</w:t>
      </w:r>
      <w:r>
        <w:rPr>
          <w:rStyle w:val="Zkladntext"/>
        </w:rPr>
        <w:t>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Tato smlouva se uzavírá na základě n</w:t>
      </w:r>
      <w:r>
        <w:rPr>
          <w:rStyle w:val="Zkladntext"/>
        </w:rPr>
        <w:t>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</w:t>
      </w:r>
      <w:r>
        <w:rPr>
          <w:rStyle w:val="Zkladntext"/>
        </w:rPr>
        <w:t xml:space="preserve"> smyslu § 1740 odst. 3 občanského zákoníku.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doplňuje, mění, nahrazuje nebo ruší, a to zejména prostřednict</w:t>
      </w:r>
      <w:r>
        <w:rPr>
          <w:rStyle w:val="Zkladntext"/>
        </w:rPr>
        <w:t>vím Registru smluv v souladu se zákonem č. 340/2015 Sb., o registru smluv, ve znění pozdějších předpisů. Smluvní strany se dohodly, že uveřejnění smlouvy zajistí kupující.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Tuto smlouvu lze změnit nebo zrušit pouze jinou písemnou dohodou obou smluvních stra</w:t>
      </w:r>
      <w:r>
        <w:rPr>
          <w:rStyle w:val="Zkladntext"/>
        </w:rPr>
        <w:t xml:space="preserve">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výpovědi druhé smluvní straně.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Tato smlouva nabývá účinnosti po jejím podpisu oběma smluvními stranam</w:t>
      </w:r>
      <w:r>
        <w:rPr>
          <w:rStyle w:val="Zkladntext"/>
        </w:rPr>
        <w:t xml:space="preserve">i dnem jejího uveřejnění v Registru smluv, nejdříve však </w:t>
      </w:r>
      <w:proofErr w:type="gramStart"/>
      <w:r>
        <w:rPr>
          <w:rStyle w:val="Zkladntext"/>
        </w:rPr>
        <w:t>1.1. 2025</w:t>
      </w:r>
      <w:proofErr w:type="gramEnd"/>
      <w:r>
        <w:rPr>
          <w:rStyle w:val="Zkladntext"/>
        </w:rPr>
        <w:t>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jc w:val="both"/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31.12.2025</w:t>
      </w:r>
      <w:proofErr w:type="gramEnd"/>
      <w:r>
        <w:rPr>
          <w:rStyle w:val="Zkladntext"/>
          <w:b/>
          <w:bCs/>
        </w:rPr>
        <w:t>.</w:t>
      </w:r>
    </w:p>
    <w:p w:rsidR="009E5D17" w:rsidRDefault="00CD46F9">
      <w:pPr>
        <w:pStyle w:val="Zkladntext1"/>
        <w:numPr>
          <w:ilvl w:val="0"/>
          <w:numId w:val="1"/>
        </w:numPr>
        <w:tabs>
          <w:tab w:val="left" w:pos="418"/>
        </w:tabs>
        <w:spacing w:after="360"/>
        <w:ind w:left="400" w:hanging="400"/>
        <w:jc w:val="both"/>
      </w:pPr>
      <w:r>
        <w:rPr>
          <w:rStyle w:val="Zkladntext"/>
        </w:rPr>
        <w:t>Tato smlouva se vyhotovuje ve dvou stejnopisech splatností originálu, z nichž každá ze smluvních stran obdrží jedno vyhotovení.</w:t>
      </w:r>
      <w:r>
        <w:rPr>
          <w:rStyle w:val="Zkladntext"/>
        </w:rPr>
        <w:t xml:space="preserve"> V případě, že je tato smlouva uzavřena elektronickými prostředky, obdrží každá smluvní strana jeden identický elektronický soubor.</w:t>
      </w:r>
    </w:p>
    <w:p w:rsidR="009E5D17" w:rsidRDefault="00CD46F9">
      <w:pPr>
        <w:pStyle w:val="Zkladntext1"/>
        <w:spacing w:after="52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12700</wp:posOffset>
                </wp:positionV>
                <wp:extent cx="1100455" cy="1492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5D17" w:rsidRDefault="00CD46F9">
                            <w:pPr>
                              <w:pStyle w:val="Zkladntext1"/>
                              <w:tabs>
                                <w:tab w:val="left" w:leader="dot" w:pos="1690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 w:rsidR="00B07592"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gramStart"/>
                            <w:r w:rsidR="00B07592">
                              <w:rPr>
                                <w:rStyle w:val="Zkladntext"/>
                              </w:rPr>
                              <w:t>30.10.2024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9.45pt;margin-top:1pt;width:86.65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" filled="f" stroked="f">
                <v:textbox inset="0,0,0,0">
                  <w:txbxContent>
                    <w:p w:rsidR="009E5D17" w:rsidRDefault="00CD46F9">
                      <w:pPr>
                        <w:pStyle w:val="Zkladntext1"/>
                        <w:tabs>
                          <w:tab w:val="left" w:leader="dot" w:pos="1690"/>
                        </w:tabs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 Brně dne</w:t>
                      </w:r>
                      <w:r w:rsidR="00B07592">
                        <w:rPr>
                          <w:rStyle w:val="Zkladntext"/>
                        </w:rPr>
                        <w:t xml:space="preserve"> </w:t>
                      </w:r>
                      <w:proofErr w:type="gramStart"/>
                      <w:r w:rsidR="00B07592">
                        <w:rPr>
                          <w:rStyle w:val="Zkladntext"/>
                        </w:rPr>
                        <w:t>30.10.2024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" distB="621665" distL="172085" distR="1056005" simplePos="0" relativeHeight="125829380" behindDoc="0" locked="0" layoutInCell="1" allowOverlap="1">
                <wp:simplePos x="0" y="0"/>
                <wp:positionH relativeFrom="page">
                  <wp:posOffset>4145280</wp:posOffset>
                </wp:positionH>
                <wp:positionV relativeFrom="paragraph">
                  <wp:posOffset>399415</wp:posOffset>
                </wp:positionV>
                <wp:extent cx="853440" cy="597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5D17" w:rsidRDefault="00CD46F9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Jaroslav</w:t>
                            </w:r>
                            <w:r>
                              <w:rPr>
                                <w:rStyle w:val="Zkladntext3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Bauš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6.40000000000003pt;margin-top:31.449999999999999pt;width:67.200000000000003pt;height:47.050000000000004pt;z-index:-125829373;mso-wrap-distance-left:13.550000000000001pt;mso-wrap-distance-top:1.45pt;mso-wrap-distance-right:83.150000000000006pt;mso-wrap-distance-bottom:48.95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Jaroslav</w:t>
                        <w:br/>
                        <w:t>Bauš /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73735" distL="1001395" distR="113665" simplePos="0" relativeHeight="125829382" behindDoc="0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381000</wp:posOffset>
                </wp:positionV>
                <wp:extent cx="966470" cy="5638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5D17" w:rsidRDefault="00CD46F9">
                            <w:pPr>
                              <w:pStyle w:val="Zkladntext2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 xml:space="preserve">i Digitálně podepsal ^Jaroslav </w:t>
                            </w:r>
                            <w:proofErr w:type="spellStart"/>
                            <w:r>
                              <w:rPr>
                                <w:rStyle w:val="Zkladntext2"/>
                              </w:rPr>
                              <w:t>Bauš</w:t>
                            </w:r>
                            <w:proofErr w:type="spellEnd"/>
                          </w:p>
                          <w:p w:rsidR="009E5D17" w:rsidRDefault="00CD46F9">
                            <w:pPr>
                              <w:pStyle w:val="Zkladntext20"/>
                              <w:ind w:firstLine="140"/>
                            </w:pPr>
                            <w:r>
                              <w:rPr>
                                <w:rStyle w:val="Zkladntext2"/>
                              </w:rPr>
                              <w:t>Datum: 2024.10.21</w:t>
                            </w:r>
                          </w:p>
                          <w:p w:rsidR="009E5D17" w:rsidRDefault="00CD46F9">
                            <w:pPr>
                              <w:pStyle w:val="Zkladntext20"/>
                              <w:ind w:firstLine="140"/>
                            </w:pPr>
                            <w:r>
                              <w:rPr>
                                <w:rStyle w:val="Zkladntext2"/>
                              </w:rPr>
                              <w:t>07:54:04+02'00'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1.69999999999999pt;margin-top:30.pt;width:76.100000000000009pt;height:44.399999999999999pt;z-index:-125829371;mso-wrap-distance-left:78.850000000000009pt;mso-wrap-distance-right:8.9500000000000011pt;mso-wrap-distance-bottom:53.05000000000000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i Digitálně podepsal ^Jaroslav Bauš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40"/>
                        <w:jc w:val="left"/>
                      </w:pPr>
                      <w:r>
                        <w:rPr>
                          <w:rStyle w:val="CharStyle7"/>
                        </w:rPr>
                        <w:t>Datum: 2024.10.21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40"/>
                        <w:jc w:val="left"/>
                      </w:pPr>
                      <w:r>
                        <w:rPr>
                          <w:rStyle w:val="CharStyle7"/>
                        </w:rPr>
                        <w:t>07:54:04+02'00'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935" distB="0" distL="114300" distR="876300" simplePos="0" relativeHeight="125829384" behindDoc="0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1130935</wp:posOffset>
                </wp:positionV>
                <wp:extent cx="1090930" cy="4876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5D17" w:rsidRDefault="00CD46F9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 xml:space="preserve">Mgr. Jaroslav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Bauš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1.85000000000002pt;margin-top:89.049999999999997pt;width:85.900000000000006pt;height:38.399999999999999pt;z-index:-125829369;mso-wrap-distance-left:9.pt;mso-wrap-distance-top:59.050000000000004pt;mso-wrap-distance-right:6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Mgr. Jaroslav Bauš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Ve Příbrami dne </w:t>
      </w:r>
      <w:proofErr w:type="gramStart"/>
      <w:r>
        <w:rPr>
          <w:rStyle w:val="Zkladntext"/>
        </w:rPr>
        <w:t>21.10.2024</w:t>
      </w:r>
      <w:proofErr w:type="gramEnd"/>
    </w:p>
    <w:p w:rsidR="009E5D17" w:rsidRDefault="00CD46F9">
      <w:pPr>
        <w:pStyle w:val="Nadpis20"/>
        <w:keepNext/>
        <w:keepLines/>
      </w:pPr>
      <w:bookmarkStart w:id="1" w:name="bookmark2"/>
      <w:r>
        <w:rPr>
          <w:rStyle w:val="Nadpis2"/>
        </w:rPr>
        <w:t xml:space="preserve">A /I1 IJT </w:t>
      </w:r>
      <w:r>
        <w:rPr>
          <w:rStyle w:val="Nadpis2"/>
          <w:i/>
          <w:iCs/>
        </w:rPr>
        <w:t>v</w:t>
      </w:r>
      <w:r>
        <w:rPr>
          <w:rStyle w:val="Nadpis2"/>
        </w:rPr>
        <w:t xml:space="preserve"> </w:t>
      </w:r>
      <w:r>
        <w:rPr>
          <w:rStyle w:val="Nadpis2"/>
          <w:u w:val="single"/>
        </w:rPr>
        <w:t>I 1</w:t>
      </w:r>
      <w:r>
        <w:rPr>
          <w:rStyle w:val="Nadpis2"/>
        </w:rPr>
        <w:t xml:space="preserve"> -i n 4. </w:t>
      </w:r>
      <w:r>
        <w:rPr>
          <w:rStyle w:val="Nadpis2"/>
          <w:sz w:val="15"/>
          <w:szCs w:val="15"/>
        </w:rPr>
        <w:t xml:space="preserve">Digitálně podepsal MUDr. </w:t>
      </w:r>
      <w:proofErr w:type="spellStart"/>
      <w:r>
        <w:rPr>
          <w:rStyle w:val="Nadpis2"/>
        </w:rPr>
        <w:t>iviuuí</w:t>
      </w:r>
      <w:proofErr w:type="spellEnd"/>
      <w:r>
        <w:rPr>
          <w:rStyle w:val="Nadpis2"/>
        </w:rPr>
        <w:t xml:space="preserve">. </w:t>
      </w:r>
      <w:proofErr w:type="spellStart"/>
      <w:r>
        <w:rPr>
          <w:rStyle w:val="Nadpis2"/>
        </w:rPr>
        <w:t>nana</w:t>
      </w:r>
      <w:r>
        <w:rPr>
          <w:rStyle w:val="Nadpis2"/>
          <w:vertAlign w:val="subscript"/>
        </w:rPr>
        <w:t>HanaA</w:t>
      </w:r>
      <w:r>
        <w:rPr>
          <w:rStyle w:val="Nadpis2"/>
        </w:rPr>
        <w:t>|</w:t>
      </w:r>
      <w:r>
        <w:rPr>
          <w:rStyle w:val="Nadpis2"/>
          <w:vertAlign w:val="subscript"/>
        </w:rPr>
        <w:t>brechtová</w:t>
      </w:r>
      <w:proofErr w:type="spellEnd"/>
      <w:r>
        <w:rPr>
          <w:rStyle w:val="Nadpis2"/>
          <w:vertAlign w:val="subscript"/>
        </w:rPr>
        <w:t xml:space="preserve"> </w:t>
      </w:r>
      <w:proofErr w:type="spellStart"/>
      <w:r>
        <w:rPr>
          <w:rStyle w:val="Nadpis2"/>
        </w:rPr>
        <w:t>Albrechtc^S</w:t>
      </w:r>
      <w:proofErr w:type="spellEnd"/>
      <w:r>
        <w:rPr>
          <w:rStyle w:val="Nadpis2"/>
        </w:rPr>
        <w:t>^</w:t>
      </w:r>
      <w:bookmarkEnd w:id="1"/>
    </w:p>
    <w:p w:rsidR="009E5D17" w:rsidRDefault="00CD46F9">
      <w:pPr>
        <w:pStyle w:val="Zkladntext1"/>
        <w:spacing w:after="0" w:line="286" w:lineRule="auto"/>
      </w:pPr>
      <w:r>
        <w:rPr>
          <w:rStyle w:val="Zkladntext"/>
        </w:rPr>
        <w:t>MUDr. Hana Albrechtová ředitelka</w:t>
      </w:r>
    </w:p>
    <w:p w:rsidR="009E5D17" w:rsidRDefault="00CD46F9">
      <w:pPr>
        <w:pStyle w:val="Zkladntext1"/>
        <w:spacing w:after="660" w:line="286" w:lineRule="auto"/>
        <w:jc w:val="both"/>
      </w:pPr>
      <w:r>
        <w:rPr>
          <w:rStyle w:val="Zkladntext"/>
          <w:b/>
          <w:bCs/>
          <w:i/>
          <w:iCs/>
        </w:rPr>
        <w:t>kupující</w:t>
      </w:r>
    </w:p>
    <w:p w:rsidR="009E5D17" w:rsidRDefault="00CD46F9">
      <w:pPr>
        <w:pStyle w:val="Zkladntext1"/>
        <w:spacing w:line="240" w:lineRule="auto"/>
        <w:jc w:val="both"/>
      </w:pPr>
      <w:r>
        <w:rPr>
          <w:rStyle w:val="Zkladntext"/>
        </w:rPr>
        <w:t>Příloha č. 1 Specifikace, Ceník</w:t>
      </w:r>
    </w:p>
    <w:p w:rsidR="009E5D17" w:rsidRDefault="00CD46F9">
      <w:pPr>
        <w:pStyle w:val="Nadpis30"/>
        <w:keepNext/>
        <w:keepLines/>
      </w:pPr>
      <w:bookmarkStart w:id="2" w:name="bookmark4"/>
      <w:r>
        <w:rPr>
          <w:rStyle w:val="Nadpis3"/>
          <w:b/>
          <w:bCs/>
        </w:rPr>
        <w:t>Příloha č. 1 Specifikace,</w:t>
      </w:r>
      <w:r>
        <w:rPr>
          <w:rStyle w:val="Nadpis3"/>
          <w:b/>
          <w:bCs/>
        </w:rPr>
        <w:t xml:space="preserve"> ceník</w:t>
      </w:r>
      <w:bookmarkStart w:id="3" w:name="_GoBack"/>
      <w:bookmarkEnd w:id="2"/>
      <w:bookmarkEnd w:id="3"/>
    </w:p>
    <w:p w:rsidR="009E5D17" w:rsidRDefault="00CD46F9">
      <w:pPr>
        <w:pStyle w:val="Zkladntext1"/>
        <w:spacing w:after="300" w:line="180" w:lineRule="auto"/>
      </w:pPr>
      <w:proofErr w:type="spellStart"/>
      <w:r>
        <w:rPr>
          <w:rStyle w:val="Zkladntext"/>
          <w:b/>
          <w:bCs/>
        </w:rPr>
        <w:t>Předplněná</w:t>
      </w:r>
      <w:proofErr w:type="spellEnd"/>
      <w:r>
        <w:rPr>
          <w:rStyle w:val="Zkladntext"/>
          <w:b/>
          <w:bCs/>
        </w:rPr>
        <w:t xml:space="preserve"> stříkačka s </w:t>
      </w:r>
      <w:proofErr w:type="spellStart"/>
      <w:r>
        <w:rPr>
          <w:rStyle w:val="Zkladntext"/>
          <w:b/>
          <w:bCs/>
        </w:rPr>
        <w:t>NaCI</w:t>
      </w:r>
      <w:proofErr w:type="spellEnd"/>
      <w:r>
        <w:rPr>
          <w:rStyle w:val="Zkladntext"/>
          <w:b/>
          <w:bCs/>
        </w:rPr>
        <w:t xml:space="preserve"> 0,9% o objemu 10 ml</w:t>
      </w:r>
    </w:p>
    <w:p w:rsidR="009E5D17" w:rsidRDefault="00CD46F9">
      <w:pPr>
        <w:pStyle w:val="Zkladntext1"/>
        <w:spacing w:after="80" w:line="180" w:lineRule="auto"/>
        <w:ind w:left="5440" w:hanging="5140"/>
      </w:pPr>
      <w:r>
        <w:rPr>
          <w:rStyle w:val="Zkladntext"/>
          <w:b/>
          <w:bCs/>
        </w:rPr>
        <w:t xml:space="preserve">Obchodní název nabízeného zboží </w:t>
      </w:r>
      <w:r>
        <w:rPr>
          <w:rStyle w:val="Zkladntext"/>
          <w:vertAlign w:val="superscript"/>
        </w:rPr>
        <w:t>Stříkačka</w:t>
      </w:r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Předplněná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SteriFlush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NaCI</w:t>
      </w:r>
      <w:proofErr w:type="spellEnd"/>
      <w:r>
        <w:rPr>
          <w:rStyle w:val="Zkladntext"/>
        </w:rPr>
        <w:t xml:space="preserve"> 0,9%, 10ml, šroubovací uzávěr</w:t>
      </w:r>
    </w:p>
    <w:p w:rsidR="009E5D17" w:rsidRDefault="00CD46F9">
      <w:pPr>
        <w:pStyle w:val="Zkladntext1"/>
        <w:tabs>
          <w:tab w:val="left" w:pos="5863"/>
        </w:tabs>
        <w:spacing w:after="140" w:line="180" w:lineRule="auto"/>
        <w:ind w:left="5440" w:hanging="5140"/>
      </w:pPr>
      <w:r>
        <w:rPr>
          <w:rStyle w:val="Zkladntext"/>
          <w:b/>
          <w:bCs/>
        </w:rPr>
        <w:t>Cena za ks v Kč bez DPH:</w:t>
      </w:r>
      <w:r>
        <w:rPr>
          <w:rStyle w:val="Zkladntext"/>
          <w:b/>
          <w:bCs/>
        </w:rPr>
        <w:tab/>
      </w:r>
      <w:r>
        <w:rPr>
          <w:rStyle w:val="Zkladntext"/>
        </w:rPr>
        <w:t>8,10Kč</w:t>
      </w:r>
    </w:p>
    <w:p w:rsidR="009E5D17" w:rsidRDefault="00CD46F9">
      <w:pPr>
        <w:pStyle w:val="Zkladntext1"/>
        <w:tabs>
          <w:tab w:val="left" w:pos="5863"/>
        </w:tabs>
        <w:spacing w:after="300" w:line="180" w:lineRule="auto"/>
        <w:ind w:left="5440" w:hanging="5140"/>
      </w:pPr>
      <w:r>
        <w:rPr>
          <w:rStyle w:val="Zkladntext"/>
          <w:b/>
          <w:bCs/>
        </w:rPr>
        <w:t>Cena za ks v Kč vč. DPH:</w:t>
      </w:r>
      <w:r>
        <w:rPr>
          <w:rStyle w:val="Zkladntext"/>
          <w:b/>
          <w:bCs/>
        </w:rPr>
        <w:tab/>
      </w:r>
      <w:r>
        <w:rPr>
          <w:rStyle w:val="Zkladntext"/>
        </w:rPr>
        <w:t>9,072Kč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3067"/>
      </w:tblGrid>
      <w:tr w:rsidR="009E5D1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5D17" w:rsidRDefault="00CD46F9">
            <w:pPr>
              <w:pStyle w:val="Jin0"/>
              <w:spacing w:after="0" w:line="240" w:lineRule="auto"/>
              <w:ind w:left="1520"/>
            </w:pPr>
            <w:r>
              <w:rPr>
                <w:rStyle w:val="Jin"/>
                <w:b/>
                <w:bCs/>
              </w:rPr>
              <w:lastRenderedPageBreak/>
              <w:t>Požadavky zadavatele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 xml:space="preserve">Splněno </w:t>
            </w:r>
            <w:r>
              <w:rPr>
                <w:rStyle w:val="Jin"/>
                <w:b/>
                <w:bCs/>
              </w:rPr>
              <w:t>ANO/NE/příp. doplněn údaj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Stříkačky musí být: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17" w:rsidRDefault="009E5D17">
            <w:pPr>
              <w:rPr>
                <w:sz w:val="10"/>
                <w:szCs w:val="10"/>
              </w:rPr>
            </w:pP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trojdílné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-jednorázové, sterilní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zdravotně nezávadné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balené jednotlivě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připravena k okamžitému použití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Stříkačky musí mít: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D17" w:rsidRDefault="009E5D17">
            <w:pPr>
              <w:rPr>
                <w:sz w:val="10"/>
                <w:szCs w:val="10"/>
              </w:rPr>
            </w:pP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- LUER </w:t>
            </w:r>
            <w:proofErr w:type="spellStart"/>
            <w:r>
              <w:rPr>
                <w:rStyle w:val="Jin"/>
              </w:rPr>
              <w:t>lock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- transparentní standardizovaný </w:t>
            </w:r>
            <w:r>
              <w:rPr>
                <w:rStyle w:val="Jin"/>
              </w:rPr>
              <w:t>válec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nesmývatelnou stupnici minimálně po 0,5 ml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hladký, bezproblémový chod pístu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9E5D1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</w:pPr>
            <w:r>
              <w:rPr>
                <w:rStyle w:val="Jin"/>
              </w:rPr>
              <w:t>- vynikající těsnost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D17" w:rsidRDefault="00CD46F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</w:tbl>
    <w:p w:rsidR="00CD46F9" w:rsidRDefault="00CD46F9"/>
    <w:sectPr w:rsidR="00CD46F9">
      <w:footerReference w:type="default" r:id="rId7"/>
      <w:pgSz w:w="11900" w:h="16840"/>
      <w:pgMar w:top="837" w:right="1513" w:bottom="1345" w:left="1569" w:header="4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F9" w:rsidRDefault="00CD46F9">
      <w:r>
        <w:separator/>
      </w:r>
    </w:p>
  </w:endnote>
  <w:endnote w:type="continuationSeparator" w:id="0">
    <w:p w:rsidR="00CD46F9" w:rsidRDefault="00CD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17" w:rsidRDefault="00CD46F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10001885</wp:posOffset>
              </wp:positionV>
              <wp:extent cx="330073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07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5D17" w:rsidRDefault="00CD46F9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Veřejná zakázka 38_2024: Stříkačky s fyziologickým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roztokem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1.350000000000009pt;margin-top:787.55000000000007pt;width:259.89999999999998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38_2024: Stříkačky s fyziologickým roztokem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F9" w:rsidRDefault="00CD46F9"/>
  </w:footnote>
  <w:footnote w:type="continuationSeparator" w:id="0">
    <w:p w:rsidR="00CD46F9" w:rsidRDefault="00CD46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1ED3"/>
    <w:multiLevelType w:val="multilevel"/>
    <w:tmpl w:val="9E8CD5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17"/>
    <w:rsid w:val="009E5D17"/>
    <w:rsid w:val="00B07592"/>
    <w:rsid w:val="00C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2546"/>
  <w15:docId w15:val="{41B32960-263B-426B-A760-FFEC13D3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283" w:lineRule="auto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ind w:firstLine="7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after="100"/>
      <w:ind w:right="620"/>
      <w:jc w:val="right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60" w:line="209" w:lineRule="auto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520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1400</Words>
  <Characters>8261</Characters>
  <Application>Microsoft Office Word</Application>
  <DocSecurity>0</DocSecurity>
  <Lines>68</Lines>
  <Paragraphs>19</Paragraphs>
  <ScaleCrop>false</ScaleCrop>
  <Company>HP Inc.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2024-11-13T09:03:00Z</dcterms:created>
  <dcterms:modified xsi:type="dcterms:W3CDTF">2024-11-13T09:04:00Z</dcterms:modified>
</cp:coreProperties>
</file>