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A" w:rsidRPr="00774C6E" w:rsidRDefault="00E8352A" w:rsidP="003B3FE1">
      <w:pPr>
        <w:pStyle w:val="Nadpis1"/>
        <w:spacing w:line="300" w:lineRule="auto"/>
        <w:ind w:right="-2"/>
        <w:jc w:val="center"/>
        <w:rPr>
          <w:rStyle w:val="Nzevknihy"/>
          <w:sz w:val="28"/>
        </w:rPr>
      </w:pPr>
      <w:r w:rsidRPr="00774C6E">
        <w:rPr>
          <w:rStyle w:val="Nzevknihy"/>
          <w:sz w:val="28"/>
        </w:rPr>
        <w:t>Smlouva o poskytnutí služeb public relations</w:t>
      </w:r>
    </w:p>
    <w:p w:rsidR="00E8352A" w:rsidRPr="007C7D79" w:rsidRDefault="00E8352A" w:rsidP="005B6475">
      <w:pPr>
        <w:pStyle w:val="Nadpis1"/>
        <w:spacing w:line="276" w:lineRule="auto"/>
        <w:ind w:right="-2"/>
        <w:rPr>
          <w:szCs w:val="24"/>
        </w:rPr>
      </w:pPr>
    </w:p>
    <w:p w:rsidR="00E8352A" w:rsidRPr="007C7D79" w:rsidRDefault="00E8352A" w:rsidP="005B6475">
      <w:pPr>
        <w:pStyle w:val="Nadpis1"/>
        <w:spacing w:line="276" w:lineRule="auto"/>
        <w:ind w:right="-2"/>
        <w:rPr>
          <w:szCs w:val="24"/>
        </w:rPr>
      </w:pPr>
    </w:p>
    <w:p w:rsidR="007C7D79" w:rsidRPr="007C7D79" w:rsidRDefault="007C7D79" w:rsidP="005B6475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7D79">
        <w:rPr>
          <w:rFonts w:ascii="Times New Roman" w:hAnsi="Times New Roman"/>
          <w:b/>
          <w:sz w:val="24"/>
          <w:szCs w:val="24"/>
          <w:shd w:val="clear" w:color="auto" w:fill="FFFFFF"/>
        </w:rPr>
        <w:t>MERO ČR, a.s.</w:t>
      </w:r>
    </w:p>
    <w:p w:rsidR="007C7D79" w:rsidRPr="007C7D79" w:rsidRDefault="007C7D79" w:rsidP="005B6475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D79">
        <w:rPr>
          <w:rFonts w:ascii="Times New Roman" w:hAnsi="Times New Roman"/>
          <w:sz w:val="24"/>
          <w:szCs w:val="24"/>
        </w:rPr>
        <w:t xml:space="preserve">IČO: </w:t>
      </w:r>
      <w:r w:rsidRPr="007C7D79">
        <w:rPr>
          <w:rFonts w:ascii="Times New Roman" w:hAnsi="Times New Roman"/>
          <w:sz w:val="24"/>
          <w:szCs w:val="24"/>
          <w:shd w:val="clear" w:color="auto" w:fill="FFFFFF"/>
        </w:rPr>
        <w:t>601 93 468,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DIČ: CZ</w:t>
      </w:r>
      <w:r w:rsidRPr="00AB6C17">
        <w:rPr>
          <w:rFonts w:ascii="Times New Roman" w:hAnsi="Times New Roman"/>
          <w:sz w:val="24"/>
        </w:rPr>
        <w:t>60193468</w:t>
      </w:r>
      <w:r>
        <w:rPr>
          <w:rFonts w:ascii="Times New Roman" w:hAnsi="Times New Roman"/>
          <w:sz w:val="24"/>
        </w:rPr>
        <w:t>,</w:t>
      </w:r>
    </w:p>
    <w:p w:rsidR="007C7D79" w:rsidRPr="007C7D79" w:rsidRDefault="007C7D79" w:rsidP="005B6475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 xml:space="preserve">se sídlem: </w:t>
      </w:r>
      <w:r w:rsidRPr="007C7D79">
        <w:rPr>
          <w:rFonts w:ascii="Times New Roman" w:hAnsi="Times New Roman"/>
          <w:sz w:val="24"/>
          <w:szCs w:val="24"/>
          <w:shd w:val="clear" w:color="auto" w:fill="FFFFFF"/>
        </w:rPr>
        <w:t>Veltruská 748, 278 01 Kralupy nad Vltavou</w:t>
      </w:r>
      <w:r w:rsidRPr="007C7D79">
        <w:rPr>
          <w:rFonts w:ascii="Times New Roman" w:hAnsi="Times New Roman"/>
          <w:sz w:val="24"/>
          <w:szCs w:val="24"/>
        </w:rPr>
        <w:t>,</w:t>
      </w:r>
    </w:p>
    <w:p w:rsidR="007C7D79" w:rsidRPr="007C7D79" w:rsidRDefault="007C7D79" w:rsidP="005B6475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zapsaná v obchodním rejstříku vedeném Městským soudem v Praze, oddíl B, vložka 2334,</w:t>
      </w:r>
    </w:p>
    <w:p w:rsidR="007C7D79" w:rsidRPr="007C7D79" w:rsidRDefault="007C7D79" w:rsidP="005B6475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 xml:space="preserve">zastoupená Ing. Stanislavem </w:t>
      </w:r>
      <w:proofErr w:type="spellStart"/>
      <w:r w:rsidRPr="007C7D79">
        <w:rPr>
          <w:rFonts w:ascii="Times New Roman" w:hAnsi="Times New Roman"/>
          <w:sz w:val="24"/>
          <w:szCs w:val="24"/>
        </w:rPr>
        <w:t>Brunou</w:t>
      </w:r>
      <w:proofErr w:type="spellEnd"/>
      <w:r w:rsidRPr="007C7D79">
        <w:rPr>
          <w:rFonts w:ascii="Times New Roman" w:hAnsi="Times New Roman"/>
          <w:sz w:val="24"/>
          <w:szCs w:val="24"/>
        </w:rPr>
        <w:t>, předsedou představenstva a Ing. Otakarem Krejsou, místopředsedou představenstva,</w:t>
      </w:r>
    </w:p>
    <w:p w:rsidR="00E8352A" w:rsidRPr="007C7D79" w:rsidRDefault="00E8352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dále jen „</w:t>
      </w:r>
      <w:r w:rsidRPr="00774C6E">
        <w:rPr>
          <w:rFonts w:ascii="Times New Roman" w:hAnsi="Times New Roman"/>
          <w:sz w:val="24"/>
          <w:szCs w:val="24"/>
          <w:u w:val="single"/>
        </w:rPr>
        <w:t>zadavatel</w:t>
      </w:r>
      <w:r w:rsidRPr="007C7D79">
        <w:rPr>
          <w:rFonts w:ascii="Times New Roman" w:hAnsi="Times New Roman"/>
          <w:sz w:val="24"/>
          <w:szCs w:val="24"/>
        </w:rPr>
        <w:t>“</w:t>
      </w:r>
    </w:p>
    <w:p w:rsidR="00E8352A" w:rsidRPr="007C7D79" w:rsidRDefault="00E8352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</w:p>
    <w:p w:rsidR="00E8352A" w:rsidRPr="007C7D79" w:rsidRDefault="00E8352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a</w:t>
      </w:r>
    </w:p>
    <w:p w:rsidR="00E8352A" w:rsidRPr="007C7D79" w:rsidRDefault="00E8352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</w:p>
    <w:p w:rsidR="00774C6E" w:rsidRDefault="00774C6E" w:rsidP="005B6475">
      <w:pPr>
        <w:spacing w:line="276" w:lineRule="auto"/>
        <w:ind w:right="-2"/>
        <w:rPr>
          <w:rFonts w:ascii="Times New Roman" w:hAnsi="Times New Roman"/>
          <w:b/>
          <w:sz w:val="24"/>
          <w:szCs w:val="24"/>
        </w:rPr>
      </w:pPr>
      <w:r w:rsidRPr="00774C6E">
        <w:rPr>
          <w:rFonts w:ascii="Times New Roman" w:hAnsi="Times New Roman"/>
          <w:b/>
          <w:sz w:val="24"/>
          <w:szCs w:val="24"/>
        </w:rPr>
        <w:t>Q and A s.r.o.</w:t>
      </w:r>
    </w:p>
    <w:p w:rsidR="00E8352A" w:rsidRPr="007C7D79" w:rsidRDefault="009E580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IČ</w:t>
      </w:r>
      <w:r w:rsidR="00774C6E">
        <w:rPr>
          <w:rFonts w:ascii="Times New Roman" w:hAnsi="Times New Roman"/>
          <w:sz w:val="24"/>
          <w:szCs w:val="24"/>
        </w:rPr>
        <w:t>O</w:t>
      </w:r>
      <w:r w:rsidRPr="007C7D79">
        <w:rPr>
          <w:rFonts w:ascii="Times New Roman" w:hAnsi="Times New Roman"/>
          <w:sz w:val="24"/>
          <w:szCs w:val="24"/>
        </w:rPr>
        <w:t>: 264</w:t>
      </w:r>
      <w:r w:rsidR="00774C6E">
        <w:rPr>
          <w:rFonts w:ascii="Times New Roman" w:hAnsi="Times New Roman"/>
          <w:sz w:val="24"/>
          <w:szCs w:val="24"/>
        </w:rPr>
        <w:t xml:space="preserve"> </w:t>
      </w:r>
      <w:r w:rsidRPr="007C7D79">
        <w:rPr>
          <w:rFonts w:ascii="Times New Roman" w:hAnsi="Times New Roman"/>
          <w:sz w:val="24"/>
          <w:szCs w:val="24"/>
        </w:rPr>
        <w:t>73</w:t>
      </w:r>
      <w:r w:rsidR="00774C6E">
        <w:rPr>
          <w:rFonts w:ascii="Times New Roman" w:hAnsi="Times New Roman"/>
          <w:sz w:val="24"/>
          <w:szCs w:val="24"/>
        </w:rPr>
        <w:t xml:space="preserve"> </w:t>
      </w:r>
      <w:r w:rsidRPr="007C7D79">
        <w:rPr>
          <w:rFonts w:ascii="Times New Roman" w:hAnsi="Times New Roman"/>
          <w:sz w:val="24"/>
          <w:szCs w:val="24"/>
        </w:rPr>
        <w:t xml:space="preserve">089, DIČ: CZ </w:t>
      </w:r>
      <w:r w:rsidR="00E8352A" w:rsidRPr="007C7D79">
        <w:rPr>
          <w:rFonts w:ascii="Times New Roman" w:hAnsi="Times New Roman"/>
          <w:sz w:val="24"/>
          <w:szCs w:val="24"/>
        </w:rPr>
        <w:t>26473089</w:t>
      </w:r>
    </w:p>
    <w:p w:rsidR="00774C6E" w:rsidRPr="007C7D79" w:rsidRDefault="00774C6E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 w:rsidRPr="007C7D79">
        <w:rPr>
          <w:rFonts w:ascii="Times New Roman" w:hAnsi="Times New Roman"/>
          <w:sz w:val="24"/>
          <w:szCs w:val="24"/>
        </w:rPr>
        <w:t>sídl</w:t>
      </w:r>
      <w:r>
        <w:rPr>
          <w:rFonts w:ascii="Times New Roman" w:hAnsi="Times New Roman"/>
          <w:sz w:val="24"/>
          <w:szCs w:val="24"/>
        </w:rPr>
        <w:t>em</w:t>
      </w:r>
      <w:r w:rsidRPr="007C7D79">
        <w:rPr>
          <w:rFonts w:ascii="Times New Roman" w:hAnsi="Times New Roman"/>
          <w:sz w:val="24"/>
          <w:szCs w:val="24"/>
        </w:rPr>
        <w:t xml:space="preserve">: Panská 895/6, </w:t>
      </w:r>
      <w:r>
        <w:rPr>
          <w:rFonts w:ascii="Times New Roman" w:hAnsi="Times New Roman"/>
          <w:sz w:val="24"/>
          <w:szCs w:val="24"/>
        </w:rPr>
        <w:t xml:space="preserve">Nové Město, </w:t>
      </w:r>
      <w:r w:rsidRPr="007C7D79">
        <w:rPr>
          <w:rFonts w:ascii="Times New Roman" w:hAnsi="Times New Roman"/>
          <w:sz w:val="24"/>
          <w:szCs w:val="24"/>
        </w:rPr>
        <w:t>110 00 Praha 1</w:t>
      </w:r>
      <w:r>
        <w:rPr>
          <w:rFonts w:ascii="Times New Roman" w:hAnsi="Times New Roman"/>
          <w:sz w:val="24"/>
          <w:szCs w:val="24"/>
        </w:rPr>
        <w:t>,</w:t>
      </w:r>
    </w:p>
    <w:p w:rsidR="00885F02" w:rsidRPr="007C7D79" w:rsidRDefault="00774C6E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zapsaná v obchodním rejstříku vedeném Městským soudem v</w:t>
      </w:r>
      <w:r>
        <w:rPr>
          <w:rFonts w:ascii="Times New Roman" w:hAnsi="Times New Roman"/>
          <w:sz w:val="24"/>
          <w:szCs w:val="24"/>
        </w:rPr>
        <w:t> </w:t>
      </w:r>
      <w:r w:rsidRPr="007C7D79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 xml:space="preserve">, oddíl C, vložka </w:t>
      </w:r>
      <w:r w:rsidR="00885F02" w:rsidRPr="007C7D79">
        <w:rPr>
          <w:rFonts w:ascii="Times New Roman" w:hAnsi="Times New Roman"/>
          <w:sz w:val="24"/>
          <w:szCs w:val="24"/>
        </w:rPr>
        <w:t>84482</w:t>
      </w:r>
      <w:r>
        <w:rPr>
          <w:rFonts w:ascii="Times New Roman" w:hAnsi="Times New Roman"/>
          <w:sz w:val="24"/>
          <w:szCs w:val="24"/>
        </w:rPr>
        <w:t>,</w:t>
      </w:r>
      <w:r w:rsidR="00885F02" w:rsidRPr="007C7D79">
        <w:rPr>
          <w:rFonts w:ascii="Times New Roman" w:hAnsi="Times New Roman"/>
          <w:sz w:val="24"/>
          <w:szCs w:val="24"/>
        </w:rPr>
        <w:t xml:space="preserve"> </w:t>
      </w:r>
    </w:p>
    <w:p w:rsidR="00E8352A" w:rsidRPr="007C7D79" w:rsidRDefault="00774C6E" w:rsidP="005B6475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</w:t>
      </w:r>
      <w:r w:rsidR="00E8352A" w:rsidRPr="007C7D79">
        <w:rPr>
          <w:rFonts w:ascii="Times New Roman" w:hAnsi="Times New Roman"/>
          <w:sz w:val="24"/>
          <w:szCs w:val="24"/>
        </w:rPr>
        <w:t xml:space="preserve"> </w:t>
      </w:r>
      <w:r w:rsidR="00870580" w:rsidRPr="007C7D79">
        <w:rPr>
          <w:rFonts w:ascii="Times New Roman" w:hAnsi="Times New Roman"/>
          <w:sz w:val="24"/>
          <w:szCs w:val="24"/>
        </w:rPr>
        <w:t>Ing. Martinem Fukem</w:t>
      </w:r>
      <w:r w:rsidR="00E8352A" w:rsidRPr="007C7D79">
        <w:rPr>
          <w:rFonts w:ascii="Times New Roman" w:hAnsi="Times New Roman"/>
          <w:sz w:val="24"/>
          <w:szCs w:val="24"/>
        </w:rPr>
        <w:t>, jednatelem společnosti</w:t>
      </w:r>
      <w:r>
        <w:rPr>
          <w:rFonts w:ascii="Times New Roman" w:hAnsi="Times New Roman"/>
          <w:sz w:val="24"/>
          <w:szCs w:val="24"/>
        </w:rPr>
        <w:t>,</w:t>
      </w:r>
    </w:p>
    <w:p w:rsidR="00E8352A" w:rsidRPr="007C7D79" w:rsidRDefault="00E8352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dále jen „</w:t>
      </w:r>
      <w:r w:rsidRPr="00774C6E">
        <w:rPr>
          <w:rFonts w:ascii="Times New Roman" w:hAnsi="Times New Roman"/>
          <w:sz w:val="24"/>
          <w:szCs w:val="24"/>
          <w:u w:val="single"/>
        </w:rPr>
        <w:t>agentura</w:t>
      </w:r>
      <w:r w:rsidRPr="007C7D79">
        <w:rPr>
          <w:rFonts w:ascii="Times New Roman" w:hAnsi="Times New Roman"/>
          <w:sz w:val="24"/>
          <w:szCs w:val="24"/>
        </w:rPr>
        <w:t>“</w:t>
      </w:r>
    </w:p>
    <w:p w:rsidR="00E8352A" w:rsidRPr="007C7D79" w:rsidRDefault="00E8352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</w:p>
    <w:p w:rsidR="00E8352A" w:rsidRPr="007C7D79" w:rsidRDefault="00E8352A" w:rsidP="005B6475">
      <w:pPr>
        <w:pStyle w:val="Nadpis1"/>
        <w:spacing w:line="276" w:lineRule="auto"/>
        <w:ind w:right="-2"/>
        <w:jc w:val="center"/>
        <w:rPr>
          <w:b/>
          <w:szCs w:val="24"/>
        </w:rPr>
      </w:pPr>
      <w:r w:rsidRPr="007C7D79">
        <w:rPr>
          <w:b/>
          <w:szCs w:val="24"/>
        </w:rPr>
        <w:t>uzavír</w:t>
      </w:r>
      <w:r w:rsidR="00C10300" w:rsidRPr="007C7D79">
        <w:rPr>
          <w:b/>
          <w:szCs w:val="24"/>
        </w:rPr>
        <w:t>ají ve smyslu ust</w:t>
      </w:r>
      <w:r w:rsidR="00F230E0">
        <w:rPr>
          <w:b/>
          <w:szCs w:val="24"/>
        </w:rPr>
        <w:t>anovení</w:t>
      </w:r>
      <w:r w:rsidR="00774C6E">
        <w:rPr>
          <w:b/>
          <w:szCs w:val="24"/>
        </w:rPr>
        <w:t xml:space="preserve"> </w:t>
      </w:r>
      <w:r w:rsidR="00C10300" w:rsidRPr="007C7D79">
        <w:rPr>
          <w:b/>
          <w:szCs w:val="24"/>
        </w:rPr>
        <w:t>§ 174</w:t>
      </w:r>
      <w:r w:rsidR="009A7191" w:rsidRPr="007C7D79">
        <w:rPr>
          <w:b/>
          <w:szCs w:val="24"/>
        </w:rPr>
        <w:t>6</w:t>
      </w:r>
      <w:r w:rsidRPr="007C7D79">
        <w:rPr>
          <w:b/>
          <w:szCs w:val="24"/>
        </w:rPr>
        <w:t xml:space="preserve"> odstavce 2 zákona č. </w:t>
      </w:r>
      <w:r w:rsidR="00C10300" w:rsidRPr="007C7D79">
        <w:rPr>
          <w:b/>
          <w:szCs w:val="24"/>
        </w:rPr>
        <w:t>89/2012</w:t>
      </w:r>
      <w:r w:rsidRPr="007C7D79">
        <w:rPr>
          <w:b/>
          <w:szCs w:val="24"/>
        </w:rPr>
        <w:t xml:space="preserve"> Sb., </w:t>
      </w:r>
      <w:r w:rsidR="00F230E0">
        <w:rPr>
          <w:b/>
          <w:szCs w:val="24"/>
        </w:rPr>
        <w:br/>
      </w:r>
      <w:r w:rsidRPr="007C7D79">
        <w:rPr>
          <w:b/>
          <w:szCs w:val="24"/>
        </w:rPr>
        <w:t>o</w:t>
      </w:r>
      <w:r w:rsidR="00C10300" w:rsidRPr="007C7D79">
        <w:rPr>
          <w:b/>
          <w:szCs w:val="24"/>
        </w:rPr>
        <w:t>bčanského</w:t>
      </w:r>
      <w:r w:rsidRPr="007C7D79">
        <w:rPr>
          <w:b/>
          <w:szCs w:val="24"/>
        </w:rPr>
        <w:t xml:space="preserve"> zákoníku, </w:t>
      </w:r>
      <w:r w:rsidR="00C10300" w:rsidRPr="007C7D79">
        <w:rPr>
          <w:b/>
          <w:szCs w:val="24"/>
        </w:rPr>
        <w:t>ve znění pozdějších předpisů,</w:t>
      </w:r>
      <w:r w:rsidRPr="007C7D79">
        <w:rPr>
          <w:b/>
          <w:szCs w:val="24"/>
        </w:rPr>
        <w:t xml:space="preserve"> tuto </w:t>
      </w:r>
      <w:r w:rsidR="00F230E0">
        <w:rPr>
          <w:b/>
          <w:szCs w:val="24"/>
        </w:rPr>
        <w:br/>
      </w:r>
      <w:r w:rsidRPr="007C7D79">
        <w:rPr>
          <w:b/>
          <w:szCs w:val="24"/>
        </w:rPr>
        <w:t>smlouvu o poskytnutí služeb public relations:</w:t>
      </w:r>
    </w:p>
    <w:p w:rsidR="00E8352A" w:rsidRPr="007C7D79" w:rsidRDefault="00E8352A" w:rsidP="005B6475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</w:p>
    <w:p w:rsidR="00E8352A" w:rsidRPr="007C7D79" w:rsidRDefault="00E8352A" w:rsidP="005B6475">
      <w:pPr>
        <w:spacing w:line="276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C7D79">
        <w:rPr>
          <w:rFonts w:ascii="Times New Roman" w:hAnsi="Times New Roman"/>
          <w:b/>
          <w:sz w:val="24"/>
          <w:szCs w:val="24"/>
        </w:rPr>
        <w:t>Čl. I</w:t>
      </w:r>
    </w:p>
    <w:p w:rsidR="00E8352A" w:rsidRPr="00774C6E" w:rsidRDefault="00E8352A" w:rsidP="005B6475">
      <w:pPr>
        <w:spacing w:after="120" w:line="276" w:lineRule="auto"/>
        <w:jc w:val="center"/>
        <w:rPr>
          <w:rStyle w:val="Nzevknihy"/>
          <w:rFonts w:ascii="Times New Roman" w:hAnsi="Times New Roman"/>
          <w:sz w:val="24"/>
        </w:rPr>
      </w:pPr>
      <w:r w:rsidRPr="00774C6E">
        <w:rPr>
          <w:rStyle w:val="Nzevknihy"/>
          <w:rFonts w:ascii="Times New Roman" w:hAnsi="Times New Roman"/>
          <w:sz w:val="24"/>
        </w:rPr>
        <w:t>Předmět plnění</w:t>
      </w:r>
    </w:p>
    <w:p w:rsidR="008A5430" w:rsidRPr="009758C8" w:rsidRDefault="008A5430" w:rsidP="005B6475">
      <w:pPr>
        <w:pStyle w:val="Odstavecseseznamem"/>
        <w:numPr>
          <w:ilvl w:val="0"/>
          <w:numId w:val="8"/>
        </w:numPr>
        <w:tabs>
          <w:tab w:val="left" w:pos="284"/>
          <w:tab w:val="left" w:pos="567"/>
          <w:tab w:val="left" w:pos="3119"/>
        </w:tabs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D94">
        <w:rPr>
          <w:rFonts w:ascii="Times New Roman" w:hAnsi="Times New Roman"/>
          <w:sz w:val="24"/>
          <w:szCs w:val="24"/>
        </w:rPr>
        <w:t xml:space="preserve">Agentura se zavazuje poskytovat zadavateli </w:t>
      </w:r>
      <w:r w:rsidR="009536F2" w:rsidRPr="00941D94">
        <w:rPr>
          <w:rFonts w:ascii="Times New Roman" w:hAnsi="Times New Roman"/>
          <w:sz w:val="24"/>
          <w:szCs w:val="24"/>
        </w:rPr>
        <w:t xml:space="preserve">v období </w:t>
      </w:r>
      <w:r w:rsidR="006A76E4" w:rsidRPr="00941D94">
        <w:rPr>
          <w:rFonts w:ascii="Times New Roman" w:hAnsi="Times New Roman"/>
          <w:sz w:val="24"/>
          <w:szCs w:val="24"/>
        </w:rPr>
        <w:t>od</w:t>
      </w:r>
      <w:r w:rsidR="006D7CE1">
        <w:rPr>
          <w:rFonts w:ascii="Times New Roman" w:hAnsi="Times New Roman"/>
          <w:sz w:val="24"/>
          <w:szCs w:val="24"/>
        </w:rPr>
        <w:t>e dne podpisu této smlouvy oběma smluvními stranami</w:t>
      </w:r>
      <w:r w:rsidR="006A76E4" w:rsidRPr="00941D94">
        <w:rPr>
          <w:rFonts w:ascii="Times New Roman" w:hAnsi="Times New Roman"/>
          <w:sz w:val="24"/>
          <w:szCs w:val="24"/>
        </w:rPr>
        <w:t xml:space="preserve"> do </w:t>
      </w:r>
      <w:r w:rsidR="00743D7C">
        <w:rPr>
          <w:rFonts w:ascii="Times New Roman" w:hAnsi="Times New Roman"/>
          <w:sz w:val="24"/>
          <w:szCs w:val="24"/>
        </w:rPr>
        <w:t>31</w:t>
      </w:r>
      <w:r w:rsidR="006A76E4" w:rsidRPr="00941D94">
        <w:rPr>
          <w:rFonts w:ascii="Times New Roman" w:hAnsi="Times New Roman"/>
          <w:sz w:val="24"/>
          <w:szCs w:val="24"/>
        </w:rPr>
        <w:t>.</w:t>
      </w:r>
      <w:r w:rsidR="00941D94">
        <w:rPr>
          <w:rFonts w:ascii="Times New Roman" w:hAnsi="Times New Roman"/>
          <w:sz w:val="24"/>
          <w:szCs w:val="24"/>
        </w:rPr>
        <w:t> </w:t>
      </w:r>
      <w:r w:rsidR="00743D7C">
        <w:rPr>
          <w:rFonts w:ascii="Times New Roman" w:hAnsi="Times New Roman"/>
          <w:sz w:val="24"/>
          <w:szCs w:val="24"/>
        </w:rPr>
        <w:t>prosince</w:t>
      </w:r>
      <w:r w:rsidR="00941D94">
        <w:rPr>
          <w:rFonts w:ascii="Times New Roman" w:hAnsi="Times New Roman"/>
          <w:sz w:val="24"/>
          <w:szCs w:val="24"/>
        </w:rPr>
        <w:t> </w:t>
      </w:r>
      <w:r w:rsidR="001929F7" w:rsidRPr="00941D94">
        <w:rPr>
          <w:rFonts w:ascii="Times New Roman" w:hAnsi="Times New Roman"/>
          <w:sz w:val="24"/>
          <w:szCs w:val="24"/>
        </w:rPr>
        <w:t>201</w:t>
      </w:r>
      <w:r w:rsidR="00F230E0">
        <w:rPr>
          <w:rFonts w:ascii="Times New Roman" w:hAnsi="Times New Roman"/>
          <w:sz w:val="24"/>
          <w:szCs w:val="24"/>
        </w:rPr>
        <w:t>7</w:t>
      </w:r>
      <w:r w:rsidRPr="00941D94">
        <w:rPr>
          <w:rFonts w:ascii="Times New Roman" w:hAnsi="Times New Roman"/>
          <w:sz w:val="24"/>
          <w:szCs w:val="24"/>
        </w:rPr>
        <w:t xml:space="preserve"> následující služby z oblasti public relations</w:t>
      </w:r>
      <w:r w:rsidR="00743D7C">
        <w:rPr>
          <w:rFonts w:ascii="Times New Roman" w:hAnsi="Times New Roman"/>
          <w:sz w:val="24"/>
          <w:szCs w:val="24"/>
        </w:rPr>
        <w:t xml:space="preserve"> v souvislosti s potř</w:t>
      </w:r>
      <w:r w:rsidR="00743D7C" w:rsidRPr="009758C8">
        <w:rPr>
          <w:rFonts w:ascii="Times New Roman" w:hAnsi="Times New Roman"/>
          <w:sz w:val="24"/>
          <w:szCs w:val="24"/>
        </w:rPr>
        <w:t xml:space="preserve">ebou výstavby </w:t>
      </w:r>
      <w:r w:rsidR="00875BE3" w:rsidRPr="009758C8">
        <w:rPr>
          <w:rFonts w:ascii="Times New Roman" w:hAnsi="Times New Roman"/>
          <w:sz w:val="24"/>
          <w:szCs w:val="24"/>
        </w:rPr>
        <w:t>zásobník</w:t>
      </w:r>
      <w:r w:rsidR="00875BE3">
        <w:rPr>
          <w:rFonts w:ascii="Times New Roman" w:hAnsi="Times New Roman"/>
          <w:sz w:val="24"/>
          <w:szCs w:val="24"/>
        </w:rPr>
        <w:t>ů</w:t>
      </w:r>
      <w:r w:rsidR="00875BE3" w:rsidRPr="009758C8">
        <w:rPr>
          <w:rFonts w:ascii="Times New Roman" w:hAnsi="Times New Roman"/>
          <w:sz w:val="24"/>
          <w:szCs w:val="24"/>
        </w:rPr>
        <w:t xml:space="preserve"> </w:t>
      </w:r>
      <w:r w:rsidR="00743D7C" w:rsidRPr="009758C8">
        <w:rPr>
          <w:rFonts w:ascii="Times New Roman" w:hAnsi="Times New Roman"/>
          <w:sz w:val="24"/>
          <w:szCs w:val="24"/>
        </w:rPr>
        <w:t xml:space="preserve">na skladování </w:t>
      </w:r>
      <w:r w:rsidR="00875BE3">
        <w:rPr>
          <w:rFonts w:ascii="Times New Roman" w:hAnsi="Times New Roman"/>
          <w:sz w:val="24"/>
          <w:szCs w:val="24"/>
        </w:rPr>
        <w:t>ropy</w:t>
      </w:r>
      <w:r w:rsidRPr="009758C8">
        <w:rPr>
          <w:rFonts w:ascii="Times New Roman" w:hAnsi="Times New Roman"/>
          <w:sz w:val="24"/>
          <w:szCs w:val="24"/>
        </w:rPr>
        <w:t>:</w:t>
      </w:r>
    </w:p>
    <w:p w:rsidR="00C10300" w:rsidRPr="009758C8" w:rsidRDefault="009758C8" w:rsidP="005B6475">
      <w:pPr>
        <w:pStyle w:val="Odstavecseseznamem"/>
        <w:numPr>
          <w:ilvl w:val="1"/>
          <w:numId w:val="7"/>
        </w:numPr>
        <w:spacing w:after="120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58C8">
        <w:rPr>
          <w:rFonts w:ascii="Times New Roman" w:hAnsi="Times New Roman"/>
          <w:sz w:val="24"/>
          <w:szCs w:val="25"/>
        </w:rPr>
        <w:t xml:space="preserve">mediální </w:t>
      </w:r>
      <w:r w:rsidR="00F230E0">
        <w:rPr>
          <w:rFonts w:ascii="Times New Roman" w:hAnsi="Times New Roman"/>
          <w:sz w:val="24"/>
          <w:szCs w:val="25"/>
        </w:rPr>
        <w:t>podpora zadavatele při výstavbě zásobníku ropy</w:t>
      </w:r>
      <w:r w:rsidR="00C870E2">
        <w:rPr>
          <w:rFonts w:ascii="Times New Roman" w:hAnsi="Times New Roman"/>
          <w:sz w:val="24"/>
          <w:szCs w:val="25"/>
        </w:rPr>
        <w:t xml:space="preserve"> za účelem splnění požadavků ekologické legislativy</w:t>
      </w:r>
      <w:r w:rsidR="00941D94" w:rsidRPr="009758C8">
        <w:rPr>
          <w:rFonts w:ascii="Times New Roman" w:hAnsi="Times New Roman"/>
          <w:sz w:val="24"/>
          <w:szCs w:val="24"/>
        </w:rPr>
        <w:t>;</w:t>
      </w:r>
    </w:p>
    <w:p w:rsidR="00F230E0" w:rsidRPr="007C7D79" w:rsidRDefault="00F230E0" w:rsidP="00F230E0">
      <w:pPr>
        <w:pStyle w:val="Odstavecseseznamem"/>
        <w:numPr>
          <w:ilvl w:val="1"/>
          <w:numId w:val="7"/>
        </w:numPr>
        <w:spacing w:after="120" w:line="300" w:lineRule="auto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 xml:space="preserve">koordinace a/nebo podpora realizace komunikačních aktivit zadavatele s médii </w:t>
      </w:r>
      <w:r>
        <w:rPr>
          <w:rFonts w:ascii="Times New Roman" w:hAnsi="Times New Roman"/>
          <w:sz w:val="24"/>
          <w:szCs w:val="24"/>
        </w:rPr>
        <w:t>a </w:t>
      </w:r>
      <w:r w:rsidRPr="007C7D79">
        <w:rPr>
          <w:rFonts w:ascii="Times New Roman" w:hAnsi="Times New Roman"/>
          <w:sz w:val="24"/>
          <w:szCs w:val="24"/>
        </w:rPr>
        <w:t>dalšími relevantními cílovými skupinami v</w:t>
      </w:r>
      <w:r>
        <w:rPr>
          <w:rFonts w:ascii="Times New Roman" w:hAnsi="Times New Roman"/>
          <w:sz w:val="24"/>
          <w:szCs w:val="24"/>
        </w:rPr>
        <w:t> </w:t>
      </w:r>
      <w:r w:rsidRPr="007C7D7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eské republice;</w:t>
      </w:r>
    </w:p>
    <w:p w:rsidR="00F230E0" w:rsidRPr="007C7D79" w:rsidRDefault="00F230E0" w:rsidP="00F230E0">
      <w:pPr>
        <w:pStyle w:val="Odstavecseseznamem"/>
        <w:numPr>
          <w:ilvl w:val="1"/>
          <w:numId w:val="7"/>
        </w:numPr>
        <w:spacing w:after="120" w:line="300" w:lineRule="auto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zpracování podkladových materiálů, prezentací, tiskových zpráv a dalších dokumentů</w:t>
      </w:r>
      <w:r>
        <w:rPr>
          <w:rFonts w:ascii="Times New Roman" w:hAnsi="Times New Roman"/>
          <w:sz w:val="24"/>
          <w:szCs w:val="24"/>
        </w:rPr>
        <w:t>;</w:t>
      </w:r>
    </w:p>
    <w:p w:rsidR="00F230E0" w:rsidRPr="007C7D79" w:rsidRDefault="00F230E0" w:rsidP="00F230E0">
      <w:pPr>
        <w:pStyle w:val="Odstavecseseznamem"/>
        <w:numPr>
          <w:ilvl w:val="1"/>
          <w:numId w:val="7"/>
        </w:numPr>
        <w:spacing w:after="120" w:line="300" w:lineRule="auto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organizace a/nebo podpora organizace tiskových konferencí a dalších akcí zadavatele v Č</w:t>
      </w:r>
      <w:r>
        <w:rPr>
          <w:rFonts w:ascii="Times New Roman" w:hAnsi="Times New Roman"/>
          <w:sz w:val="24"/>
          <w:szCs w:val="24"/>
        </w:rPr>
        <w:t>eské republice;</w:t>
      </w:r>
    </w:p>
    <w:p w:rsidR="00F230E0" w:rsidRPr="007C7D79" w:rsidRDefault="00F230E0" w:rsidP="00F230E0">
      <w:pPr>
        <w:pStyle w:val="Odstavecseseznamem"/>
        <w:numPr>
          <w:ilvl w:val="1"/>
          <w:numId w:val="7"/>
        </w:numPr>
        <w:spacing w:after="120" w:line="300" w:lineRule="auto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příprava pracovníků zadavatele na vystoupení v</w:t>
      </w:r>
      <w:r>
        <w:rPr>
          <w:rFonts w:ascii="Times New Roman" w:hAnsi="Times New Roman"/>
          <w:sz w:val="24"/>
          <w:szCs w:val="24"/>
        </w:rPr>
        <w:t> </w:t>
      </w:r>
      <w:r w:rsidRPr="007C7D79">
        <w:rPr>
          <w:rFonts w:ascii="Times New Roman" w:hAnsi="Times New Roman"/>
          <w:sz w:val="24"/>
          <w:szCs w:val="24"/>
        </w:rPr>
        <w:t>médiích</w:t>
      </w:r>
      <w:r>
        <w:rPr>
          <w:rFonts w:ascii="Times New Roman" w:hAnsi="Times New Roman"/>
          <w:sz w:val="24"/>
          <w:szCs w:val="24"/>
        </w:rPr>
        <w:t>;</w:t>
      </w:r>
    </w:p>
    <w:p w:rsidR="009536F2" w:rsidRPr="00A15230" w:rsidRDefault="00F230E0" w:rsidP="00F230E0">
      <w:pPr>
        <w:pStyle w:val="Odstavecseseznamem"/>
        <w:numPr>
          <w:ilvl w:val="1"/>
          <w:numId w:val="7"/>
        </w:numPr>
        <w:spacing w:after="0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 xml:space="preserve">podpora krizové komunikace zadavatele. </w:t>
      </w:r>
      <w:r w:rsidR="00E72C2B" w:rsidRPr="00A15230">
        <w:rPr>
          <w:rFonts w:ascii="Times New Roman" w:hAnsi="Times New Roman"/>
          <w:sz w:val="24"/>
          <w:szCs w:val="24"/>
        </w:rPr>
        <w:t xml:space="preserve"> </w:t>
      </w:r>
    </w:p>
    <w:p w:rsidR="00E8352A" w:rsidRPr="007C7D79" w:rsidRDefault="00E8352A" w:rsidP="005B647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7D79"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:rsidR="00E8352A" w:rsidRPr="00774C6E" w:rsidRDefault="00E8352A" w:rsidP="005B6475">
      <w:pPr>
        <w:spacing w:after="120" w:line="276" w:lineRule="auto"/>
        <w:ind w:left="284"/>
        <w:jc w:val="center"/>
        <w:rPr>
          <w:rStyle w:val="Nzevknihy"/>
          <w:rFonts w:ascii="Times New Roman" w:hAnsi="Times New Roman"/>
          <w:sz w:val="24"/>
        </w:rPr>
      </w:pPr>
      <w:r w:rsidRPr="00774C6E">
        <w:rPr>
          <w:rStyle w:val="Nzevknihy"/>
          <w:rFonts w:ascii="Times New Roman" w:hAnsi="Times New Roman"/>
          <w:sz w:val="24"/>
        </w:rPr>
        <w:t>Cena plnění</w:t>
      </w:r>
    </w:p>
    <w:p w:rsidR="00941D94" w:rsidRDefault="00E8352A" w:rsidP="005B6475">
      <w:pPr>
        <w:pStyle w:val="Odstavecseseznamem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941D94">
        <w:rPr>
          <w:rFonts w:ascii="Times New Roman" w:hAnsi="Times New Roman"/>
          <w:sz w:val="24"/>
          <w:szCs w:val="24"/>
        </w:rPr>
        <w:t>Ce</w:t>
      </w:r>
      <w:r w:rsidR="008A5430" w:rsidRPr="00941D94">
        <w:rPr>
          <w:rFonts w:ascii="Times New Roman" w:hAnsi="Times New Roman"/>
          <w:sz w:val="24"/>
          <w:szCs w:val="24"/>
        </w:rPr>
        <w:t>na plnění uvedeného v článku I</w:t>
      </w:r>
      <w:r w:rsidR="00F230E0">
        <w:rPr>
          <w:rFonts w:ascii="Times New Roman" w:hAnsi="Times New Roman"/>
          <w:sz w:val="24"/>
          <w:szCs w:val="24"/>
        </w:rPr>
        <w:t xml:space="preserve">, odst. </w:t>
      </w:r>
      <w:proofErr w:type="gramStart"/>
      <w:r w:rsidR="00F230E0">
        <w:rPr>
          <w:rFonts w:ascii="Times New Roman" w:hAnsi="Times New Roman"/>
          <w:sz w:val="24"/>
          <w:szCs w:val="24"/>
        </w:rPr>
        <w:t>1.1., písm.</w:t>
      </w:r>
      <w:proofErr w:type="gramEnd"/>
      <w:r w:rsidR="00F230E0">
        <w:rPr>
          <w:rFonts w:ascii="Times New Roman" w:hAnsi="Times New Roman"/>
          <w:sz w:val="24"/>
          <w:szCs w:val="24"/>
        </w:rPr>
        <w:t xml:space="preserve"> a) až f</w:t>
      </w:r>
      <w:r w:rsidR="00D11246">
        <w:rPr>
          <w:rFonts w:ascii="Times New Roman" w:hAnsi="Times New Roman"/>
          <w:sz w:val="24"/>
          <w:szCs w:val="24"/>
        </w:rPr>
        <w:t>)</w:t>
      </w:r>
      <w:r w:rsidRPr="00941D94">
        <w:rPr>
          <w:rFonts w:ascii="Times New Roman" w:hAnsi="Times New Roman"/>
          <w:sz w:val="24"/>
          <w:szCs w:val="24"/>
        </w:rPr>
        <w:t xml:space="preserve"> se sjednává dohodou na částku v celkové výši</w:t>
      </w:r>
      <w:r w:rsidR="00AE462B" w:rsidRPr="00941D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567">
        <w:rPr>
          <w:rFonts w:ascii="Times New Roman" w:hAnsi="Times New Roman"/>
          <w:sz w:val="24"/>
          <w:szCs w:val="24"/>
        </w:rPr>
        <w:t>xxx</w:t>
      </w:r>
      <w:proofErr w:type="spellEnd"/>
      <w:r w:rsidRPr="00941D94">
        <w:rPr>
          <w:rFonts w:ascii="Times New Roman" w:hAnsi="Times New Roman"/>
          <w:i/>
          <w:sz w:val="24"/>
          <w:szCs w:val="24"/>
        </w:rPr>
        <w:t xml:space="preserve"> </w:t>
      </w:r>
      <w:r w:rsidR="00246BA5" w:rsidRPr="00941D94">
        <w:rPr>
          <w:rFonts w:ascii="Times New Roman" w:hAnsi="Times New Roman"/>
          <w:sz w:val="24"/>
          <w:szCs w:val="24"/>
        </w:rPr>
        <w:t>Kč (slovy</w:t>
      </w:r>
      <w:r w:rsidR="00953E55" w:rsidRPr="00941D94">
        <w:rPr>
          <w:rFonts w:ascii="Times New Roman" w:hAnsi="Times New Roman"/>
          <w:sz w:val="24"/>
          <w:szCs w:val="24"/>
        </w:rPr>
        <w:t>:</w:t>
      </w:r>
      <w:r w:rsidR="00C10300" w:rsidRPr="00941D94">
        <w:rPr>
          <w:rFonts w:ascii="Times New Roman" w:hAnsi="Times New Roman"/>
          <w:sz w:val="24"/>
          <w:szCs w:val="24"/>
        </w:rPr>
        <w:t xml:space="preserve"> </w:t>
      </w:r>
      <w:r w:rsidR="00317567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="001929F7" w:rsidRPr="00941D94">
        <w:rPr>
          <w:rFonts w:ascii="Times New Roman" w:hAnsi="Times New Roman"/>
          <w:sz w:val="24"/>
          <w:szCs w:val="24"/>
        </w:rPr>
        <w:t xml:space="preserve"> korun českých)</w:t>
      </w:r>
      <w:r w:rsidRPr="00941D94">
        <w:rPr>
          <w:rFonts w:ascii="Times New Roman" w:hAnsi="Times New Roman"/>
          <w:sz w:val="24"/>
          <w:szCs w:val="24"/>
        </w:rPr>
        <w:t xml:space="preserve"> </w:t>
      </w:r>
      <w:r w:rsidR="00941D94">
        <w:rPr>
          <w:rFonts w:ascii="Times New Roman" w:hAnsi="Times New Roman"/>
          <w:sz w:val="24"/>
          <w:szCs w:val="24"/>
        </w:rPr>
        <w:t xml:space="preserve">bez </w:t>
      </w:r>
      <w:r w:rsidRPr="00941D94">
        <w:rPr>
          <w:rFonts w:ascii="Times New Roman" w:hAnsi="Times New Roman"/>
          <w:sz w:val="24"/>
          <w:szCs w:val="24"/>
        </w:rPr>
        <w:t>DPH. Cena plnění bude uhrazena na účet agentury v</w:t>
      </w:r>
      <w:r w:rsidR="00174CF8" w:rsidRPr="00941D94">
        <w:rPr>
          <w:rFonts w:ascii="Times New Roman" w:hAnsi="Times New Roman"/>
          <w:sz w:val="24"/>
          <w:szCs w:val="24"/>
        </w:rPr>
        <w:t>e</w:t>
      </w:r>
      <w:r w:rsidR="001929F7" w:rsidRPr="00941D94">
        <w:rPr>
          <w:rFonts w:ascii="Times New Roman" w:hAnsi="Times New Roman"/>
          <w:sz w:val="24"/>
          <w:szCs w:val="24"/>
        </w:rPr>
        <w:t> </w:t>
      </w:r>
      <w:r w:rsidR="009758C8">
        <w:rPr>
          <w:rFonts w:ascii="Times New Roman" w:hAnsi="Times New Roman"/>
          <w:sz w:val="24"/>
          <w:szCs w:val="24"/>
        </w:rPr>
        <w:t>dvou</w:t>
      </w:r>
      <w:r w:rsidR="001929F7" w:rsidRPr="00941D94">
        <w:rPr>
          <w:rFonts w:ascii="Times New Roman" w:hAnsi="Times New Roman"/>
          <w:sz w:val="24"/>
          <w:szCs w:val="24"/>
        </w:rPr>
        <w:t xml:space="preserve"> </w:t>
      </w:r>
      <w:r w:rsidRPr="00941D94">
        <w:rPr>
          <w:rFonts w:ascii="Times New Roman" w:hAnsi="Times New Roman"/>
          <w:sz w:val="24"/>
          <w:szCs w:val="24"/>
        </w:rPr>
        <w:t>splátkách</w:t>
      </w:r>
      <w:r w:rsidR="00174CF8" w:rsidRPr="00941D9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317567">
        <w:rPr>
          <w:rFonts w:ascii="Times New Roman" w:hAnsi="Times New Roman"/>
          <w:sz w:val="24"/>
          <w:szCs w:val="24"/>
        </w:rPr>
        <w:t>xxx</w:t>
      </w:r>
      <w:proofErr w:type="spellEnd"/>
      <w:r w:rsidR="001929F7" w:rsidRPr="00941D94">
        <w:rPr>
          <w:rFonts w:ascii="Times New Roman" w:hAnsi="Times New Roman"/>
          <w:sz w:val="24"/>
          <w:szCs w:val="24"/>
        </w:rPr>
        <w:t xml:space="preserve"> Kč </w:t>
      </w:r>
      <w:r w:rsidR="00941D94" w:rsidRPr="00941D94">
        <w:rPr>
          <w:rFonts w:ascii="Times New Roman" w:hAnsi="Times New Roman"/>
          <w:sz w:val="24"/>
          <w:szCs w:val="24"/>
        </w:rPr>
        <w:t xml:space="preserve">(slovy: </w:t>
      </w:r>
      <w:proofErr w:type="spellStart"/>
      <w:r w:rsidR="00317567">
        <w:rPr>
          <w:rFonts w:ascii="Times New Roman" w:hAnsi="Times New Roman"/>
          <w:sz w:val="24"/>
          <w:szCs w:val="24"/>
        </w:rPr>
        <w:t>xxx</w:t>
      </w:r>
      <w:proofErr w:type="spellEnd"/>
      <w:r w:rsidR="00941D94">
        <w:rPr>
          <w:rFonts w:ascii="Times New Roman" w:hAnsi="Times New Roman"/>
          <w:sz w:val="24"/>
          <w:szCs w:val="24"/>
        </w:rPr>
        <w:t xml:space="preserve"> korun českých</w:t>
      </w:r>
      <w:r w:rsidR="00941D94" w:rsidRPr="00941D94">
        <w:rPr>
          <w:rFonts w:ascii="Times New Roman" w:hAnsi="Times New Roman"/>
          <w:sz w:val="24"/>
          <w:szCs w:val="24"/>
        </w:rPr>
        <w:t>) bez DPH</w:t>
      </w:r>
      <w:r w:rsidR="00941D94">
        <w:rPr>
          <w:rFonts w:ascii="Times New Roman" w:hAnsi="Times New Roman"/>
          <w:sz w:val="24"/>
          <w:szCs w:val="24"/>
        </w:rPr>
        <w:t xml:space="preserve"> </w:t>
      </w:r>
      <w:r w:rsidR="001929F7" w:rsidRPr="00941D94">
        <w:rPr>
          <w:rFonts w:ascii="Times New Roman" w:hAnsi="Times New Roman"/>
          <w:sz w:val="24"/>
          <w:szCs w:val="24"/>
        </w:rPr>
        <w:t xml:space="preserve">splatných </w:t>
      </w:r>
      <w:r w:rsidR="009758C8">
        <w:rPr>
          <w:rFonts w:ascii="Times New Roman" w:hAnsi="Times New Roman"/>
          <w:sz w:val="24"/>
          <w:szCs w:val="24"/>
        </w:rPr>
        <w:t xml:space="preserve">do 30. </w:t>
      </w:r>
      <w:r w:rsidR="00F230E0">
        <w:rPr>
          <w:rFonts w:ascii="Times New Roman" w:hAnsi="Times New Roman"/>
          <w:sz w:val="24"/>
          <w:szCs w:val="24"/>
        </w:rPr>
        <w:t>června</w:t>
      </w:r>
      <w:r w:rsidR="009758C8">
        <w:rPr>
          <w:rFonts w:ascii="Times New Roman" w:hAnsi="Times New Roman"/>
          <w:sz w:val="24"/>
          <w:szCs w:val="24"/>
        </w:rPr>
        <w:t xml:space="preserve"> 201</w:t>
      </w:r>
      <w:r w:rsidR="00F230E0">
        <w:rPr>
          <w:rFonts w:ascii="Times New Roman" w:hAnsi="Times New Roman"/>
          <w:sz w:val="24"/>
          <w:szCs w:val="24"/>
        </w:rPr>
        <w:t>7</w:t>
      </w:r>
      <w:r w:rsidR="009758C8">
        <w:rPr>
          <w:rFonts w:ascii="Times New Roman" w:hAnsi="Times New Roman"/>
          <w:sz w:val="24"/>
          <w:szCs w:val="24"/>
        </w:rPr>
        <w:t xml:space="preserve"> a do 31. prosince 201</w:t>
      </w:r>
      <w:r w:rsidR="00F230E0">
        <w:rPr>
          <w:rFonts w:ascii="Times New Roman" w:hAnsi="Times New Roman"/>
          <w:sz w:val="24"/>
          <w:szCs w:val="24"/>
        </w:rPr>
        <w:t>7</w:t>
      </w:r>
      <w:r w:rsidR="001929F7" w:rsidRPr="00941D94">
        <w:rPr>
          <w:rFonts w:ascii="Times New Roman" w:hAnsi="Times New Roman"/>
          <w:sz w:val="24"/>
          <w:szCs w:val="24"/>
        </w:rPr>
        <w:t>.</w:t>
      </w:r>
      <w:r w:rsidR="0041313B">
        <w:rPr>
          <w:rFonts w:ascii="Times New Roman" w:hAnsi="Times New Roman"/>
          <w:sz w:val="24"/>
          <w:szCs w:val="24"/>
        </w:rPr>
        <w:t xml:space="preserve"> </w:t>
      </w:r>
      <w:r w:rsidR="006D7CE1" w:rsidRPr="006D7CE1">
        <w:rPr>
          <w:rFonts w:ascii="Times New Roman" w:hAnsi="Times New Roman"/>
          <w:sz w:val="24"/>
          <w:szCs w:val="24"/>
        </w:rPr>
        <w:t xml:space="preserve"> </w:t>
      </w:r>
      <w:r w:rsidR="006D7CE1">
        <w:rPr>
          <w:rFonts w:ascii="Times New Roman" w:hAnsi="Times New Roman"/>
          <w:sz w:val="24"/>
          <w:szCs w:val="24"/>
        </w:rPr>
        <w:t xml:space="preserve">Cena plnění je pevná a konečná a zahrnuje veškeré náklady, které agentuře při realizaci předmětu plnění této smlouvy vzniknou. Jakékoli vícenáklady nejsou dle této smlouvy </w:t>
      </w:r>
      <w:r w:rsidR="00A15230">
        <w:rPr>
          <w:rFonts w:ascii="Times New Roman" w:hAnsi="Times New Roman"/>
          <w:sz w:val="24"/>
          <w:szCs w:val="24"/>
        </w:rPr>
        <w:t>přípustné</w:t>
      </w:r>
      <w:r w:rsidR="006D7CE1">
        <w:rPr>
          <w:rFonts w:ascii="Times New Roman" w:hAnsi="Times New Roman"/>
          <w:sz w:val="24"/>
          <w:szCs w:val="24"/>
        </w:rPr>
        <w:t>.</w:t>
      </w:r>
    </w:p>
    <w:p w:rsidR="0041313B" w:rsidRPr="0041313B" w:rsidRDefault="0041313B" w:rsidP="005B6475">
      <w:p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41D94" w:rsidRDefault="00E60ED4" w:rsidP="005B6475">
      <w:pPr>
        <w:pStyle w:val="Odstavecseseznamem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Ke smluvní odm</w:t>
      </w:r>
      <w:r w:rsidRPr="00E60ED4">
        <w:rPr>
          <w:rFonts w:ascii="Times New Roman" w:hAnsi="Times New Roman" w:hint="eastAsia"/>
          <w:sz w:val="24"/>
          <w:szCs w:val="24"/>
        </w:rPr>
        <w:t>ě</w:t>
      </w:r>
      <w:r w:rsidRPr="00E60ED4">
        <w:rPr>
          <w:rFonts w:ascii="Times New Roman" w:hAnsi="Times New Roman"/>
          <w:sz w:val="24"/>
          <w:szCs w:val="24"/>
        </w:rPr>
        <w:t>n</w:t>
      </w:r>
      <w:r w:rsidRPr="00E60ED4">
        <w:rPr>
          <w:rFonts w:ascii="Times New Roman" w:hAnsi="Times New Roman" w:hint="eastAsia"/>
          <w:sz w:val="24"/>
          <w:szCs w:val="24"/>
        </w:rPr>
        <w:t>ě</w:t>
      </w:r>
      <w:r w:rsidRPr="00E60ED4">
        <w:rPr>
          <w:rFonts w:ascii="Times New Roman" w:hAnsi="Times New Roman"/>
          <w:sz w:val="24"/>
          <w:szCs w:val="24"/>
        </w:rPr>
        <w:t xml:space="preserve"> </w:t>
      </w:r>
      <w:r w:rsidR="0041313B">
        <w:rPr>
          <w:rFonts w:ascii="Times New Roman" w:hAnsi="Times New Roman"/>
          <w:sz w:val="24"/>
          <w:szCs w:val="24"/>
        </w:rPr>
        <w:t xml:space="preserve">podle odst. </w:t>
      </w:r>
      <w:proofErr w:type="gramStart"/>
      <w:r w:rsidR="0041313B">
        <w:rPr>
          <w:rFonts w:ascii="Times New Roman" w:hAnsi="Times New Roman"/>
          <w:sz w:val="24"/>
          <w:szCs w:val="24"/>
        </w:rPr>
        <w:t xml:space="preserve">2.1. </w:t>
      </w:r>
      <w:r w:rsidRPr="00E60ED4">
        <w:rPr>
          <w:rFonts w:ascii="Times New Roman" w:hAnsi="Times New Roman"/>
          <w:sz w:val="24"/>
          <w:szCs w:val="24"/>
        </w:rPr>
        <w:t>bude</w:t>
      </w:r>
      <w:proofErr w:type="gramEnd"/>
      <w:r w:rsidRPr="00E60ED4">
        <w:rPr>
          <w:rFonts w:ascii="Times New Roman" w:hAnsi="Times New Roman"/>
          <w:sz w:val="24"/>
          <w:szCs w:val="24"/>
        </w:rPr>
        <w:t xml:space="preserve"> p</w:t>
      </w:r>
      <w:r w:rsidRPr="00E60ED4">
        <w:rPr>
          <w:rFonts w:ascii="Times New Roman" w:hAnsi="Times New Roman" w:hint="eastAsia"/>
          <w:sz w:val="24"/>
          <w:szCs w:val="24"/>
        </w:rPr>
        <w:t>ř</w:t>
      </w:r>
      <w:r w:rsidRPr="00E60ED4">
        <w:rPr>
          <w:rFonts w:ascii="Times New Roman" w:hAnsi="Times New Roman"/>
          <w:sz w:val="24"/>
          <w:szCs w:val="24"/>
        </w:rPr>
        <w:t>ipo</w:t>
      </w:r>
      <w:r w:rsidRPr="00E60ED4">
        <w:rPr>
          <w:rFonts w:ascii="Times New Roman" w:hAnsi="Times New Roman" w:hint="eastAsia"/>
          <w:sz w:val="24"/>
          <w:szCs w:val="24"/>
        </w:rPr>
        <w:t>č</w:t>
      </w:r>
      <w:r w:rsidRPr="00E60ED4">
        <w:rPr>
          <w:rFonts w:ascii="Times New Roman" w:hAnsi="Times New Roman"/>
          <w:sz w:val="24"/>
          <w:szCs w:val="24"/>
        </w:rPr>
        <w:t xml:space="preserve">tena zákonná DPH a celá </w:t>
      </w:r>
      <w:r w:rsidRPr="00E60ED4">
        <w:rPr>
          <w:rFonts w:ascii="Times New Roman" w:hAnsi="Times New Roman" w:hint="eastAsia"/>
          <w:sz w:val="24"/>
          <w:szCs w:val="24"/>
        </w:rPr>
        <w:t>čá</w:t>
      </w:r>
      <w:r w:rsidRPr="00E60ED4">
        <w:rPr>
          <w:rFonts w:ascii="Times New Roman" w:hAnsi="Times New Roman"/>
          <w:sz w:val="24"/>
          <w:szCs w:val="24"/>
        </w:rPr>
        <w:t>stka bude splatná na základ</w:t>
      </w:r>
      <w:r w:rsidRPr="00E60ED4">
        <w:rPr>
          <w:rFonts w:ascii="Times New Roman" w:hAnsi="Times New Roman" w:hint="eastAsia"/>
          <w:sz w:val="24"/>
          <w:szCs w:val="24"/>
        </w:rPr>
        <w:t>ě</w:t>
      </w:r>
      <w:r w:rsidRPr="00E60ED4">
        <w:rPr>
          <w:rFonts w:ascii="Times New Roman" w:hAnsi="Times New Roman"/>
          <w:sz w:val="24"/>
          <w:szCs w:val="24"/>
        </w:rPr>
        <w:t xml:space="preserve"> da</w:t>
      </w:r>
      <w:r w:rsidRPr="00E60ED4">
        <w:rPr>
          <w:rFonts w:ascii="Times New Roman" w:hAnsi="Times New Roman" w:hint="eastAsia"/>
          <w:sz w:val="24"/>
          <w:szCs w:val="24"/>
        </w:rPr>
        <w:t>ň</w:t>
      </w:r>
      <w:r w:rsidRPr="00E60ED4">
        <w:rPr>
          <w:rFonts w:ascii="Times New Roman" w:hAnsi="Times New Roman"/>
          <w:sz w:val="24"/>
          <w:szCs w:val="24"/>
        </w:rPr>
        <w:t xml:space="preserve">ového dokladu (faktury) vystaveného </w:t>
      </w:r>
      <w:r>
        <w:rPr>
          <w:rFonts w:ascii="Times New Roman" w:hAnsi="Times New Roman"/>
          <w:sz w:val="24"/>
          <w:szCs w:val="24"/>
        </w:rPr>
        <w:t>agenturou</w:t>
      </w:r>
      <w:r w:rsidR="006D7CE1">
        <w:rPr>
          <w:rFonts w:ascii="Times New Roman" w:hAnsi="Times New Roman"/>
          <w:sz w:val="24"/>
          <w:szCs w:val="24"/>
        </w:rPr>
        <w:t xml:space="preserve"> a doručeného zadavateli</w:t>
      </w:r>
      <w:r>
        <w:rPr>
          <w:rFonts w:ascii="Times New Roman" w:hAnsi="Times New Roman"/>
          <w:sz w:val="24"/>
          <w:szCs w:val="24"/>
        </w:rPr>
        <w:t xml:space="preserve">. Daňové doklady </w:t>
      </w:r>
      <w:r w:rsidR="00E8352A" w:rsidRPr="00941D94">
        <w:rPr>
          <w:rFonts w:ascii="Times New Roman" w:hAnsi="Times New Roman"/>
          <w:sz w:val="24"/>
          <w:szCs w:val="24"/>
        </w:rPr>
        <w:t xml:space="preserve">budou obsahovat náležitosti podle obecně platných právních předpisů České republiky. Agentura se zavazuje faktury vystavovat nejpozději </w:t>
      </w:r>
      <w:r w:rsidR="00941D94">
        <w:rPr>
          <w:rFonts w:ascii="Times New Roman" w:hAnsi="Times New Roman"/>
          <w:sz w:val="24"/>
          <w:szCs w:val="24"/>
        </w:rPr>
        <w:t>sedm (</w:t>
      </w:r>
      <w:r w:rsidR="00E8352A" w:rsidRPr="00941D94">
        <w:rPr>
          <w:rFonts w:ascii="Times New Roman" w:hAnsi="Times New Roman"/>
          <w:sz w:val="24"/>
          <w:szCs w:val="24"/>
        </w:rPr>
        <w:t>7</w:t>
      </w:r>
      <w:r w:rsidR="00941D94">
        <w:rPr>
          <w:rFonts w:ascii="Times New Roman" w:hAnsi="Times New Roman"/>
          <w:sz w:val="24"/>
          <w:szCs w:val="24"/>
        </w:rPr>
        <w:t>)</w:t>
      </w:r>
      <w:r w:rsidR="00E8352A" w:rsidRPr="00941D94">
        <w:rPr>
          <w:rFonts w:ascii="Times New Roman" w:hAnsi="Times New Roman"/>
          <w:sz w:val="24"/>
          <w:szCs w:val="24"/>
        </w:rPr>
        <w:t xml:space="preserve"> dnů před jejich splatností. </w:t>
      </w:r>
      <w:r w:rsidRPr="00941D94">
        <w:rPr>
          <w:rFonts w:ascii="Times New Roman" w:hAnsi="Times New Roman"/>
          <w:sz w:val="24"/>
          <w:szCs w:val="24"/>
        </w:rPr>
        <w:t>Dnem zdanitelného plnění je den vystavení faktury.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2A" w:rsidRPr="00941D94">
        <w:rPr>
          <w:rFonts w:ascii="Times New Roman" w:hAnsi="Times New Roman"/>
          <w:sz w:val="24"/>
          <w:szCs w:val="24"/>
        </w:rPr>
        <w:t xml:space="preserve">V případě, že agentura vystaví některou ze svých faktur později než </w:t>
      </w:r>
      <w:r>
        <w:rPr>
          <w:rFonts w:ascii="Times New Roman" w:hAnsi="Times New Roman"/>
          <w:sz w:val="24"/>
          <w:szCs w:val="24"/>
        </w:rPr>
        <w:t>sedm (</w:t>
      </w:r>
      <w:r w:rsidR="00E8352A" w:rsidRPr="00941D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E8352A" w:rsidRPr="00941D94">
        <w:rPr>
          <w:rFonts w:ascii="Times New Roman" w:hAnsi="Times New Roman"/>
          <w:sz w:val="24"/>
          <w:szCs w:val="24"/>
        </w:rPr>
        <w:t xml:space="preserve"> dnů před její splatností, není zadavatel povinen fakturu v den uvedené splatnosti uhradit. V takovém případě bude zadavatel povinen danou fakturu uhradit nejpozději </w:t>
      </w:r>
      <w:r w:rsidR="00941D94">
        <w:rPr>
          <w:rFonts w:ascii="Times New Roman" w:hAnsi="Times New Roman"/>
          <w:sz w:val="24"/>
          <w:szCs w:val="24"/>
        </w:rPr>
        <w:t>sedmý (</w:t>
      </w:r>
      <w:r w:rsidR="00E8352A" w:rsidRPr="00941D94">
        <w:rPr>
          <w:rFonts w:ascii="Times New Roman" w:hAnsi="Times New Roman"/>
          <w:sz w:val="24"/>
          <w:szCs w:val="24"/>
        </w:rPr>
        <w:t>7.</w:t>
      </w:r>
      <w:r w:rsidR="00941D94">
        <w:rPr>
          <w:rFonts w:ascii="Times New Roman" w:hAnsi="Times New Roman"/>
          <w:sz w:val="24"/>
          <w:szCs w:val="24"/>
        </w:rPr>
        <w:t>)</w:t>
      </w:r>
      <w:r w:rsidR="00E8352A" w:rsidRPr="00941D94">
        <w:rPr>
          <w:rFonts w:ascii="Times New Roman" w:hAnsi="Times New Roman"/>
          <w:sz w:val="24"/>
          <w:szCs w:val="24"/>
        </w:rPr>
        <w:t xml:space="preserve"> den po jejím vystavení. </w:t>
      </w:r>
    </w:p>
    <w:p w:rsidR="00E60ED4" w:rsidRPr="00941D9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8352A" w:rsidRPr="007C7D79" w:rsidRDefault="00E8352A" w:rsidP="005B647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C7D79">
        <w:rPr>
          <w:rFonts w:ascii="Times New Roman" w:hAnsi="Times New Roman"/>
          <w:b/>
          <w:sz w:val="24"/>
          <w:szCs w:val="24"/>
        </w:rPr>
        <w:t>Čl. III</w:t>
      </w:r>
    </w:p>
    <w:p w:rsidR="00E8352A" w:rsidRPr="00774C6E" w:rsidRDefault="00E8352A" w:rsidP="005B6475">
      <w:pPr>
        <w:tabs>
          <w:tab w:val="left" w:pos="284"/>
        </w:tabs>
        <w:spacing w:after="120" w:line="276" w:lineRule="auto"/>
        <w:jc w:val="center"/>
        <w:rPr>
          <w:rStyle w:val="Nzevknihy"/>
          <w:rFonts w:ascii="Times New Roman" w:hAnsi="Times New Roman"/>
          <w:sz w:val="24"/>
        </w:rPr>
      </w:pPr>
      <w:r w:rsidRPr="00774C6E">
        <w:rPr>
          <w:rStyle w:val="Nzevknihy"/>
          <w:rFonts w:ascii="Times New Roman" w:hAnsi="Times New Roman"/>
          <w:sz w:val="24"/>
        </w:rPr>
        <w:t>Práva a povinnosti zadavatele a agentury</w:t>
      </w: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Zadavatel se zavazuje poskytovat agentuře v přiměř</w:t>
      </w:r>
      <w:r w:rsidR="003B3FE1">
        <w:rPr>
          <w:rFonts w:ascii="Times New Roman" w:hAnsi="Times New Roman"/>
          <w:sz w:val="24"/>
          <w:szCs w:val="24"/>
        </w:rPr>
        <w:t>ené lhůtě podklady, informace a </w:t>
      </w:r>
      <w:r w:rsidRPr="00E60ED4">
        <w:rPr>
          <w:rFonts w:ascii="Times New Roman" w:hAnsi="Times New Roman"/>
          <w:sz w:val="24"/>
          <w:szCs w:val="24"/>
        </w:rPr>
        <w:t>údaje, které agentura může rozumně požadovat pro úspěšné plnění závazků vyplývajících z předmětu plnění sjednaného v této smlouvě.</w:t>
      </w:r>
    </w:p>
    <w:p w:rsidR="00E60ED4" w:rsidRDefault="00E60ED4" w:rsidP="005B6475">
      <w:pPr>
        <w:pStyle w:val="Odstavecseseznamem"/>
        <w:tabs>
          <w:tab w:val="left" w:pos="284"/>
        </w:tabs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Agentura neodpovídá za vady, které vznikly na základě chybných nebo neúplných údajů a podkladů poskytnutých zadavatelem.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 xml:space="preserve">Agentura je povinna předávat zadavateli informace o dílčích plněních průběžně, nejméně však jednou </w:t>
      </w:r>
      <w:r w:rsidR="003B3FE1">
        <w:rPr>
          <w:rFonts w:ascii="Times New Roman" w:hAnsi="Times New Roman"/>
          <w:sz w:val="24"/>
          <w:szCs w:val="24"/>
        </w:rPr>
        <w:t xml:space="preserve">(1) </w:t>
      </w:r>
      <w:r w:rsidRPr="00E60ED4">
        <w:rPr>
          <w:rFonts w:ascii="Times New Roman" w:hAnsi="Times New Roman"/>
          <w:sz w:val="24"/>
          <w:szCs w:val="24"/>
        </w:rPr>
        <w:t xml:space="preserve">za měsíc, a též na požádání zadavatele (v takovém případě je agentura povinna zadavateli požadované informace poskytnout nejpozději do </w:t>
      </w:r>
      <w:r w:rsidR="003B3FE1">
        <w:rPr>
          <w:rFonts w:ascii="Times New Roman" w:hAnsi="Times New Roman"/>
          <w:sz w:val="24"/>
          <w:szCs w:val="24"/>
        </w:rPr>
        <w:t>tří (</w:t>
      </w:r>
      <w:r w:rsidRPr="00E60ED4">
        <w:rPr>
          <w:rFonts w:ascii="Times New Roman" w:hAnsi="Times New Roman"/>
          <w:sz w:val="24"/>
          <w:szCs w:val="24"/>
        </w:rPr>
        <w:t>3</w:t>
      </w:r>
      <w:r w:rsidR="003B3FE1">
        <w:rPr>
          <w:rFonts w:ascii="Times New Roman" w:hAnsi="Times New Roman"/>
          <w:sz w:val="24"/>
          <w:szCs w:val="24"/>
        </w:rPr>
        <w:t>)</w:t>
      </w:r>
      <w:r w:rsidRPr="00E60ED4">
        <w:rPr>
          <w:rFonts w:ascii="Times New Roman" w:hAnsi="Times New Roman"/>
          <w:sz w:val="24"/>
          <w:szCs w:val="24"/>
        </w:rPr>
        <w:t xml:space="preserve"> pracovních dnů). Forma prezentace bude </w:t>
      </w:r>
      <w:r w:rsidR="00AE1320">
        <w:rPr>
          <w:rFonts w:ascii="Times New Roman" w:hAnsi="Times New Roman"/>
          <w:sz w:val="24"/>
          <w:szCs w:val="24"/>
        </w:rPr>
        <w:t xml:space="preserve">se zadavatelem dojednána k datu účinnosti této </w:t>
      </w:r>
      <w:proofErr w:type="gramStart"/>
      <w:r w:rsidR="00AE1320">
        <w:rPr>
          <w:rFonts w:ascii="Times New Roman" w:hAnsi="Times New Roman"/>
          <w:sz w:val="24"/>
          <w:szCs w:val="24"/>
        </w:rPr>
        <w:t>smlouvy.</w:t>
      </w:r>
      <w:r w:rsidRPr="00E60ED4">
        <w:rPr>
          <w:rFonts w:ascii="Times New Roman" w:hAnsi="Times New Roman"/>
          <w:sz w:val="24"/>
          <w:szCs w:val="24"/>
        </w:rPr>
        <w:t>.</w:t>
      </w:r>
      <w:proofErr w:type="gramEnd"/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 xml:space="preserve">Zadavatel a agentura se tímto dohodli, že obchodním tajemstvím se pro účely této smlouvy rozumí v souladu s příslušnými ustanoveními zákona č. </w:t>
      </w:r>
      <w:r w:rsidR="00D77729" w:rsidRPr="00E60ED4">
        <w:rPr>
          <w:rFonts w:ascii="Times New Roman" w:hAnsi="Times New Roman"/>
          <w:sz w:val="24"/>
          <w:szCs w:val="24"/>
        </w:rPr>
        <w:t>89/2012 Sb.</w:t>
      </w:r>
      <w:r w:rsidR="003B3FE1">
        <w:rPr>
          <w:rFonts w:ascii="Times New Roman" w:hAnsi="Times New Roman"/>
          <w:sz w:val="24"/>
          <w:szCs w:val="24"/>
        </w:rPr>
        <w:t>, v </w:t>
      </w:r>
      <w:r w:rsidRPr="00E60ED4">
        <w:rPr>
          <w:rFonts w:ascii="Times New Roman" w:hAnsi="Times New Roman"/>
          <w:sz w:val="24"/>
          <w:szCs w:val="24"/>
        </w:rPr>
        <w:t>platném znění</w:t>
      </w:r>
      <w:r w:rsidR="003B3FE1">
        <w:rPr>
          <w:rFonts w:ascii="Times New Roman" w:hAnsi="Times New Roman"/>
          <w:sz w:val="24"/>
          <w:szCs w:val="24"/>
        </w:rPr>
        <w:t xml:space="preserve"> (dále jen „</w:t>
      </w:r>
      <w:r w:rsidR="003B3FE1" w:rsidRPr="003B3FE1">
        <w:rPr>
          <w:rFonts w:ascii="Times New Roman" w:hAnsi="Times New Roman"/>
          <w:sz w:val="24"/>
          <w:szCs w:val="24"/>
          <w:u w:val="single"/>
        </w:rPr>
        <w:t>občanský zákoník</w:t>
      </w:r>
      <w:r w:rsidR="003B3FE1">
        <w:rPr>
          <w:rFonts w:ascii="Times New Roman" w:hAnsi="Times New Roman"/>
          <w:sz w:val="24"/>
          <w:szCs w:val="24"/>
        </w:rPr>
        <w:t>“)</w:t>
      </w:r>
      <w:r w:rsidRPr="00E60ED4">
        <w:rPr>
          <w:rFonts w:ascii="Times New Roman" w:hAnsi="Times New Roman"/>
          <w:sz w:val="24"/>
          <w:szCs w:val="24"/>
        </w:rPr>
        <w:t>, veškeré informace a doklady, poskytnuté v souladu s touto smlouvou, a informace týkající se předmětu této smlouvy, zadavatele a agentury, a dále skutečnosti</w:t>
      </w:r>
      <w:r w:rsidR="00D2236B" w:rsidRPr="00E60ED4">
        <w:rPr>
          <w:rFonts w:ascii="Times New Roman" w:hAnsi="Times New Roman"/>
          <w:sz w:val="24"/>
          <w:szCs w:val="24"/>
        </w:rPr>
        <w:t>,</w:t>
      </w:r>
      <w:r w:rsidRPr="00E60ED4">
        <w:rPr>
          <w:rFonts w:ascii="Times New Roman" w:hAnsi="Times New Roman"/>
          <w:sz w:val="24"/>
          <w:szCs w:val="24"/>
        </w:rPr>
        <w:t xml:space="preserve"> jejichž zveřejnění by ohrozilo oprávněné zá</w:t>
      </w:r>
      <w:r w:rsidR="003B3FE1">
        <w:rPr>
          <w:rFonts w:ascii="Times New Roman" w:hAnsi="Times New Roman"/>
          <w:sz w:val="24"/>
          <w:szCs w:val="24"/>
        </w:rPr>
        <w:t>jmy zadavatele nebo agentury, s </w:t>
      </w:r>
      <w:r w:rsidRPr="00E60ED4">
        <w:rPr>
          <w:rFonts w:ascii="Times New Roman" w:hAnsi="Times New Roman"/>
          <w:sz w:val="24"/>
          <w:szCs w:val="24"/>
        </w:rPr>
        <w:t>výjimkou skutečností obecně známých (dále jen utajova</w:t>
      </w:r>
      <w:r w:rsidR="003B3FE1">
        <w:rPr>
          <w:rFonts w:ascii="Times New Roman" w:hAnsi="Times New Roman"/>
          <w:sz w:val="24"/>
          <w:szCs w:val="24"/>
        </w:rPr>
        <w:t>né skutečnosti) a skutečnosti a </w:t>
      </w:r>
      <w:r w:rsidRPr="00E60ED4">
        <w:rPr>
          <w:rFonts w:ascii="Times New Roman" w:hAnsi="Times New Roman"/>
          <w:sz w:val="24"/>
          <w:szCs w:val="24"/>
        </w:rPr>
        <w:t>informace označené za důvěrné.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lastRenderedPageBreak/>
        <w:t xml:space="preserve">Zadavatel a agentura se zavazují, že jakékoliv informace, získané </w:t>
      </w:r>
      <w:r w:rsidR="003B3FE1">
        <w:rPr>
          <w:rFonts w:ascii="Times New Roman" w:hAnsi="Times New Roman"/>
          <w:sz w:val="24"/>
          <w:szCs w:val="24"/>
        </w:rPr>
        <w:t xml:space="preserve">při plnění služeb dle čl. I </w:t>
      </w:r>
      <w:r w:rsidRPr="00E60ED4">
        <w:rPr>
          <w:rFonts w:ascii="Times New Roman" w:hAnsi="Times New Roman"/>
          <w:sz w:val="24"/>
          <w:szCs w:val="24"/>
        </w:rPr>
        <w:t>této smlouvy, neoprávněně nesdělí, nezpřístupní třetí osobě, nevy</w:t>
      </w:r>
      <w:r w:rsidR="003B3FE1">
        <w:rPr>
          <w:rFonts w:ascii="Times New Roman" w:hAnsi="Times New Roman"/>
          <w:sz w:val="24"/>
          <w:szCs w:val="24"/>
        </w:rPr>
        <w:t>užijí pro sebe ani pro jiného v </w:t>
      </w:r>
      <w:r w:rsidRPr="00E60ED4">
        <w:rPr>
          <w:rFonts w:ascii="Times New Roman" w:hAnsi="Times New Roman"/>
          <w:sz w:val="24"/>
          <w:szCs w:val="24"/>
        </w:rPr>
        <w:t>rozporu s účelem této smlouvy nebo se zájmem druhé smluvní strany, který znají nebo musejí znát. Smluvní strany jsou povinny zavázat stejnou ochranou utajovaných skutečností své zaměstnance</w:t>
      </w:r>
      <w:r w:rsidR="00D2236B" w:rsidRPr="00E60ED4">
        <w:rPr>
          <w:rFonts w:ascii="Times New Roman" w:hAnsi="Times New Roman"/>
          <w:sz w:val="24"/>
          <w:szCs w:val="24"/>
        </w:rPr>
        <w:t xml:space="preserve">, a </w:t>
      </w:r>
      <w:r w:rsidRPr="00E60ED4">
        <w:rPr>
          <w:rFonts w:ascii="Times New Roman" w:hAnsi="Times New Roman"/>
          <w:sz w:val="24"/>
          <w:szCs w:val="24"/>
        </w:rPr>
        <w:t xml:space="preserve">pokud bude tato povinnost ze strany zaměstnanců porušena, nesou odpovědnost za porušení povinnost mlčenlivosti ze strany svých zaměstnanců. 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V případě porušení povinností z této smlouvy odpovídá strana, která porušení povinností zavinila, druhé straně za způsobenou škodu.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 xml:space="preserve">Agentura se zavazuje, že v případě použití autorských děl či jiných předmětů duševního či průmyslového vlastnictví třetích osob (dále jen </w:t>
      </w:r>
      <w:r w:rsidR="003B3FE1">
        <w:rPr>
          <w:rFonts w:ascii="Times New Roman" w:hAnsi="Times New Roman"/>
          <w:sz w:val="24"/>
          <w:szCs w:val="24"/>
        </w:rPr>
        <w:t>„</w:t>
      </w:r>
      <w:r w:rsidRPr="003B3FE1">
        <w:rPr>
          <w:rFonts w:ascii="Times New Roman" w:hAnsi="Times New Roman"/>
          <w:sz w:val="24"/>
          <w:szCs w:val="24"/>
          <w:u w:val="single"/>
        </w:rPr>
        <w:t>autorské dílo</w:t>
      </w:r>
      <w:r w:rsidR="003B3FE1">
        <w:rPr>
          <w:rFonts w:ascii="Times New Roman" w:hAnsi="Times New Roman"/>
          <w:sz w:val="24"/>
          <w:szCs w:val="24"/>
        </w:rPr>
        <w:t>“</w:t>
      </w:r>
      <w:r w:rsidRPr="00E60ED4">
        <w:rPr>
          <w:rFonts w:ascii="Times New Roman" w:hAnsi="Times New Roman"/>
          <w:sz w:val="24"/>
          <w:szCs w:val="24"/>
        </w:rPr>
        <w:t xml:space="preserve">) k plnění podle této smlouvy, obstará veškerá práva či souhlasy k řádnému použití takového autorského díla v souladu s touto smlouvou a na potřebu získání takových práv či souhlasů zadavatele předem písemně upozorní. 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 xml:space="preserve">Bez ohledu na ustanovení odstavce </w:t>
      </w:r>
      <w:r w:rsidR="003B3FE1">
        <w:rPr>
          <w:rFonts w:ascii="Times New Roman" w:hAnsi="Times New Roman"/>
          <w:sz w:val="24"/>
          <w:szCs w:val="24"/>
        </w:rPr>
        <w:t>3.</w:t>
      </w:r>
      <w:r w:rsidRPr="00E60ED4">
        <w:rPr>
          <w:rFonts w:ascii="Times New Roman" w:hAnsi="Times New Roman"/>
          <w:sz w:val="24"/>
          <w:szCs w:val="24"/>
        </w:rPr>
        <w:t xml:space="preserve">6, se agentura zavazuje uhradit zadavateli jakékoliv náklady, vzniklé v důsledku porušení odstavce </w:t>
      </w:r>
      <w:r w:rsidR="0041313B">
        <w:rPr>
          <w:rFonts w:ascii="Times New Roman" w:hAnsi="Times New Roman"/>
          <w:sz w:val="24"/>
          <w:szCs w:val="24"/>
        </w:rPr>
        <w:t>3</w:t>
      </w:r>
      <w:r w:rsidR="003B3FE1">
        <w:rPr>
          <w:rFonts w:ascii="Times New Roman" w:hAnsi="Times New Roman"/>
          <w:sz w:val="24"/>
          <w:szCs w:val="24"/>
        </w:rPr>
        <w:t>.</w:t>
      </w:r>
      <w:r w:rsidRPr="00E60ED4">
        <w:rPr>
          <w:rFonts w:ascii="Times New Roman" w:hAnsi="Times New Roman"/>
          <w:sz w:val="24"/>
          <w:szCs w:val="24"/>
        </w:rPr>
        <w:t xml:space="preserve">4, </w:t>
      </w:r>
      <w:r w:rsidR="0041313B">
        <w:rPr>
          <w:rFonts w:ascii="Times New Roman" w:hAnsi="Times New Roman"/>
          <w:sz w:val="24"/>
          <w:szCs w:val="24"/>
        </w:rPr>
        <w:t>3</w:t>
      </w:r>
      <w:r w:rsidR="003B3FE1">
        <w:rPr>
          <w:rFonts w:ascii="Times New Roman" w:hAnsi="Times New Roman"/>
          <w:sz w:val="24"/>
          <w:szCs w:val="24"/>
        </w:rPr>
        <w:t>.</w:t>
      </w:r>
      <w:r w:rsidRPr="00E60ED4">
        <w:rPr>
          <w:rFonts w:ascii="Times New Roman" w:hAnsi="Times New Roman"/>
          <w:sz w:val="24"/>
          <w:szCs w:val="24"/>
        </w:rPr>
        <w:t xml:space="preserve">5 a/nebo </w:t>
      </w:r>
      <w:r w:rsidR="0041313B">
        <w:rPr>
          <w:rFonts w:ascii="Times New Roman" w:hAnsi="Times New Roman"/>
          <w:sz w:val="24"/>
          <w:szCs w:val="24"/>
        </w:rPr>
        <w:t>3</w:t>
      </w:r>
      <w:r w:rsidR="003B3FE1">
        <w:rPr>
          <w:rFonts w:ascii="Times New Roman" w:hAnsi="Times New Roman"/>
          <w:sz w:val="24"/>
          <w:szCs w:val="24"/>
        </w:rPr>
        <w:t>.</w:t>
      </w:r>
      <w:r w:rsidRPr="00E60ED4">
        <w:rPr>
          <w:rFonts w:ascii="Times New Roman" w:hAnsi="Times New Roman"/>
          <w:sz w:val="24"/>
          <w:szCs w:val="24"/>
        </w:rPr>
        <w:t>7, zejména</w:t>
      </w:r>
      <w:r w:rsidR="00AE1320" w:rsidRPr="00AE1320">
        <w:rPr>
          <w:rFonts w:ascii="Times New Roman" w:hAnsi="Times New Roman"/>
          <w:sz w:val="24"/>
          <w:szCs w:val="24"/>
        </w:rPr>
        <w:t xml:space="preserve"> </w:t>
      </w:r>
      <w:r w:rsidR="00AE1320">
        <w:rPr>
          <w:rFonts w:ascii="Times New Roman" w:hAnsi="Times New Roman"/>
          <w:sz w:val="24"/>
          <w:szCs w:val="24"/>
        </w:rPr>
        <w:t xml:space="preserve">nikoli však výlučně, </w:t>
      </w:r>
      <w:r w:rsidRPr="00E60ED4">
        <w:rPr>
          <w:rFonts w:ascii="Times New Roman" w:hAnsi="Times New Roman"/>
          <w:sz w:val="24"/>
          <w:szCs w:val="24"/>
        </w:rPr>
        <w:t>náklady vzniklé z jakýchkoliv nároků třetích osob a náklady případného administ</w:t>
      </w:r>
      <w:r w:rsidR="00870580" w:rsidRPr="00E60ED4">
        <w:rPr>
          <w:rFonts w:ascii="Times New Roman" w:hAnsi="Times New Roman"/>
          <w:sz w:val="24"/>
          <w:szCs w:val="24"/>
        </w:rPr>
        <w:t xml:space="preserve">rativního, správního, soudního </w:t>
      </w:r>
      <w:r w:rsidRPr="00E60ED4">
        <w:rPr>
          <w:rFonts w:ascii="Times New Roman" w:hAnsi="Times New Roman"/>
          <w:sz w:val="24"/>
          <w:szCs w:val="24"/>
        </w:rPr>
        <w:t xml:space="preserve">či rozhodčího řízení. Tyto náklady uhradí agentura zadavateli do tří </w:t>
      </w:r>
      <w:r w:rsidR="00E60ED4">
        <w:rPr>
          <w:rFonts w:ascii="Times New Roman" w:hAnsi="Times New Roman"/>
          <w:sz w:val="24"/>
          <w:szCs w:val="24"/>
        </w:rPr>
        <w:t xml:space="preserve">(3) </w:t>
      </w:r>
      <w:r w:rsidRPr="00E60ED4">
        <w:rPr>
          <w:rFonts w:ascii="Times New Roman" w:hAnsi="Times New Roman"/>
          <w:sz w:val="24"/>
          <w:szCs w:val="24"/>
        </w:rPr>
        <w:t>dnů od doručení výzvy k zaplacení.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8352A" w:rsidRDefault="00E8352A" w:rsidP="005B6475">
      <w:pPr>
        <w:pStyle w:val="Odstavecseseznamem"/>
        <w:numPr>
          <w:ilvl w:val="1"/>
          <w:numId w:val="10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V případě, že v rámci plnění předmětu této smlouvy vzniknou autorská díla, je agentura povinna zajistit, aby každý autor při vytváření díla dílo vytvářel pro zadavatele a po jeho vytvoření</w:t>
      </w:r>
      <w:r w:rsidR="00AE1320">
        <w:rPr>
          <w:rFonts w:ascii="Times New Roman" w:hAnsi="Times New Roman"/>
          <w:sz w:val="24"/>
          <w:szCs w:val="24"/>
        </w:rPr>
        <w:t xml:space="preserve"> </w:t>
      </w:r>
      <w:r w:rsidRPr="00E60ED4">
        <w:rPr>
          <w:rFonts w:ascii="Times New Roman" w:hAnsi="Times New Roman"/>
          <w:sz w:val="24"/>
          <w:szCs w:val="24"/>
        </w:rPr>
        <w:t xml:space="preserve">převedl všechna </w:t>
      </w:r>
      <w:r w:rsidR="00AE462B" w:rsidRPr="00E60ED4">
        <w:rPr>
          <w:rFonts w:ascii="Times New Roman" w:hAnsi="Times New Roman"/>
          <w:sz w:val="24"/>
          <w:szCs w:val="24"/>
        </w:rPr>
        <w:t>práva k takovému dílu v</w:t>
      </w:r>
      <w:r w:rsidR="00AE1320">
        <w:rPr>
          <w:rFonts w:ascii="Times New Roman" w:hAnsi="Times New Roman"/>
          <w:sz w:val="24"/>
          <w:szCs w:val="24"/>
        </w:rPr>
        <w:t xml:space="preserve"> nejširším </w:t>
      </w:r>
      <w:r w:rsidR="00AE462B" w:rsidRPr="00E60ED4">
        <w:rPr>
          <w:rFonts w:ascii="Times New Roman" w:hAnsi="Times New Roman"/>
          <w:sz w:val="24"/>
          <w:szCs w:val="24"/>
        </w:rPr>
        <w:t>zákonem umožňujícím</w:t>
      </w:r>
      <w:r w:rsidRPr="00E60ED4">
        <w:rPr>
          <w:rFonts w:ascii="Times New Roman" w:hAnsi="Times New Roman"/>
          <w:sz w:val="24"/>
          <w:szCs w:val="24"/>
        </w:rPr>
        <w:t xml:space="preserve"> rozsahu na zadavatele. </w:t>
      </w:r>
    </w:p>
    <w:p w:rsidR="009758C8" w:rsidRDefault="009758C8" w:rsidP="009758C8">
      <w:pPr>
        <w:pStyle w:val="Odstavecseseznamem"/>
        <w:rPr>
          <w:rFonts w:ascii="Times New Roman" w:hAnsi="Times New Roman"/>
          <w:sz w:val="24"/>
          <w:szCs w:val="24"/>
        </w:rPr>
      </w:pPr>
    </w:p>
    <w:p w:rsidR="009758C8" w:rsidRPr="009758C8" w:rsidRDefault="009758C8" w:rsidP="009758C8">
      <w:pPr>
        <w:pStyle w:val="Odstavecseseznamem"/>
        <w:rPr>
          <w:rFonts w:ascii="Times New Roman" w:hAnsi="Times New Roman"/>
          <w:sz w:val="24"/>
          <w:szCs w:val="24"/>
        </w:rPr>
      </w:pPr>
    </w:p>
    <w:p w:rsidR="00E8352A" w:rsidRPr="007C7D79" w:rsidRDefault="00E8352A" w:rsidP="005B6475">
      <w:pPr>
        <w:tabs>
          <w:tab w:val="left" w:pos="284"/>
        </w:tabs>
        <w:spacing w:line="276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C7D79">
        <w:rPr>
          <w:rFonts w:ascii="Times New Roman" w:hAnsi="Times New Roman"/>
          <w:b/>
          <w:sz w:val="24"/>
          <w:szCs w:val="24"/>
        </w:rPr>
        <w:t>Čl. IV</w:t>
      </w:r>
    </w:p>
    <w:p w:rsidR="00E8352A" w:rsidRPr="00774C6E" w:rsidRDefault="00E8352A" w:rsidP="005B6475">
      <w:pPr>
        <w:tabs>
          <w:tab w:val="left" w:pos="284"/>
        </w:tabs>
        <w:spacing w:after="120" w:line="276" w:lineRule="auto"/>
        <w:jc w:val="center"/>
        <w:rPr>
          <w:rStyle w:val="Nzevknihy"/>
          <w:rFonts w:ascii="Times New Roman" w:hAnsi="Times New Roman"/>
          <w:sz w:val="24"/>
        </w:rPr>
      </w:pPr>
      <w:r w:rsidRPr="00774C6E">
        <w:rPr>
          <w:rStyle w:val="Nzevknihy"/>
          <w:rFonts w:ascii="Times New Roman" w:hAnsi="Times New Roman"/>
          <w:sz w:val="24"/>
        </w:rPr>
        <w:t>Závěrečná ustanovení</w:t>
      </w:r>
    </w:p>
    <w:p w:rsidR="00BE5D4C" w:rsidRPr="00BE5D4C" w:rsidRDefault="00E60ED4" w:rsidP="00BE5D4C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Tato smlouva nabývá platnosti a ú</w:t>
      </w:r>
      <w:r w:rsidRPr="00E60ED4">
        <w:rPr>
          <w:rFonts w:ascii="Times New Roman" w:hAnsi="Times New Roman" w:hint="eastAsia"/>
          <w:sz w:val="24"/>
          <w:szCs w:val="24"/>
        </w:rPr>
        <w:t>č</w:t>
      </w:r>
      <w:r w:rsidRPr="00E60ED4">
        <w:rPr>
          <w:rFonts w:ascii="Times New Roman" w:hAnsi="Times New Roman"/>
          <w:sz w:val="24"/>
          <w:szCs w:val="24"/>
        </w:rPr>
        <w:t>innosti dne</w:t>
      </w:r>
      <w:r w:rsidR="00402AC3">
        <w:rPr>
          <w:rFonts w:ascii="Times New Roman" w:hAnsi="Times New Roman"/>
          <w:sz w:val="24"/>
          <w:szCs w:val="24"/>
        </w:rPr>
        <w:t>m jejího podpisu oběma smluvními stranami</w:t>
      </w:r>
      <w:r w:rsidRPr="00E60ED4">
        <w:rPr>
          <w:rFonts w:ascii="Times New Roman" w:hAnsi="Times New Roman"/>
          <w:sz w:val="24"/>
          <w:szCs w:val="24"/>
        </w:rPr>
        <w:t>.</w:t>
      </w:r>
    </w:p>
    <w:p w:rsidR="00BE5D4C" w:rsidRPr="00BE5D4C" w:rsidRDefault="00BE5D4C" w:rsidP="00BE5D4C">
      <w:pPr>
        <w:pStyle w:val="Odstavecseseznamem"/>
        <w:tabs>
          <w:tab w:val="left" w:pos="284"/>
        </w:tabs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E5D4C" w:rsidRPr="00BE5D4C" w:rsidRDefault="00BE5D4C" w:rsidP="00BE5D4C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BE5D4C">
        <w:rPr>
          <w:rFonts w:ascii="Times New Roman" w:eastAsiaTheme="minorHAnsi" w:hAnsi="Times New Roman"/>
          <w:sz w:val="24"/>
          <w:szCs w:val="24"/>
        </w:rPr>
        <w:t xml:space="preserve">Prodávající se zavazuje dodržovat pravidla závazná pro dodavatele obsažená v etickém kodexu kupujícího. Prodávající podpisem této smlouvy stvrzuje, že se s etickým kodexem kupujícího, zejména s ustanoveními zavazujícími dodavatele, řádně seznámil. Etický kodex je dostupný na webových stránkách </w:t>
      </w:r>
      <w:hyperlink r:id="rId8" w:history="1">
        <w:r w:rsidRPr="00BE5D4C">
          <w:rPr>
            <w:rStyle w:val="Hypertextovodkaz"/>
            <w:rFonts w:ascii="Times New Roman" w:eastAsiaTheme="minorHAnsi" w:hAnsi="Times New Roman"/>
            <w:sz w:val="24"/>
            <w:szCs w:val="24"/>
          </w:rPr>
          <w:t>http://www.mero.cz/o-spolecnosti/eticky-kodex/</w:t>
        </w:r>
      </w:hyperlink>
      <w:r w:rsidRPr="00BE5D4C">
        <w:rPr>
          <w:rFonts w:ascii="Times New Roman" w:eastAsiaTheme="minorHAnsi" w:hAnsi="Times New Roman"/>
          <w:sz w:val="24"/>
          <w:szCs w:val="24"/>
        </w:rPr>
        <w:t>.</w:t>
      </w:r>
    </w:p>
    <w:p w:rsidR="00BE5D4C" w:rsidRPr="00BE5D4C" w:rsidRDefault="00BE5D4C" w:rsidP="00BE5D4C">
      <w:pPr>
        <w:pStyle w:val="Odstavecseseznamem"/>
        <w:rPr>
          <w:rFonts w:ascii="Times New Roman" w:eastAsiaTheme="minorHAnsi" w:hAnsi="Times New Roman"/>
          <w:sz w:val="24"/>
          <w:szCs w:val="24"/>
        </w:rPr>
      </w:pPr>
    </w:p>
    <w:p w:rsidR="00BE5D4C" w:rsidRPr="00BE5D4C" w:rsidRDefault="00BE5D4C" w:rsidP="00BE5D4C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BE5D4C">
        <w:rPr>
          <w:rFonts w:ascii="Times New Roman" w:eastAsiaTheme="minorHAnsi" w:hAnsi="Times New Roman"/>
          <w:sz w:val="24"/>
          <w:szCs w:val="24"/>
        </w:rPr>
        <w:t xml:space="preserve">Prodávající a kupující se zavazují, že vzájemně svěřené důvěrné informace nezpřístupní třetí osobě bez předchozího písemného souhlasu druhého smluvního partnera. Kupující tímto upozorňuje prodávajícího, že je ve smyslu zákona č. 340/2015 Sb., o zvláštních </w:t>
      </w:r>
      <w:r w:rsidRPr="00BE5D4C">
        <w:rPr>
          <w:rFonts w:ascii="Times New Roman" w:eastAsiaTheme="minorHAnsi" w:hAnsi="Times New Roman"/>
          <w:sz w:val="24"/>
          <w:szCs w:val="24"/>
        </w:rPr>
        <w:lastRenderedPageBreak/>
        <w:t>podmínkách účinnosti některých smluv, uveřejňování těchto smluv a o registru smluv (zákon o registru smluv), osobou povinnou k uveřejnění smlouvy v registru smluv, resp. že je ve smyslu zákona č. 134/2016 Sb., o zadávání veřejných zakázek jakožto veřejný zadavatel povinen ke zveřejnění uzavřené smlouvy včetně jejích změn a dodatků, výše skutečně uhrazené ceny za plnění veřejné zakázky a seznamu subdodavatelů dodavatele veřejné zakázky.</w:t>
      </w:r>
      <w:r w:rsidRPr="00BE5D4C">
        <w:rPr>
          <w:rFonts w:ascii="Times New Roman" w:hAnsi="Times New Roman"/>
          <w:sz w:val="24"/>
          <w:szCs w:val="24"/>
        </w:rPr>
        <w:t xml:space="preserve"> </w:t>
      </w:r>
    </w:p>
    <w:p w:rsidR="00BE5D4C" w:rsidRPr="00BE5D4C" w:rsidRDefault="00BE5D4C" w:rsidP="00BE5D4C">
      <w:pPr>
        <w:pStyle w:val="Odstavecseseznamem"/>
        <w:rPr>
          <w:rFonts w:ascii="Times New Roman" w:eastAsiaTheme="minorHAnsi" w:hAnsi="Times New Roman"/>
          <w:sz w:val="24"/>
          <w:szCs w:val="24"/>
        </w:rPr>
      </w:pPr>
    </w:p>
    <w:p w:rsidR="00BE5D4C" w:rsidRPr="00BE5D4C" w:rsidRDefault="00BE5D4C" w:rsidP="00BE5D4C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BE5D4C">
        <w:rPr>
          <w:rFonts w:ascii="Times New Roman" w:eastAsiaTheme="minorHAnsi" w:hAnsi="Times New Roman"/>
          <w:sz w:val="24"/>
          <w:szCs w:val="24"/>
        </w:rPr>
        <w:t>Kupující upozorňuje prodávajícího, že je subjektem podléhajícím režimu zákona č. 181/2014 Sb., o kybernetické bezpečnosti a o změně souvisejících zákonů (zákon o kybernetické bezpečnosti) a prováděcím právním předpisům. V této souvislosti bere prodávající na vědomí, že je kupující povinen dostát povinnostem vyplývajícím z uvedených právních předpisů.</w:t>
      </w:r>
    </w:p>
    <w:p w:rsidR="00E60ED4" w:rsidRPr="00BE5D4C" w:rsidRDefault="00E60ED4" w:rsidP="00BE5D4C">
      <w:pPr>
        <w:pStyle w:val="Odstavecseseznamem"/>
        <w:tabs>
          <w:tab w:val="left" w:pos="284"/>
        </w:tabs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 xml:space="preserve">Tato smlouva je vyhotovena ve dvou </w:t>
      </w:r>
      <w:r w:rsidR="00E60ED4">
        <w:rPr>
          <w:rFonts w:ascii="Times New Roman" w:hAnsi="Times New Roman"/>
          <w:sz w:val="24"/>
          <w:szCs w:val="24"/>
        </w:rPr>
        <w:t xml:space="preserve">(2) </w:t>
      </w:r>
      <w:r w:rsidRPr="00E60ED4">
        <w:rPr>
          <w:rFonts w:ascii="Times New Roman" w:hAnsi="Times New Roman"/>
          <w:sz w:val="24"/>
          <w:szCs w:val="24"/>
        </w:rPr>
        <w:t xml:space="preserve">stejnopisech, z nichž oba mají platnost originálu. Zadavatel i agentura obdrží jeden </w:t>
      </w:r>
      <w:r w:rsidR="00E60ED4">
        <w:rPr>
          <w:rFonts w:ascii="Times New Roman" w:hAnsi="Times New Roman"/>
          <w:sz w:val="24"/>
          <w:szCs w:val="24"/>
        </w:rPr>
        <w:t xml:space="preserve">(1) </w:t>
      </w:r>
      <w:r w:rsidRPr="00E60ED4">
        <w:rPr>
          <w:rFonts w:ascii="Times New Roman" w:hAnsi="Times New Roman"/>
          <w:sz w:val="24"/>
          <w:szCs w:val="24"/>
        </w:rPr>
        <w:t>stejnopis.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 xml:space="preserve">Tato smlouva, předmět této smlouvy a práva a povinnosti z ní vyplývající se řídí platnými právními předpisy České republiky. </w:t>
      </w:r>
      <w:r w:rsidR="00402AC3">
        <w:rPr>
          <w:rFonts w:ascii="Times New Roman" w:hAnsi="Times New Roman"/>
          <w:sz w:val="24"/>
          <w:szCs w:val="24"/>
        </w:rPr>
        <w:t>Veškeré spory vzniklé z této smlouvy či v souvislosti s ní budou s konečnou platností řešeny příslušnými českými soudy.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Jakékoliv změny nebo doplňky této smlouvy mohou být učiněny pouze v písemné podobě ve formě dodatku podepsaného zadavatelem i agenturou.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E60ED4" w:rsidRDefault="00E8352A" w:rsidP="005B6475">
      <w:pPr>
        <w:pStyle w:val="Odstavecseseznamem"/>
        <w:numPr>
          <w:ilvl w:val="1"/>
          <w:numId w:val="11"/>
        </w:numPr>
        <w:tabs>
          <w:tab w:val="left" w:pos="284"/>
        </w:tabs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>Platnost a účinnost této smlouvy lze ukončit dohodou smluvních stran.</w:t>
      </w:r>
    </w:p>
    <w:p w:rsidR="00E60ED4" w:rsidRPr="00E60ED4" w:rsidRDefault="00E60ED4" w:rsidP="005B6475">
      <w:pPr>
        <w:pStyle w:val="Odstavecseseznamem"/>
        <w:rPr>
          <w:rFonts w:ascii="Times New Roman" w:hAnsi="Times New Roman"/>
          <w:sz w:val="24"/>
          <w:szCs w:val="24"/>
        </w:rPr>
      </w:pPr>
    </w:p>
    <w:p w:rsidR="00927BAA" w:rsidRPr="007C7D79" w:rsidRDefault="00E8352A" w:rsidP="005B6475">
      <w:pPr>
        <w:tabs>
          <w:tab w:val="left" w:pos="284"/>
        </w:tabs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E60ED4">
        <w:rPr>
          <w:rFonts w:ascii="Times New Roman" w:hAnsi="Times New Roman"/>
          <w:sz w:val="24"/>
          <w:szCs w:val="24"/>
        </w:rPr>
        <w:t xml:space="preserve">Od této smlouvy lze odstoupit písemným oznámením doručeným druhé straně v případě závažného porušení podmínek stanovených touto smlouvou. Pro účely této smlouvy se závažným porušením této smlouvy rozumí porušení podmínek smlouvy, které nebylo odstraněno ve lhůtě </w:t>
      </w:r>
      <w:r w:rsidR="003B3FE1">
        <w:rPr>
          <w:rFonts w:ascii="Times New Roman" w:hAnsi="Times New Roman"/>
          <w:sz w:val="24"/>
          <w:szCs w:val="24"/>
        </w:rPr>
        <w:t>třiceti (</w:t>
      </w:r>
      <w:r w:rsidRPr="00E60ED4">
        <w:rPr>
          <w:rFonts w:ascii="Times New Roman" w:hAnsi="Times New Roman"/>
          <w:sz w:val="24"/>
          <w:szCs w:val="24"/>
        </w:rPr>
        <w:t>30</w:t>
      </w:r>
      <w:r w:rsidR="003B3FE1">
        <w:rPr>
          <w:rFonts w:ascii="Times New Roman" w:hAnsi="Times New Roman"/>
          <w:sz w:val="24"/>
          <w:szCs w:val="24"/>
        </w:rPr>
        <w:t>)</w:t>
      </w:r>
      <w:r w:rsidRPr="00E60ED4">
        <w:rPr>
          <w:rFonts w:ascii="Times New Roman" w:hAnsi="Times New Roman"/>
          <w:sz w:val="24"/>
          <w:szCs w:val="24"/>
        </w:rPr>
        <w:t xml:space="preserve"> dnů od písemného upozo</w:t>
      </w:r>
      <w:r w:rsidR="00E60ED4">
        <w:rPr>
          <w:rFonts w:ascii="Times New Roman" w:hAnsi="Times New Roman"/>
          <w:sz w:val="24"/>
          <w:szCs w:val="24"/>
        </w:rPr>
        <w:t xml:space="preserve">rnění druhou smluvní stranou. </w:t>
      </w:r>
    </w:p>
    <w:p w:rsidR="003B3FE1" w:rsidRDefault="003B3FE1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p w:rsidR="00E8352A" w:rsidRPr="007C7D79" w:rsidRDefault="00E60ED4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Praze dne </w:t>
      </w:r>
      <w:r w:rsidR="00C903A9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C903A9">
        <w:rPr>
          <w:rFonts w:ascii="Times New Roman" w:hAnsi="Times New Roman"/>
          <w:sz w:val="24"/>
          <w:szCs w:val="24"/>
        </w:rPr>
        <w:t>…....</w:t>
      </w:r>
      <w:proofErr w:type="gramEnd"/>
      <w:r w:rsidR="00927BAA" w:rsidRPr="007C7D79">
        <w:rPr>
          <w:rFonts w:ascii="Times New Roman" w:hAnsi="Times New Roman"/>
          <w:sz w:val="24"/>
          <w:szCs w:val="24"/>
        </w:rPr>
        <w:tab/>
      </w:r>
      <w:r w:rsidR="00927BAA" w:rsidRPr="007C7D79">
        <w:rPr>
          <w:rFonts w:ascii="Times New Roman" w:hAnsi="Times New Roman"/>
          <w:sz w:val="24"/>
          <w:szCs w:val="24"/>
        </w:rPr>
        <w:tab/>
      </w:r>
      <w:r w:rsidR="00927BAA" w:rsidRPr="007C7D79">
        <w:rPr>
          <w:rFonts w:ascii="Times New Roman" w:hAnsi="Times New Roman"/>
          <w:sz w:val="24"/>
          <w:szCs w:val="24"/>
        </w:rPr>
        <w:tab/>
      </w:r>
      <w:r w:rsidR="00927BAA" w:rsidRPr="007C7D79">
        <w:rPr>
          <w:rFonts w:ascii="Times New Roman" w:hAnsi="Times New Roman"/>
          <w:sz w:val="24"/>
          <w:szCs w:val="24"/>
        </w:rPr>
        <w:tab/>
      </w:r>
      <w:r w:rsidR="00927BAA" w:rsidRPr="007C7D79">
        <w:rPr>
          <w:rFonts w:ascii="Times New Roman" w:hAnsi="Times New Roman"/>
          <w:sz w:val="24"/>
          <w:szCs w:val="24"/>
        </w:rPr>
        <w:tab/>
      </w:r>
      <w:r w:rsidR="00927BAA" w:rsidRPr="007C7D79">
        <w:rPr>
          <w:rFonts w:ascii="Times New Roman" w:hAnsi="Times New Roman"/>
          <w:sz w:val="24"/>
          <w:szCs w:val="24"/>
        </w:rPr>
        <w:tab/>
      </w:r>
    </w:p>
    <w:p w:rsidR="00E8352A" w:rsidRPr="007C7D79" w:rsidRDefault="00E8352A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p w:rsidR="00E8352A" w:rsidRPr="007C7D79" w:rsidRDefault="003B3FE1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E8352A" w:rsidRPr="007C7D79">
        <w:rPr>
          <w:rFonts w:ascii="Times New Roman" w:hAnsi="Times New Roman"/>
          <w:b/>
          <w:sz w:val="24"/>
          <w:szCs w:val="24"/>
        </w:rPr>
        <w:t>Q and A</w:t>
      </w:r>
      <w:r w:rsidR="00BE5E76" w:rsidRPr="007C7D79">
        <w:rPr>
          <w:rFonts w:ascii="Times New Roman" w:hAnsi="Times New Roman"/>
          <w:b/>
          <w:sz w:val="24"/>
          <w:szCs w:val="24"/>
        </w:rPr>
        <w:t>,</w:t>
      </w:r>
      <w:r w:rsidR="00E8352A" w:rsidRPr="007C7D79">
        <w:rPr>
          <w:rFonts w:ascii="Times New Roman" w:hAnsi="Times New Roman"/>
          <w:b/>
          <w:sz w:val="24"/>
          <w:szCs w:val="24"/>
        </w:rPr>
        <w:t xml:space="preserve"> s. r. o.</w:t>
      </w:r>
    </w:p>
    <w:p w:rsidR="00E8352A" w:rsidRPr="007C7D79" w:rsidRDefault="00E8352A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p w:rsidR="00E8352A" w:rsidRPr="007C7D79" w:rsidRDefault="00E8352A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p w:rsidR="00136B80" w:rsidRPr="007C7D79" w:rsidRDefault="00136B80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B3FE1" w:rsidTr="003B3FE1"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E1" w:rsidTr="003B3FE1"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79">
              <w:rPr>
                <w:rFonts w:ascii="Times New Roman" w:hAnsi="Times New Roman"/>
                <w:b/>
                <w:sz w:val="24"/>
                <w:szCs w:val="24"/>
              </w:rPr>
              <w:t>Ing. Martin Fuk</w:t>
            </w:r>
            <w:r w:rsidRPr="003B3FE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E1" w:rsidTr="003B3FE1">
        <w:tc>
          <w:tcPr>
            <w:tcW w:w="4605" w:type="dxa"/>
          </w:tcPr>
          <w:p w:rsidR="003B3FE1" w:rsidRDefault="00BE5D4C" w:rsidP="003B3FE1">
            <w:pPr>
              <w:tabs>
                <w:tab w:val="left" w:pos="284"/>
              </w:tabs>
              <w:spacing w:line="30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79">
              <w:rPr>
                <w:rFonts w:ascii="Times New Roman" w:hAnsi="Times New Roman"/>
                <w:sz w:val="24"/>
                <w:szCs w:val="24"/>
              </w:rPr>
              <w:t>J</w:t>
            </w:r>
            <w:r w:rsidR="003B3FE1" w:rsidRPr="007C7D79">
              <w:rPr>
                <w:rFonts w:ascii="Times New Roman" w:hAnsi="Times New Roman"/>
                <w:sz w:val="24"/>
                <w:szCs w:val="24"/>
              </w:rPr>
              <w:t>ednatel</w:t>
            </w:r>
          </w:p>
        </w:tc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00" w:rsidRPr="007C7D79" w:rsidRDefault="008A0600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p w:rsidR="008A0600" w:rsidRPr="007C7D79" w:rsidRDefault="008A0600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p w:rsidR="00265B04" w:rsidRPr="007C7D79" w:rsidRDefault="00265B04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  <w:r w:rsidRPr="007C7D79">
        <w:rPr>
          <w:rFonts w:ascii="Times New Roman" w:hAnsi="Times New Roman"/>
          <w:sz w:val="24"/>
          <w:szCs w:val="24"/>
        </w:rPr>
        <w:t>V Praze dne</w:t>
      </w:r>
      <w:r w:rsidR="003B3FE1">
        <w:rPr>
          <w:rFonts w:ascii="Times New Roman" w:hAnsi="Times New Roman"/>
          <w:sz w:val="24"/>
          <w:szCs w:val="24"/>
        </w:rPr>
        <w:t xml:space="preserve"> </w:t>
      </w:r>
      <w:r w:rsidR="00C903A9">
        <w:rPr>
          <w:rFonts w:ascii="Times New Roman" w:hAnsi="Times New Roman"/>
          <w:sz w:val="24"/>
          <w:szCs w:val="24"/>
        </w:rPr>
        <w:t>…………………………</w:t>
      </w:r>
    </w:p>
    <w:p w:rsidR="00265B04" w:rsidRPr="007C7D79" w:rsidRDefault="00265B04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p w:rsidR="00265B04" w:rsidRDefault="003B3FE1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265B04" w:rsidRPr="007C7D79">
        <w:rPr>
          <w:rFonts w:ascii="Times New Roman" w:hAnsi="Times New Roman"/>
          <w:b/>
          <w:sz w:val="24"/>
          <w:szCs w:val="24"/>
        </w:rPr>
        <w:t>MERO ČR, a.s.</w:t>
      </w:r>
    </w:p>
    <w:p w:rsidR="003B3FE1" w:rsidRDefault="003B3FE1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3B3FE1" w:rsidRDefault="003B3FE1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3B3FE1" w:rsidRDefault="003B3FE1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B3FE1" w:rsidTr="003B3FE1"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3B3FE1" w:rsidTr="003B3FE1">
        <w:tc>
          <w:tcPr>
            <w:tcW w:w="4605" w:type="dxa"/>
          </w:tcPr>
          <w:p w:rsidR="003B3FE1" w:rsidRDefault="003B3FE1" w:rsidP="003B3FE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79">
              <w:rPr>
                <w:rFonts w:ascii="Times New Roman" w:hAnsi="Times New Roman"/>
                <w:b/>
                <w:sz w:val="24"/>
                <w:szCs w:val="24"/>
              </w:rPr>
              <w:t>Ing. Stanislav Bruna</w:t>
            </w:r>
            <w:r w:rsidRPr="007C7D7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</w:tcPr>
          <w:p w:rsidR="003B3FE1" w:rsidRDefault="003B3FE1" w:rsidP="003B3FE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79">
              <w:rPr>
                <w:rFonts w:ascii="Times New Roman" w:hAnsi="Times New Roman"/>
                <w:b/>
                <w:sz w:val="24"/>
                <w:szCs w:val="24"/>
              </w:rPr>
              <w:t>Ing. Otakar Krejsa</w:t>
            </w:r>
            <w:r w:rsidRPr="007C7D7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B3FE1" w:rsidTr="003B3FE1"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79">
              <w:rPr>
                <w:rFonts w:ascii="Times New Roman" w:hAnsi="Times New Roman"/>
                <w:sz w:val="24"/>
                <w:szCs w:val="24"/>
              </w:rPr>
              <w:t>předseda představenstva</w:t>
            </w:r>
          </w:p>
        </w:tc>
        <w:tc>
          <w:tcPr>
            <w:tcW w:w="4605" w:type="dxa"/>
          </w:tcPr>
          <w:p w:rsidR="003B3FE1" w:rsidRDefault="003B3FE1" w:rsidP="003B3FE1">
            <w:pPr>
              <w:tabs>
                <w:tab w:val="left" w:pos="284"/>
              </w:tabs>
              <w:spacing w:line="30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79">
              <w:rPr>
                <w:rFonts w:ascii="Times New Roman" w:hAnsi="Times New Roman"/>
                <w:sz w:val="24"/>
                <w:szCs w:val="24"/>
              </w:rPr>
              <w:t>místopředseda představenstva</w:t>
            </w:r>
          </w:p>
        </w:tc>
      </w:tr>
    </w:tbl>
    <w:p w:rsidR="00535AEE" w:rsidRPr="007C7D79" w:rsidRDefault="00535AEE" w:rsidP="003B3FE1">
      <w:pPr>
        <w:tabs>
          <w:tab w:val="left" w:pos="284"/>
        </w:tabs>
        <w:spacing w:line="300" w:lineRule="auto"/>
        <w:ind w:right="-2"/>
        <w:rPr>
          <w:rFonts w:ascii="Times New Roman" w:hAnsi="Times New Roman"/>
          <w:sz w:val="24"/>
          <w:szCs w:val="24"/>
        </w:rPr>
      </w:pPr>
    </w:p>
    <w:sectPr w:rsidR="00535AEE" w:rsidRPr="007C7D79" w:rsidSect="004E23AC">
      <w:footerReference w:type="defaul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F2" w:rsidRDefault="009205F2" w:rsidP="00265B04">
      <w:r>
        <w:separator/>
      </w:r>
    </w:p>
  </w:endnote>
  <w:endnote w:type="continuationSeparator" w:id="0">
    <w:p w:rsidR="009205F2" w:rsidRDefault="009205F2" w:rsidP="0026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04" w:rsidRPr="00E60ED4" w:rsidRDefault="004E23AC" w:rsidP="007C7D79">
    <w:pPr>
      <w:pStyle w:val="Zpat"/>
      <w:jc w:val="center"/>
      <w:rPr>
        <w:rFonts w:ascii="Times New Roman" w:hAnsi="Times New Roman"/>
        <w:sz w:val="24"/>
      </w:rPr>
    </w:pPr>
    <w:r w:rsidRPr="00E60ED4">
      <w:rPr>
        <w:rFonts w:ascii="Times New Roman" w:hAnsi="Times New Roman"/>
        <w:sz w:val="24"/>
      </w:rPr>
      <w:fldChar w:fldCharType="begin"/>
    </w:r>
    <w:r w:rsidR="00265B04" w:rsidRPr="00E60ED4">
      <w:rPr>
        <w:rFonts w:ascii="Times New Roman" w:hAnsi="Times New Roman"/>
        <w:sz w:val="24"/>
      </w:rPr>
      <w:instrText xml:space="preserve"> PAGE   \* MERGEFORMAT </w:instrText>
    </w:r>
    <w:r w:rsidRPr="00E60ED4">
      <w:rPr>
        <w:rFonts w:ascii="Times New Roman" w:hAnsi="Times New Roman"/>
        <w:sz w:val="24"/>
      </w:rPr>
      <w:fldChar w:fldCharType="separate"/>
    </w:r>
    <w:r w:rsidR="00317567">
      <w:rPr>
        <w:rFonts w:ascii="Times New Roman" w:hAnsi="Times New Roman"/>
        <w:noProof/>
        <w:sz w:val="24"/>
      </w:rPr>
      <w:t>1</w:t>
    </w:r>
    <w:r w:rsidRPr="00E60ED4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F2" w:rsidRDefault="009205F2" w:rsidP="00265B04">
      <w:r>
        <w:separator/>
      </w:r>
    </w:p>
  </w:footnote>
  <w:footnote w:type="continuationSeparator" w:id="0">
    <w:p w:rsidR="009205F2" w:rsidRDefault="009205F2" w:rsidP="0026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A6C"/>
    <w:multiLevelType w:val="hybridMultilevel"/>
    <w:tmpl w:val="EC86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74A"/>
    <w:multiLevelType w:val="hybridMultilevel"/>
    <w:tmpl w:val="3F8A02D0"/>
    <w:lvl w:ilvl="0" w:tplc="D046AF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17E3F84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36C"/>
    <w:multiLevelType w:val="hybridMultilevel"/>
    <w:tmpl w:val="A2423F64"/>
    <w:lvl w:ilvl="0" w:tplc="65A847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65A84776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7531"/>
    <w:multiLevelType w:val="hybridMultilevel"/>
    <w:tmpl w:val="5DC23956"/>
    <w:lvl w:ilvl="0" w:tplc="ED1E151E">
      <w:start w:val="1"/>
      <w:numFmt w:val="bullet"/>
      <w:lvlText w:val="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>
    <w:nsid w:val="137A70A5"/>
    <w:multiLevelType w:val="hybridMultilevel"/>
    <w:tmpl w:val="4E5C9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8D1"/>
    <w:multiLevelType w:val="hybridMultilevel"/>
    <w:tmpl w:val="D4D80854"/>
    <w:lvl w:ilvl="0" w:tplc="FFFFFFFF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3E5A94"/>
    <w:multiLevelType w:val="hybridMultilevel"/>
    <w:tmpl w:val="EA042F7C"/>
    <w:lvl w:ilvl="0" w:tplc="FD1E2DE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D1E2DE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54B0"/>
    <w:multiLevelType w:val="multilevel"/>
    <w:tmpl w:val="E0129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C309E"/>
    <w:multiLevelType w:val="hybridMultilevel"/>
    <w:tmpl w:val="69B4957A"/>
    <w:lvl w:ilvl="0" w:tplc="F01A95D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6645F9A"/>
    <w:multiLevelType w:val="hybridMultilevel"/>
    <w:tmpl w:val="CA467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B6891"/>
    <w:multiLevelType w:val="hybridMultilevel"/>
    <w:tmpl w:val="B10A3EC6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EBB40CB"/>
    <w:multiLevelType w:val="hybridMultilevel"/>
    <w:tmpl w:val="650CFB78"/>
    <w:lvl w:ilvl="0" w:tplc="03B2057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3B2057A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EYgszM0tjIMdASUcpOLW4ODM/D6TAuBYAZYEJGSwAAAA="/>
  </w:docVars>
  <w:rsids>
    <w:rsidRoot w:val="009A74E8"/>
    <w:rsid w:val="000263C2"/>
    <w:rsid w:val="00070322"/>
    <w:rsid w:val="000D2411"/>
    <w:rsid w:val="000F43CC"/>
    <w:rsid w:val="001140F9"/>
    <w:rsid w:val="00124F2A"/>
    <w:rsid w:val="00130F38"/>
    <w:rsid w:val="00136B80"/>
    <w:rsid w:val="0017356F"/>
    <w:rsid w:val="00174CF8"/>
    <w:rsid w:val="00191915"/>
    <w:rsid w:val="001929F7"/>
    <w:rsid w:val="00246BA5"/>
    <w:rsid w:val="0025389A"/>
    <w:rsid w:val="00265B04"/>
    <w:rsid w:val="002F1D07"/>
    <w:rsid w:val="0030333A"/>
    <w:rsid w:val="00317567"/>
    <w:rsid w:val="00321AEF"/>
    <w:rsid w:val="00393CD3"/>
    <w:rsid w:val="003A2D46"/>
    <w:rsid w:val="003A55B7"/>
    <w:rsid w:val="003B3FE1"/>
    <w:rsid w:val="00402AC3"/>
    <w:rsid w:val="0041313B"/>
    <w:rsid w:val="00490889"/>
    <w:rsid w:val="0049409F"/>
    <w:rsid w:val="00495ACE"/>
    <w:rsid w:val="004B3B0E"/>
    <w:rsid w:val="004D0749"/>
    <w:rsid w:val="004E23AC"/>
    <w:rsid w:val="00535AEE"/>
    <w:rsid w:val="00563063"/>
    <w:rsid w:val="005A7456"/>
    <w:rsid w:val="005B6475"/>
    <w:rsid w:val="005C4076"/>
    <w:rsid w:val="005F401C"/>
    <w:rsid w:val="00617DFC"/>
    <w:rsid w:val="00684FB1"/>
    <w:rsid w:val="006A76E4"/>
    <w:rsid w:val="006D7CE1"/>
    <w:rsid w:val="00743D7C"/>
    <w:rsid w:val="007673D8"/>
    <w:rsid w:val="00774C6E"/>
    <w:rsid w:val="00787E0A"/>
    <w:rsid w:val="007B4E6A"/>
    <w:rsid w:val="007C7D79"/>
    <w:rsid w:val="00857A5F"/>
    <w:rsid w:val="00870580"/>
    <w:rsid w:val="00875BE3"/>
    <w:rsid w:val="00885F02"/>
    <w:rsid w:val="008A0600"/>
    <w:rsid w:val="008A153A"/>
    <w:rsid w:val="008A5430"/>
    <w:rsid w:val="008E7E0E"/>
    <w:rsid w:val="00916D4E"/>
    <w:rsid w:val="009205F2"/>
    <w:rsid w:val="00927BAA"/>
    <w:rsid w:val="00941D94"/>
    <w:rsid w:val="00952AF7"/>
    <w:rsid w:val="009536F2"/>
    <w:rsid w:val="00953E55"/>
    <w:rsid w:val="009758C8"/>
    <w:rsid w:val="009A7191"/>
    <w:rsid w:val="009A74E8"/>
    <w:rsid w:val="009E580A"/>
    <w:rsid w:val="009E676E"/>
    <w:rsid w:val="00A13ED9"/>
    <w:rsid w:val="00A15230"/>
    <w:rsid w:val="00A440DD"/>
    <w:rsid w:val="00AB6C17"/>
    <w:rsid w:val="00AE1320"/>
    <w:rsid w:val="00AE462B"/>
    <w:rsid w:val="00B43FA4"/>
    <w:rsid w:val="00BE5D4C"/>
    <w:rsid w:val="00BE5E76"/>
    <w:rsid w:val="00C10300"/>
    <w:rsid w:val="00C61E8E"/>
    <w:rsid w:val="00C870E2"/>
    <w:rsid w:val="00C903A9"/>
    <w:rsid w:val="00D11246"/>
    <w:rsid w:val="00D2236B"/>
    <w:rsid w:val="00D27E3D"/>
    <w:rsid w:val="00D77729"/>
    <w:rsid w:val="00E4275C"/>
    <w:rsid w:val="00E51E42"/>
    <w:rsid w:val="00E60ED4"/>
    <w:rsid w:val="00E72C2B"/>
    <w:rsid w:val="00E8352A"/>
    <w:rsid w:val="00E96569"/>
    <w:rsid w:val="00EB5E73"/>
    <w:rsid w:val="00ED5097"/>
    <w:rsid w:val="00F230E0"/>
    <w:rsid w:val="00F34038"/>
    <w:rsid w:val="00F37A62"/>
    <w:rsid w:val="00F522EF"/>
    <w:rsid w:val="00F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52A"/>
    <w:rPr>
      <w:rFonts w:ascii="TimesE" w:hAnsi="TimesE"/>
    </w:rPr>
  </w:style>
  <w:style w:type="paragraph" w:styleId="Nadpis1">
    <w:name w:val="heading 1"/>
    <w:basedOn w:val="Normln"/>
    <w:next w:val="Normln"/>
    <w:qFormat/>
    <w:rsid w:val="00E8352A"/>
    <w:pPr>
      <w:keepNext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8352A"/>
    <w:pPr>
      <w:tabs>
        <w:tab w:val="left" w:pos="284"/>
        <w:tab w:val="num" w:pos="709"/>
      </w:tabs>
      <w:ind w:right="-2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5C40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0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AB6C17"/>
  </w:style>
  <w:style w:type="table" w:styleId="Mkatabulky">
    <w:name w:val="Table Grid"/>
    <w:basedOn w:val="Normlntabulka"/>
    <w:uiPriority w:val="59"/>
    <w:rsid w:val="00265B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B04"/>
    <w:rPr>
      <w:rFonts w:ascii="TimesE" w:hAnsi="TimesE"/>
    </w:rPr>
  </w:style>
  <w:style w:type="paragraph" w:styleId="Zpat">
    <w:name w:val="footer"/>
    <w:basedOn w:val="Normln"/>
    <w:link w:val="ZpatChar"/>
    <w:uiPriority w:val="99"/>
    <w:unhideWhenUsed/>
    <w:rsid w:val="00265B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B04"/>
    <w:rPr>
      <w:rFonts w:ascii="TimesE" w:hAnsi="Times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7D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7D79"/>
    <w:rPr>
      <w:rFonts w:ascii="TimesE" w:hAnsi="TimesE"/>
    </w:rPr>
  </w:style>
  <w:style w:type="character" w:styleId="Nzevknihy">
    <w:name w:val="Book Title"/>
    <w:basedOn w:val="Standardnpsmoodstavce"/>
    <w:uiPriority w:val="33"/>
    <w:qFormat/>
    <w:rsid w:val="00774C6E"/>
    <w:rPr>
      <w:b/>
      <w:bCs/>
      <w:smallCap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6D7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CE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CE1"/>
    <w:rPr>
      <w:rFonts w:ascii="TimesE" w:hAnsi="Times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CE1"/>
    <w:rPr>
      <w:rFonts w:ascii="TimesE" w:hAnsi="TimesE"/>
      <w:b/>
      <w:bCs/>
    </w:rPr>
  </w:style>
  <w:style w:type="paragraph" w:customStyle="1" w:styleId="Textdokumentu">
    <w:name w:val="Text dokumentu"/>
    <w:basedOn w:val="Normln"/>
    <w:rsid w:val="00BE5D4C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paragraph" w:customStyle="1" w:styleId="Style6">
    <w:name w:val="Style 6"/>
    <w:basedOn w:val="Normln"/>
    <w:uiPriority w:val="99"/>
    <w:rsid w:val="00BE5D4C"/>
    <w:pPr>
      <w:widowControl w:val="0"/>
      <w:suppressAutoHyphens/>
      <w:autoSpaceDE w:val="0"/>
      <w:ind w:left="720" w:right="72" w:hanging="72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E5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52A"/>
    <w:rPr>
      <w:rFonts w:ascii="TimesE" w:hAnsi="TimesE"/>
    </w:rPr>
  </w:style>
  <w:style w:type="paragraph" w:styleId="Nadpis1">
    <w:name w:val="heading 1"/>
    <w:basedOn w:val="Normln"/>
    <w:next w:val="Normln"/>
    <w:qFormat/>
    <w:rsid w:val="00E8352A"/>
    <w:pPr>
      <w:keepNext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8352A"/>
    <w:pPr>
      <w:tabs>
        <w:tab w:val="left" w:pos="284"/>
        <w:tab w:val="num" w:pos="709"/>
      </w:tabs>
      <w:ind w:right="-2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5C40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0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AB6C17"/>
  </w:style>
  <w:style w:type="table" w:styleId="Mkatabulky">
    <w:name w:val="Table Grid"/>
    <w:basedOn w:val="Normlntabulka"/>
    <w:uiPriority w:val="59"/>
    <w:rsid w:val="00265B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B04"/>
    <w:rPr>
      <w:rFonts w:ascii="TimesE" w:hAnsi="TimesE"/>
    </w:rPr>
  </w:style>
  <w:style w:type="paragraph" w:styleId="Zpat">
    <w:name w:val="footer"/>
    <w:basedOn w:val="Normln"/>
    <w:link w:val="ZpatChar"/>
    <w:uiPriority w:val="99"/>
    <w:unhideWhenUsed/>
    <w:rsid w:val="00265B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B04"/>
    <w:rPr>
      <w:rFonts w:ascii="TimesE" w:hAnsi="Times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7D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7D79"/>
    <w:rPr>
      <w:rFonts w:ascii="TimesE" w:hAnsi="TimesE"/>
    </w:rPr>
  </w:style>
  <w:style w:type="character" w:styleId="Nzevknihy">
    <w:name w:val="Book Title"/>
    <w:basedOn w:val="Standardnpsmoodstavce"/>
    <w:uiPriority w:val="33"/>
    <w:qFormat/>
    <w:rsid w:val="00774C6E"/>
    <w:rPr>
      <w:b/>
      <w:bCs/>
      <w:smallCap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6D7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CE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CE1"/>
    <w:rPr>
      <w:rFonts w:ascii="TimesE" w:hAnsi="Times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CE1"/>
    <w:rPr>
      <w:rFonts w:ascii="TimesE" w:hAnsi="TimesE"/>
      <w:b/>
      <w:bCs/>
    </w:rPr>
  </w:style>
  <w:style w:type="paragraph" w:customStyle="1" w:styleId="Textdokumentu">
    <w:name w:val="Text dokumentu"/>
    <w:basedOn w:val="Normln"/>
    <w:rsid w:val="00BE5D4C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paragraph" w:customStyle="1" w:styleId="Style6">
    <w:name w:val="Style 6"/>
    <w:basedOn w:val="Normln"/>
    <w:uiPriority w:val="99"/>
    <w:rsid w:val="00BE5D4C"/>
    <w:pPr>
      <w:widowControl w:val="0"/>
      <w:suppressAutoHyphens/>
      <w:autoSpaceDE w:val="0"/>
      <w:ind w:left="720" w:right="72" w:hanging="72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E5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.cz/o-spolecnosti/eticky-kode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 public relations</vt:lpstr>
    </vt:vector>
  </TitlesOfParts>
  <Company>Q and A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 public relations</dc:title>
  <dc:creator>Richard Štrégl</dc:creator>
  <cp:lastModifiedBy>Kateřina Nývltová</cp:lastModifiedBy>
  <cp:revision>2</cp:revision>
  <cp:lastPrinted>2016-08-29T09:03:00Z</cp:lastPrinted>
  <dcterms:created xsi:type="dcterms:W3CDTF">2017-07-20T13:45:00Z</dcterms:created>
  <dcterms:modified xsi:type="dcterms:W3CDTF">2017-07-20T13:45:00Z</dcterms:modified>
</cp:coreProperties>
</file>