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84B20F4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AC3EC1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23E4B2D6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025ADC" w:rsidRPr="00025ADC">
        <w:rPr>
          <w:rFonts w:eastAsia="Times New Roman"/>
          <w:color w:val="000000" w:themeColor="text1"/>
          <w:lang w:eastAsia="cs-CZ"/>
        </w:rPr>
        <w:t>Ing. Karel Jakobec</w:t>
      </w:r>
      <w:r w:rsidR="00342865">
        <w:rPr>
          <w:rFonts w:eastAsia="Times New Roman"/>
          <w:color w:val="000000" w:themeColor="text1"/>
          <w:lang w:eastAsia="cs-CZ"/>
        </w:rPr>
        <w:t>, náměstek hejtmana</w:t>
      </w:r>
    </w:p>
    <w:p w14:paraId="3B98B535" w14:textId="261626B5" w:rsidR="005024A3" w:rsidRDefault="00CC11A9" w:rsidP="005024A3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5024A3">
        <w:rPr>
          <w:rFonts w:eastAsia="Times New Roman"/>
          <w:color w:val="000000" w:themeColor="text1"/>
          <w:lang w:eastAsia="cs-CZ"/>
        </w:rPr>
        <w:tab/>
      </w:r>
      <w:r w:rsidR="00AC3EC1">
        <w:rPr>
          <w:rFonts w:eastAsia="Times New Roman"/>
          <w:color w:val="000000" w:themeColor="text1"/>
          <w:lang w:eastAsia="cs-CZ"/>
        </w:rPr>
        <w:t>XXXXX</w:t>
      </w:r>
      <w:r w:rsidR="005178F2" w:rsidRPr="002D3284">
        <w:rPr>
          <w:color w:val="000000" w:themeColor="text1"/>
        </w:rPr>
        <w:tab/>
      </w:r>
    </w:p>
    <w:p w14:paraId="765BC0C8" w14:textId="7DE97F3F" w:rsidR="00CC11A9" w:rsidRPr="002D3284" w:rsidRDefault="005024A3" w:rsidP="005024A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AC3EC1">
        <w:rPr>
          <w:rFonts w:eastAsia="Times New Roman"/>
          <w:color w:val="000000" w:themeColor="text1"/>
          <w:lang w:eastAsia="cs-CZ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4DD00CC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A01002" w:rsidRPr="00A01002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B95DDD" w14:textId="77777777" w:rsidR="00025ADC" w:rsidRDefault="00025AD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025ADC">
        <w:rPr>
          <w:rFonts w:eastAsia="Times New Roman"/>
          <w:b/>
          <w:bCs/>
          <w:color w:val="000000" w:themeColor="text1"/>
          <w:lang w:eastAsia="cs-CZ"/>
        </w:rPr>
        <w:t>Český rybářský svaz, z. s., Západočeský územní svaz</w:t>
      </w:r>
    </w:p>
    <w:p w14:paraId="7152572C" w14:textId="0F5C1876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025ADC" w:rsidRPr="00025ADC">
        <w:rPr>
          <w:rFonts w:eastAsia="Times New Roman"/>
          <w:bCs/>
          <w:color w:val="000000" w:themeColor="text1"/>
          <w:lang w:eastAsia="cs-CZ"/>
        </w:rPr>
        <w:t>Tovární 281/5, 301</w:t>
      </w:r>
      <w:r w:rsidR="00025ADC">
        <w:rPr>
          <w:rFonts w:eastAsia="Times New Roman"/>
          <w:bCs/>
          <w:color w:val="000000" w:themeColor="text1"/>
          <w:lang w:eastAsia="cs-CZ"/>
        </w:rPr>
        <w:t xml:space="preserve"> </w:t>
      </w:r>
      <w:r w:rsidR="00025ADC" w:rsidRPr="00025ADC">
        <w:rPr>
          <w:rFonts w:eastAsia="Times New Roman"/>
          <w:bCs/>
          <w:color w:val="000000" w:themeColor="text1"/>
          <w:lang w:eastAsia="cs-CZ"/>
        </w:rPr>
        <w:t>00 Plzeň</w:t>
      </w:r>
    </w:p>
    <w:p w14:paraId="7EE718E2" w14:textId="69012BCF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025ADC" w:rsidRPr="00025ADC">
        <w:rPr>
          <w:rFonts w:eastAsia="Times New Roman"/>
          <w:bCs/>
          <w:color w:val="000000" w:themeColor="text1"/>
          <w:lang w:eastAsia="cs-CZ"/>
        </w:rPr>
        <w:t>00434124</w:t>
      </w:r>
    </w:p>
    <w:p w14:paraId="3FF19B27" w14:textId="6DE7581B" w:rsidR="00025ADC" w:rsidRPr="00025ADC" w:rsidRDefault="00CC11A9" w:rsidP="00025ADC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025ADC" w:rsidRPr="00025ADC">
        <w:rPr>
          <w:rFonts w:eastAsia="Times New Roman"/>
          <w:color w:val="000000" w:themeColor="text1"/>
          <w:lang w:eastAsia="cs-CZ"/>
        </w:rPr>
        <w:t>Ing. Jan Štípek, předseda</w:t>
      </w:r>
    </w:p>
    <w:p w14:paraId="6C7F0B48" w14:textId="0E2DA2E2" w:rsidR="00025ADC" w:rsidRDefault="00025ADC" w:rsidP="00025ADC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ab/>
      </w:r>
      <w:r w:rsidRPr="00025ADC">
        <w:rPr>
          <w:rFonts w:eastAsia="Times New Roman"/>
          <w:color w:val="000000" w:themeColor="text1"/>
          <w:lang w:eastAsia="cs-CZ"/>
        </w:rPr>
        <w:t>Martin Bílý, jednatel</w:t>
      </w:r>
    </w:p>
    <w:p w14:paraId="5AB5212C" w14:textId="6ADF97E5" w:rsidR="00A01002" w:rsidRDefault="00CC11A9" w:rsidP="00025ADC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A01002">
        <w:rPr>
          <w:rFonts w:eastAsia="Times New Roman"/>
          <w:color w:val="000000" w:themeColor="text1"/>
          <w:lang w:eastAsia="cs-CZ"/>
        </w:rPr>
        <w:tab/>
      </w:r>
      <w:r w:rsidR="00AC3EC1">
        <w:rPr>
          <w:rFonts w:eastAsia="Times New Roman"/>
          <w:color w:val="000000" w:themeColor="text1"/>
          <w:lang w:eastAsia="cs-CZ"/>
        </w:rPr>
        <w:t>XXXXX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</w:p>
    <w:p w14:paraId="6026A4C8" w14:textId="1C365174" w:rsidR="00CC11A9" w:rsidRPr="00A01002" w:rsidRDefault="00A01002" w:rsidP="00A01002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4464C1">
        <w:rPr>
          <w:rFonts w:eastAsia="Times New Roman"/>
          <w:color w:val="000000" w:themeColor="text1"/>
          <w:lang w:eastAsia="cs-CZ"/>
        </w:rPr>
        <w:t>Č</w:t>
      </w:r>
      <w:r w:rsidR="00CC11A9" w:rsidRPr="004464C1">
        <w:rPr>
          <w:rFonts w:eastAsia="Times New Roman"/>
          <w:color w:val="000000" w:themeColor="text1"/>
          <w:lang w:eastAsia="cs-CZ"/>
        </w:rPr>
        <w:t>íslo účtu:</w:t>
      </w:r>
      <w:r w:rsidR="00CC11A9" w:rsidRPr="004464C1">
        <w:rPr>
          <w:rFonts w:eastAsia="Times New Roman"/>
          <w:color w:val="000000" w:themeColor="text1"/>
          <w:lang w:eastAsia="cs-CZ"/>
        </w:rPr>
        <w:tab/>
      </w:r>
      <w:r w:rsidR="00AC3EC1">
        <w:rPr>
          <w:rFonts w:eastAsia="Times New Roman"/>
          <w:color w:val="000000" w:themeColor="text1"/>
          <w:lang w:eastAsia="cs-CZ"/>
        </w:rPr>
        <w:t>XXXXX</w:t>
      </w:r>
    </w:p>
    <w:p w14:paraId="2261E366" w14:textId="22C03A07" w:rsidR="00025ADC" w:rsidRPr="00025ADC" w:rsidRDefault="00CC11A9" w:rsidP="00025ADC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E-mail: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AC3EC1">
        <w:rPr>
          <w:rFonts w:eastAsia="Times New Roman"/>
          <w:color w:val="000000" w:themeColor="text1"/>
          <w:lang w:eastAsia="cs-CZ"/>
        </w:rPr>
        <w:t>XXXXX</w:t>
      </w:r>
    </w:p>
    <w:p w14:paraId="159FA383" w14:textId="77777777" w:rsidR="00AC3EC1" w:rsidRDefault="00AC3EC1" w:rsidP="00AC3EC1">
      <w:pPr>
        <w:spacing w:after="0" w:line="240" w:lineRule="auto"/>
        <w:ind w:left="1416" w:firstLine="708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XXXXX</w:t>
      </w:r>
      <w:r w:rsidRPr="002D3284">
        <w:rPr>
          <w:rFonts w:eastAsia="Times New Roman"/>
          <w:color w:val="000000" w:themeColor="text1"/>
          <w:lang w:eastAsia="cs-CZ"/>
        </w:rPr>
        <w:t xml:space="preserve"> </w:t>
      </w:r>
    </w:p>
    <w:p w14:paraId="361F897E" w14:textId="6652E81E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025ADC" w:rsidRPr="00025ADC">
        <w:rPr>
          <w:rFonts w:eastAsia="Times New Roman"/>
          <w:color w:val="000000" w:themeColor="text1"/>
          <w:lang w:eastAsia="cs-CZ"/>
        </w:rPr>
        <w:t>zasm3mw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2B7E0514" w14:textId="7DAB1A22" w:rsidR="00CC11A9" w:rsidRPr="002D3284" w:rsidRDefault="004464C1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6DCE45FB" w14:textId="2A209221" w:rsidR="00CC11A9" w:rsidRPr="002D3284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(dále také „RPÚR“) poskytovatel poskytuje příjemci dotaci na účel uvedený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</w:t>
      </w:r>
      <w:r w:rsidR="00F858B5" w:rsidRPr="002D3284">
        <w:rPr>
          <w:rFonts w:eastAsia="Arial Unicode MS"/>
          <w:color w:val="000000" w:themeColor="text1"/>
          <w:lang w:eastAsia="cs-CZ"/>
        </w:rPr>
        <w:t>2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smlouvy a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543938F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04275B" w:rsidRPr="0004275B">
        <w:rPr>
          <w:b/>
          <w:color w:val="000000" w:themeColor="text1"/>
          <w:sz w:val="22"/>
          <w:szCs w:val="22"/>
        </w:rPr>
        <w:t>2024</w:t>
      </w:r>
    </w:p>
    <w:p w14:paraId="041A388D" w14:textId="3F2091E0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04275B" w:rsidRPr="0004275B">
        <w:rPr>
          <w:b/>
          <w:color w:val="000000" w:themeColor="text1"/>
          <w:sz w:val="22"/>
          <w:szCs w:val="22"/>
        </w:rPr>
        <w:t>150 000,00 Kč</w:t>
      </w:r>
    </w:p>
    <w:p w14:paraId="7CF831B7" w14:textId="1514D099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04275B" w:rsidRPr="0004275B">
        <w:rPr>
          <w:color w:val="000000" w:themeColor="text1"/>
          <w:sz w:val="22"/>
          <w:szCs w:val="22"/>
        </w:rPr>
        <w:t>jedno sto padesát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1AC14E45" w:rsidR="00CC11A9" w:rsidRPr="002D3284" w:rsidRDefault="00CC11A9" w:rsidP="0004275B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04275B" w:rsidRPr="0004275B">
        <w:rPr>
          <w:b/>
          <w:color w:val="000000" w:themeColor="text1"/>
          <w:sz w:val="22"/>
          <w:szCs w:val="22"/>
        </w:rPr>
        <w:t xml:space="preserve">Vysazení </w:t>
      </w:r>
      <w:proofErr w:type="spellStart"/>
      <w:r w:rsidR="0004275B" w:rsidRPr="0004275B">
        <w:rPr>
          <w:b/>
          <w:color w:val="000000" w:themeColor="text1"/>
          <w:sz w:val="22"/>
          <w:szCs w:val="22"/>
        </w:rPr>
        <w:t>reofilních</w:t>
      </w:r>
      <w:proofErr w:type="spellEnd"/>
      <w:r w:rsidR="0004275B" w:rsidRPr="0004275B">
        <w:rPr>
          <w:b/>
          <w:color w:val="000000" w:themeColor="text1"/>
          <w:sz w:val="22"/>
          <w:szCs w:val="22"/>
        </w:rPr>
        <w:t xml:space="preserve"> druhů ryb do rybářských revírů v Karlovarském kraji</w:t>
      </w:r>
    </w:p>
    <w:p w14:paraId="62AA832A" w14:textId="3E23968D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AC3EC1" w:rsidRPr="00AC3EC1">
        <w:rPr>
          <w:b/>
          <w:color w:val="000000" w:themeColor="text1"/>
          <w:sz w:val="22"/>
          <w:szCs w:val="22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04275B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04275B">
        <w:rPr>
          <w:rFonts w:eastAsia="Arial Unicode MS"/>
          <w:color w:val="000000" w:themeColor="text1"/>
          <w:lang w:eastAsia="cs-CZ"/>
        </w:rPr>
        <w:t xml:space="preserve">20 </w:t>
      </w:r>
      <w:r w:rsidRPr="0004275B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04275B">
        <w:rPr>
          <w:rFonts w:eastAsia="Arial Unicode MS"/>
          <w:color w:val="000000" w:themeColor="text1"/>
          <w:lang w:eastAsia="cs-CZ"/>
        </w:rPr>
        <w:t xml:space="preserve"> </w:t>
      </w:r>
      <w:r w:rsidRPr="0004275B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04275B">
        <w:rPr>
          <w:rFonts w:eastAsia="Arial Unicode MS"/>
          <w:color w:val="000000" w:themeColor="text1"/>
          <w:lang w:eastAsia="cs-CZ"/>
        </w:rPr>
        <w:t>uvedený v</w:t>
      </w:r>
      <w:r w:rsidR="004F5509" w:rsidRPr="0004275B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04275B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04275B">
        <w:rPr>
          <w:rFonts w:eastAsia="Arial Unicode MS"/>
          <w:color w:val="000000" w:themeColor="text1"/>
          <w:lang w:eastAsia="cs-CZ"/>
        </w:rPr>
        <w:t xml:space="preserve">čl. II. </w:t>
      </w:r>
      <w:r w:rsidRPr="0004275B">
        <w:rPr>
          <w:rFonts w:eastAsia="Arial Unicode MS"/>
          <w:color w:val="000000" w:themeColor="text1"/>
          <w:lang w:eastAsia="cs-CZ"/>
        </w:rPr>
        <w:t>odst</w:t>
      </w:r>
      <w:r w:rsidR="003829B7" w:rsidRPr="0004275B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774D5D75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5D143B">
        <w:rPr>
          <w:rFonts w:eastAsia="Arial Unicode MS"/>
          <w:color w:val="000000" w:themeColor="text1"/>
          <w:lang w:eastAsia="cs-CZ"/>
        </w:rPr>
        <w:t>31. 12. 202</w:t>
      </w:r>
      <w:r w:rsidR="00130488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DD5083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do 31. 12. 2024 a musí být uhrazeny nejpozději do 31. 12. 2024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</w:t>
      </w:r>
      <w:bookmarkStart w:id="0" w:name="_GoBack"/>
      <w:bookmarkEnd w:id="0"/>
      <w:r w:rsidR="00DF7ECE" w:rsidRPr="002D3284">
        <w:rPr>
          <w:rFonts w:eastAsia="Arial Unicode MS"/>
          <w:color w:val="000000" w:themeColor="text1"/>
          <w:lang w:eastAsia="cs-CZ"/>
        </w:rPr>
        <w:t>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F1E0430" w14:textId="103950D9" w:rsidR="00D733D2" w:rsidRPr="0004275B" w:rsidRDefault="002A15CC" w:rsidP="0004275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</w:t>
      </w:r>
      <w:r w:rsidRPr="0004275B">
        <w:rPr>
          <w:rFonts w:eastAsia="Arial Unicode MS"/>
          <w:color w:val="000000" w:themeColor="text1"/>
          <w:lang w:eastAsia="cs-CZ"/>
        </w:rPr>
        <w:t xml:space="preserve">je </w:t>
      </w:r>
      <w:r w:rsidR="00AD60F2" w:rsidRPr="0004275B">
        <w:rPr>
          <w:rFonts w:eastAsia="Arial Unicode MS"/>
          <w:color w:val="000000" w:themeColor="text1"/>
          <w:lang w:eastAsia="cs-CZ"/>
        </w:rPr>
        <w:t>ne</w:t>
      </w:r>
      <w:r w:rsidRPr="0004275B">
        <w:rPr>
          <w:rFonts w:eastAsia="Arial Unicode MS"/>
          <w:color w:val="000000" w:themeColor="text1"/>
          <w:lang w:eastAsia="cs-CZ"/>
        </w:rPr>
        <w:t xml:space="preserve">investičního charakteru </w:t>
      </w:r>
      <w:r w:rsidR="0004275B" w:rsidRPr="0004275B">
        <w:rPr>
          <w:rFonts w:eastAsia="Arial Unicode MS"/>
          <w:color w:val="000000" w:themeColor="text1"/>
          <w:lang w:eastAsia="cs-CZ"/>
        </w:rPr>
        <w:t xml:space="preserve">a příjemce je povinen ji použít výhradně </w:t>
      </w:r>
      <w:r w:rsidR="0004275B" w:rsidRPr="0004275B">
        <w:rPr>
          <w:rFonts w:eastAsia="Times New Roman"/>
          <w:bCs/>
          <w:color w:val="000000" w:themeColor="text1"/>
          <w:lang w:eastAsia="cs-CZ"/>
        </w:rPr>
        <w:t xml:space="preserve">na náklady spojené s vysazením ryb druhu jelec jesen, ostroretka stěhovavá, mník jednovousí a </w:t>
      </w:r>
      <w:proofErr w:type="spellStart"/>
      <w:r w:rsidR="0004275B" w:rsidRPr="0004275B">
        <w:rPr>
          <w:rFonts w:eastAsia="Times New Roman"/>
          <w:bCs/>
          <w:color w:val="000000" w:themeColor="text1"/>
          <w:lang w:eastAsia="cs-CZ"/>
        </w:rPr>
        <w:t>podoustev</w:t>
      </w:r>
      <w:proofErr w:type="spellEnd"/>
      <w:r w:rsidR="0004275B" w:rsidRPr="0004275B">
        <w:rPr>
          <w:rFonts w:eastAsia="Times New Roman"/>
          <w:bCs/>
          <w:color w:val="000000" w:themeColor="text1"/>
          <w:lang w:eastAsia="cs-CZ"/>
        </w:rPr>
        <w:t xml:space="preserve"> říční v celkovém počtu 410.000 kusů do rybářských revírů Ohře 18, Ohře 15, Ohře 14, Ohře 13 a Ohře 12</w:t>
      </w:r>
      <w:r w:rsidR="0004275B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14524D17" w14:textId="77777777" w:rsidR="0004275B" w:rsidRPr="002D3284" w:rsidRDefault="0004275B" w:rsidP="0004275B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690B7F2" w14:textId="79CC0AC7" w:rsidR="008F0B23" w:rsidRPr="00AD60F2" w:rsidRDefault="008F0B23" w:rsidP="00AD60F2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D60F2">
        <w:rPr>
          <w:color w:val="000000" w:themeColor="text1"/>
          <w:lang w:eastAsia="cs-CZ"/>
        </w:rPr>
        <w:t>Příjemce je povinen řídit se touto 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AD60F2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AD60F2">
        <w:rPr>
          <w:rFonts w:eastAsia="Arial Unicode MS"/>
          <w:color w:val="000000" w:themeColor="text1"/>
          <w:lang w:eastAsia="cs-CZ"/>
        </w:rPr>
        <w:t> </w:t>
      </w:r>
      <w:r w:rsidRPr="00AD60F2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AD60F2">
        <w:rPr>
          <w:rFonts w:eastAsia="Arial Unicode MS"/>
          <w:color w:val="000000" w:themeColor="text1"/>
          <w:lang w:eastAsia="cs-CZ"/>
        </w:rPr>
        <w:t> </w:t>
      </w:r>
      <w:r w:rsidRPr="00AD60F2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AD60F2">
        <w:rPr>
          <w:rFonts w:eastAsia="Arial Unicode MS"/>
          <w:color w:val="000000" w:themeColor="text1"/>
          <w:lang w:eastAsia="cs-CZ"/>
        </w:rPr>
        <w:t>poštovné</w:t>
      </w:r>
      <w:r w:rsidR="00C75871" w:rsidRPr="00AD60F2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AD60F2">
        <w:rPr>
          <w:rFonts w:eastAsia="Arial Unicode MS"/>
          <w:color w:val="000000" w:themeColor="text1"/>
          <w:lang w:eastAsia="cs-CZ"/>
        </w:rPr>
        <w:t xml:space="preserve">, </w:t>
      </w:r>
      <w:r w:rsidRPr="00AD60F2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5DA8873E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opatří svým podpisem, a to nejpozději d</w:t>
      </w:r>
      <w:r w:rsidR="00AD60F2">
        <w:rPr>
          <w:rFonts w:eastAsia="Arial Unicode MS"/>
          <w:color w:val="000000" w:themeColor="text1"/>
          <w:lang w:eastAsia="cs-CZ"/>
        </w:rPr>
        <w:t xml:space="preserve">o </w:t>
      </w:r>
      <w:r w:rsidR="0004275B" w:rsidRPr="0004275B">
        <w:rPr>
          <w:rFonts w:eastAsia="Arial Unicode MS"/>
          <w:b/>
          <w:color w:val="000000" w:themeColor="text1"/>
          <w:lang w:eastAsia="cs-CZ"/>
        </w:rPr>
        <w:t>31.01.2025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</w:t>
      </w: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982E06D" w14:textId="204CAEFB" w:rsidR="001F3575" w:rsidRPr="0004275B" w:rsidRDefault="008F0B23" w:rsidP="0004275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04275B">
        <w:rPr>
          <w:rFonts w:eastAsia="Arial Unicode MS"/>
          <w:color w:val="000000" w:themeColor="text1"/>
          <w:lang w:eastAsia="cs-CZ"/>
        </w:rPr>
        <w:t xml:space="preserve"> </w:t>
      </w:r>
      <w:r w:rsidR="001F3575" w:rsidRPr="0004275B">
        <w:rPr>
          <w:rFonts w:eastAsia="Arial Unicode MS"/>
          <w:color w:val="000000" w:themeColor="text1"/>
          <w:lang w:eastAsia="cs-CZ"/>
        </w:rPr>
        <w:t>přílohy stanovené ve vzoru finančního vypořádání</w:t>
      </w:r>
      <w:r w:rsidR="00896C08" w:rsidRPr="0004275B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5D143B">
        <w:rPr>
          <w:rFonts w:eastAsia="Arial Unicode MS"/>
          <w:color w:val="000000" w:themeColor="text1"/>
          <w:lang w:eastAsia="cs-CZ"/>
        </w:rPr>
        <w:t>P</w:t>
      </w:r>
      <w:r w:rsidR="00476C23" w:rsidRPr="005D143B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2D3284">
          <w:rPr>
            <w:rStyle w:val="Hypertextovodkaz"/>
            <w:color w:val="000000" w:themeColor="text1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2D3284" w:rsidRDefault="00476C23" w:rsidP="003D6BBB">
      <w:pPr>
        <w:numPr>
          <w:ilvl w:val="0"/>
          <w:numId w:val="36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2D3284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7EB49B77" w:rsidR="008F0B23" w:rsidRPr="00AD60F2" w:rsidRDefault="008F0B23" w:rsidP="00AD60F2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D60F2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AD60F2">
        <w:rPr>
          <w:rFonts w:eastAsia="Arial Unicode MS"/>
          <w:color w:val="000000" w:themeColor="text1"/>
          <w:lang w:eastAsia="cs-CZ"/>
        </w:rPr>
        <w:t xml:space="preserve">6 </w:t>
      </w:r>
      <w:r w:rsidRPr="00AD60F2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AD60F2">
        <w:rPr>
          <w:rFonts w:eastAsia="Arial Unicode MS"/>
          <w:color w:val="000000" w:themeColor="text1"/>
          <w:lang w:eastAsia="cs-CZ"/>
        </w:rPr>
        <w:t> </w:t>
      </w:r>
      <w:r w:rsidRPr="00AD60F2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AD60F2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AD60F2">
        <w:rPr>
          <w:rFonts w:eastAsia="Arial Unicode MS"/>
          <w:color w:val="000000" w:themeColor="text1"/>
          <w:lang w:eastAsia="cs-CZ"/>
        </w:rPr>
        <w:t>.</w:t>
      </w:r>
      <w:r w:rsidRPr="00AD60F2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AD60F2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AD60F2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AD60F2">
        <w:rPr>
          <w:rFonts w:eastAsia="Arial Unicode MS"/>
          <w:color w:val="000000" w:themeColor="text1"/>
          <w:lang w:eastAsia="cs-CZ"/>
        </w:rPr>
        <w:t xml:space="preserve">opatřit </w:t>
      </w:r>
      <w:r w:rsidRPr="00AD60F2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AD60F2">
        <w:rPr>
          <w:rFonts w:eastAsia="Arial Unicode MS"/>
          <w:color w:val="000000" w:themeColor="text1"/>
          <w:lang w:eastAsia="cs-CZ"/>
        </w:rPr>
        <w:br/>
      </w:r>
      <w:r w:rsidRPr="00AD60F2">
        <w:rPr>
          <w:rFonts w:eastAsia="Arial Unicode MS"/>
          <w:color w:val="000000" w:themeColor="text1"/>
          <w:lang w:eastAsia="cs-CZ"/>
        </w:rPr>
        <w:t>v čl. II</w:t>
      </w:r>
      <w:r w:rsidR="00A94054" w:rsidRPr="00AD60F2">
        <w:rPr>
          <w:rFonts w:eastAsia="Arial Unicode MS"/>
          <w:color w:val="000000" w:themeColor="text1"/>
          <w:lang w:eastAsia="cs-CZ"/>
        </w:rPr>
        <w:t>.</w:t>
      </w:r>
      <w:r w:rsidR="00D80E8F" w:rsidRPr="00AD60F2">
        <w:rPr>
          <w:rFonts w:eastAsia="Arial Unicode MS"/>
          <w:color w:val="000000" w:themeColor="text1"/>
          <w:lang w:eastAsia="cs-CZ"/>
        </w:rPr>
        <w:t xml:space="preserve"> odst. 2</w:t>
      </w:r>
      <w:r w:rsidRPr="00AD60F2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2D3284">
        <w:rPr>
          <w:rFonts w:eastAsia="Arial Unicode MS"/>
          <w:color w:val="000000" w:themeColor="text1"/>
          <w:lang w:eastAsia="cs-CZ"/>
        </w:rPr>
        <w:t>,</w:t>
      </w:r>
      <w:r w:rsidR="00014FB6" w:rsidRPr="002D3284">
        <w:rPr>
          <w:rFonts w:eastAsia="Arial Unicode MS"/>
          <w:color w:val="000000" w:themeColor="text1"/>
          <w:lang w:eastAsia="cs-CZ"/>
        </w:rPr>
        <w:t xml:space="preserve"> nebo </w:t>
      </w:r>
      <w:r w:rsidR="00014FB6" w:rsidRPr="00AD60F2">
        <w:rPr>
          <w:rFonts w:eastAsia="Arial Unicode MS"/>
          <w:color w:val="000000" w:themeColor="text1"/>
          <w:lang w:eastAsia="cs-CZ"/>
        </w:rPr>
        <w:t xml:space="preserve">nemůže </w:t>
      </w:r>
      <w:r w:rsidR="00EF4C48" w:rsidRPr="00AD60F2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AD60F2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AD60F2">
        <w:rPr>
          <w:rFonts w:eastAsia="Arial Unicode MS"/>
          <w:color w:val="000000" w:themeColor="text1"/>
          <w:lang w:eastAsia="cs-CZ"/>
        </w:rPr>
        <w:t>.</w:t>
      </w:r>
      <w:r w:rsidR="00686ECC" w:rsidRPr="00AD60F2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AD60F2">
        <w:rPr>
          <w:rFonts w:eastAsia="Arial Unicode MS"/>
          <w:color w:val="000000" w:themeColor="text1"/>
          <w:lang w:eastAsia="cs-CZ"/>
        </w:rPr>
        <w:t>,</w:t>
      </w:r>
      <w:r w:rsidRPr="00AD60F2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</w:t>
      </w:r>
      <w:r w:rsidRPr="002D3284">
        <w:rPr>
          <w:rFonts w:eastAsia="Arial Unicode MS"/>
          <w:color w:val="000000" w:themeColor="text1"/>
          <w:lang w:eastAsia="cs-CZ"/>
        </w:rPr>
        <w:t xml:space="preserve"> symbolem uvedeným v čl. II</w:t>
      </w:r>
      <w:r w:rsidR="004335E2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="00A22E47" w:rsidRPr="002D3284">
        <w:rPr>
          <w:rFonts w:eastAsia="Arial Unicode MS"/>
          <w:color w:val="000000" w:themeColor="text1"/>
          <w:lang w:eastAsia="cs-CZ"/>
        </w:rPr>
        <w:t>je součástí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0DF34D8D" w:rsidR="008F0B23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49F2E11B" w14:textId="77777777" w:rsidR="00AD60F2" w:rsidRPr="002D3284" w:rsidRDefault="00AD60F2" w:rsidP="00AD60F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poskytovateli do </w:t>
      </w:r>
      <w:r w:rsidRPr="0004275B">
        <w:rPr>
          <w:rFonts w:eastAsia="Arial Unicode MS"/>
          <w:color w:val="000000" w:themeColor="text1"/>
          <w:lang w:eastAsia="cs-CZ"/>
        </w:rPr>
        <w:t>10 pracovních dnů ode dne, kdy došlo k události, skutečnosti, které mají nebo mohou mít za následek příjemcův zánik, transformaci, sloučení či splynutí s jiným subjektem, zrušení právnické osoby</w:t>
      </w:r>
      <w:r w:rsidRPr="002D3284">
        <w:rPr>
          <w:rFonts w:eastAsia="Arial Unicode MS"/>
          <w:color w:val="000000" w:themeColor="text1"/>
          <w:lang w:eastAsia="cs-CZ"/>
        </w:rPr>
        <w:t xml:space="preserve"> s likvidací,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6EC53D5E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8170A6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8170A6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15CA0B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362A0EE1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0F18FFB1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8170A6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zákoník</w:t>
      </w:r>
      <w:r w:rsidR="008170A6">
        <w:rPr>
          <w:rFonts w:eastAsia="Times New Roman"/>
          <w:color w:val="000000" w:themeColor="text1"/>
          <w:lang w:eastAsia="cs-CZ"/>
        </w:rPr>
        <w:t>m</w:t>
      </w:r>
      <w:proofErr w:type="spellEnd"/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1788FA90" w:rsidR="008F0B23" w:rsidRPr="002D3284" w:rsidRDefault="00F326E8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  <w:r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color w:val="000000" w:themeColor="text1"/>
          <w:lang w:eastAsia="cs-CZ"/>
        </w:rPr>
        <w:t>.</w:t>
      </w:r>
    </w:p>
    <w:bookmarkEnd w:id="1"/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747E7AD" w14:textId="6C148384" w:rsidR="008F0B23" w:rsidRPr="00AD60F2" w:rsidRDefault="008F0B23" w:rsidP="00AD60F2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</w:t>
      </w:r>
      <w:r w:rsidR="0004275B">
        <w:rPr>
          <w:rFonts w:eastAsia="Times New Roman"/>
          <w:color w:val="000000" w:themeColor="text1"/>
          <w:lang w:eastAsia="cs-CZ"/>
        </w:rPr>
        <w:t xml:space="preserve"> </w:t>
      </w:r>
      <w:r w:rsidR="0004275B" w:rsidRPr="0004275B">
        <w:rPr>
          <w:rFonts w:eastAsia="Times New Roman"/>
          <w:color w:val="000000" w:themeColor="text1"/>
          <w:lang w:eastAsia="cs-CZ"/>
        </w:rPr>
        <w:t>RK 1249/10/24</w:t>
      </w:r>
      <w:r w:rsidR="0004275B">
        <w:rPr>
          <w:rFonts w:eastAsia="Times New Roman"/>
          <w:color w:val="000000" w:themeColor="text1"/>
          <w:lang w:eastAsia="cs-CZ"/>
        </w:rPr>
        <w:t xml:space="preserve"> </w:t>
      </w:r>
      <w:r w:rsidRPr="0004275B">
        <w:rPr>
          <w:rFonts w:eastAsia="Times New Roman"/>
          <w:color w:val="000000" w:themeColor="text1"/>
          <w:lang w:eastAsia="cs-CZ"/>
        </w:rPr>
        <w:t xml:space="preserve">ze dne </w:t>
      </w:r>
      <w:r w:rsidR="0004275B" w:rsidRPr="0004275B">
        <w:rPr>
          <w:rFonts w:eastAsia="Times New Roman"/>
          <w:color w:val="000000" w:themeColor="text1"/>
          <w:lang w:eastAsia="cs-CZ"/>
        </w:rPr>
        <w:t>07.10.2024</w:t>
      </w:r>
      <w:r w:rsidRPr="0004275B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126"/>
        <w:gridCol w:w="2406"/>
        <w:gridCol w:w="2266"/>
      </w:tblGrid>
      <w:tr w:rsidR="0004275B" w:rsidRPr="002D3284" w14:paraId="247CCB24" w14:textId="77777777" w:rsidTr="0004275B">
        <w:trPr>
          <w:trHeight w:val="644"/>
        </w:trPr>
        <w:tc>
          <w:tcPr>
            <w:tcW w:w="4390" w:type="dxa"/>
            <w:gridSpan w:val="2"/>
            <w:vMerge w:val="restart"/>
            <w:vAlign w:val="center"/>
          </w:tcPr>
          <w:p w14:paraId="421A7209" w14:textId="05A9E749" w:rsidR="0004275B" w:rsidRPr="002D3284" w:rsidRDefault="0004275B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2406" w:type="dxa"/>
            <w:vAlign w:val="bottom"/>
          </w:tcPr>
          <w:p w14:paraId="0B95A248" w14:textId="77777777" w:rsidR="0004275B" w:rsidRPr="002D3284" w:rsidRDefault="0004275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04275B" w:rsidRPr="002D3284" w:rsidRDefault="0004275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04275B" w:rsidRPr="002D3284" w:rsidRDefault="0004275B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342865" w:rsidRPr="002D3284" w14:paraId="4E8635E1" w14:textId="77777777" w:rsidTr="00AB74F5">
        <w:trPr>
          <w:trHeight w:val="1557"/>
        </w:trPr>
        <w:tc>
          <w:tcPr>
            <w:tcW w:w="4390" w:type="dxa"/>
            <w:gridSpan w:val="2"/>
            <w:vMerge/>
            <w:vAlign w:val="center"/>
          </w:tcPr>
          <w:p w14:paraId="2BF9A294" w14:textId="77777777" w:rsidR="00342865" w:rsidRPr="002D3284" w:rsidRDefault="00342865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672" w:type="dxa"/>
            <w:gridSpan w:val="2"/>
            <w:vAlign w:val="bottom"/>
          </w:tcPr>
          <w:p w14:paraId="2BC9A269" w14:textId="77777777" w:rsidR="00342865" w:rsidRPr="002D3284" w:rsidRDefault="00342865" w:rsidP="0004275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2F696F67" w14:textId="3E1C0976" w:rsidR="00342865" w:rsidRDefault="00342865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662ECC91" w14:textId="2C6AC605" w:rsidR="00342865" w:rsidRDefault="00342865" w:rsidP="0004275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42865">
              <w:rPr>
                <w:rFonts w:eastAsia="Times New Roman"/>
                <w:color w:val="000000" w:themeColor="text1"/>
                <w:lang w:eastAsia="cs-CZ"/>
              </w:rPr>
              <w:t>Ing. Jan Štípek</w:t>
            </w:r>
          </w:p>
          <w:p w14:paraId="59EF5B16" w14:textId="7E1F5181" w:rsidR="00342865" w:rsidRPr="002D3284" w:rsidRDefault="00342865" w:rsidP="00342865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42865">
              <w:rPr>
                <w:rFonts w:eastAsia="Times New Roman"/>
                <w:color w:val="000000" w:themeColor="text1"/>
                <w:lang w:eastAsia="cs-CZ"/>
              </w:rPr>
              <w:t>Předseda</w:t>
            </w:r>
          </w:p>
        </w:tc>
      </w:tr>
      <w:tr w:rsidR="0004275B" w:rsidRPr="002D3284" w14:paraId="7B3D4FB3" w14:textId="77777777" w:rsidTr="0004275B">
        <w:trPr>
          <w:trHeight w:val="644"/>
        </w:trPr>
        <w:tc>
          <w:tcPr>
            <w:tcW w:w="2264" w:type="dxa"/>
            <w:vAlign w:val="bottom"/>
          </w:tcPr>
          <w:p w14:paraId="09303129" w14:textId="77777777" w:rsidR="0004275B" w:rsidRPr="002D3284" w:rsidRDefault="0004275B" w:rsidP="0004275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..... ..... ..... ..... .....</w:t>
            </w:r>
          </w:p>
          <w:p w14:paraId="04824632" w14:textId="18DA957D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126" w:type="dxa"/>
            <w:vAlign w:val="center"/>
          </w:tcPr>
          <w:p w14:paraId="14CBA7BC" w14:textId="14A59A9B" w:rsidR="0004275B" w:rsidRPr="002D3284" w:rsidRDefault="0004275B" w:rsidP="0004275B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406" w:type="dxa"/>
            <w:vAlign w:val="bottom"/>
          </w:tcPr>
          <w:p w14:paraId="1A229212" w14:textId="77777777" w:rsidR="0004275B" w:rsidRPr="002D3284" w:rsidRDefault="0004275B" w:rsidP="0004275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63EE9A48" w14:textId="3B4A86A5" w:rsidR="0004275B" w:rsidRPr="002D3284" w:rsidRDefault="0004275B" w:rsidP="0004275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53A1A4D5" w14:textId="351C3412" w:rsidR="0004275B" w:rsidRPr="002D3284" w:rsidRDefault="0004275B" w:rsidP="0004275B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04275B" w:rsidRPr="002D3284" w14:paraId="16D7887C" w14:textId="77777777" w:rsidTr="0004275B">
        <w:trPr>
          <w:trHeight w:val="1536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5ED70078" w14:textId="77777777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04275B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36015179" w14:textId="77777777" w:rsidR="00342865" w:rsidRDefault="00342865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42865">
              <w:rPr>
                <w:rFonts w:eastAsia="Times New Roman"/>
                <w:color w:val="000000" w:themeColor="text1"/>
                <w:lang w:eastAsia="cs-CZ"/>
              </w:rPr>
              <w:t>Ing. Karel Jakobec</w:t>
            </w:r>
          </w:p>
          <w:p w14:paraId="5D6E577E" w14:textId="6B9F5C0E" w:rsidR="0004275B" w:rsidRPr="002D3284" w:rsidRDefault="00342865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42865">
              <w:rPr>
                <w:rFonts w:eastAsia="Times New Roman"/>
                <w:color w:val="000000" w:themeColor="text1"/>
                <w:lang w:eastAsia="cs-CZ"/>
              </w:rPr>
              <w:t xml:space="preserve">náměstek hejtmana </w:t>
            </w:r>
          </w:p>
        </w:tc>
        <w:tc>
          <w:tcPr>
            <w:tcW w:w="4672" w:type="dxa"/>
            <w:gridSpan w:val="2"/>
          </w:tcPr>
          <w:p w14:paraId="6D1F5350" w14:textId="77777777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04275B" w:rsidRPr="002D3284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04275B" w:rsidRPr="002D3284" w:rsidRDefault="0004275B" w:rsidP="0004275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04275B" w:rsidRDefault="0004275B" w:rsidP="000427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5A77DB" w14:textId="77777777" w:rsidR="00342865" w:rsidRDefault="00342865" w:rsidP="0004275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42865">
              <w:rPr>
                <w:rFonts w:eastAsia="Times New Roman"/>
                <w:color w:val="000000" w:themeColor="text1"/>
                <w:lang w:eastAsia="cs-CZ"/>
              </w:rPr>
              <w:t>Martin Bílý</w:t>
            </w:r>
          </w:p>
          <w:p w14:paraId="4B83B585" w14:textId="023F2426" w:rsidR="0004275B" w:rsidRPr="002D3284" w:rsidRDefault="00342865" w:rsidP="0004275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42865">
              <w:rPr>
                <w:rFonts w:eastAsia="Times New Roman"/>
                <w:color w:val="000000" w:themeColor="text1"/>
                <w:lang w:eastAsia="cs-CZ"/>
              </w:rPr>
              <w:t>jednatel</w:t>
            </w:r>
          </w:p>
        </w:tc>
      </w:tr>
    </w:tbl>
    <w:p w14:paraId="21B00C44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25ADC"/>
    <w:rsid w:val="00031E45"/>
    <w:rsid w:val="00033EEB"/>
    <w:rsid w:val="000362D3"/>
    <w:rsid w:val="0004275B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42865"/>
    <w:rsid w:val="003633F4"/>
    <w:rsid w:val="00371D93"/>
    <w:rsid w:val="003733B0"/>
    <w:rsid w:val="003767E2"/>
    <w:rsid w:val="003829B7"/>
    <w:rsid w:val="00385583"/>
    <w:rsid w:val="00393659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464C1"/>
    <w:rsid w:val="0046096F"/>
    <w:rsid w:val="00476C23"/>
    <w:rsid w:val="004B7CA6"/>
    <w:rsid w:val="004C3CDF"/>
    <w:rsid w:val="004C60B5"/>
    <w:rsid w:val="004F1637"/>
    <w:rsid w:val="004F3493"/>
    <w:rsid w:val="004F5509"/>
    <w:rsid w:val="005022FF"/>
    <w:rsid w:val="005024A3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170A6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96C08"/>
    <w:rsid w:val="008C311D"/>
    <w:rsid w:val="008C6878"/>
    <w:rsid w:val="008D4B53"/>
    <w:rsid w:val="008F0B23"/>
    <w:rsid w:val="0096233F"/>
    <w:rsid w:val="00972169"/>
    <w:rsid w:val="009929D2"/>
    <w:rsid w:val="009B4958"/>
    <w:rsid w:val="009C4702"/>
    <w:rsid w:val="009C6F84"/>
    <w:rsid w:val="009E66A2"/>
    <w:rsid w:val="00A01002"/>
    <w:rsid w:val="00A04A53"/>
    <w:rsid w:val="00A22E47"/>
    <w:rsid w:val="00A43ABC"/>
    <w:rsid w:val="00A47F4B"/>
    <w:rsid w:val="00A562B2"/>
    <w:rsid w:val="00A77221"/>
    <w:rsid w:val="00A94054"/>
    <w:rsid w:val="00AA4091"/>
    <w:rsid w:val="00AC3EC1"/>
    <w:rsid w:val="00AD60F2"/>
    <w:rsid w:val="00AF07DC"/>
    <w:rsid w:val="00B16D7B"/>
    <w:rsid w:val="00B738A8"/>
    <w:rsid w:val="00B766F2"/>
    <w:rsid w:val="00B80343"/>
    <w:rsid w:val="00BA0C3B"/>
    <w:rsid w:val="00BA2302"/>
    <w:rsid w:val="00BA5EA2"/>
    <w:rsid w:val="00BC0A56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975DD"/>
    <w:rsid w:val="00CC11A9"/>
    <w:rsid w:val="00CC5F72"/>
    <w:rsid w:val="00CD7089"/>
    <w:rsid w:val="00CF660D"/>
    <w:rsid w:val="00D006DF"/>
    <w:rsid w:val="00D00FB8"/>
    <w:rsid w:val="00D21DE8"/>
    <w:rsid w:val="00D31A9E"/>
    <w:rsid w:val="00D403A5"/>
    <w:rsid w:val="00D72289"/>
    <w:rsid w:val="00D733D2"/>
    <w:rsid w:val="00D80E8F"/>
    <w:rsid w:val="00D9675B"/>
    <w:rsid w:val="00DA5631"/>
    <w:rsid w:val="00DB55D3"/>
    <w:rsid w:val="00DD5083"/>
    <w:rsid w:val="00DF1E0C"/>
    <w:rsid w:val="00DF2E53"/>
    <w:rsid w:val="00DF5E91"/>
    <w:rsid w:val="00DF7ECE"/>
    <w:rsid w:val="00E164AC"/>
    <w:rsid w:val="00E30593"/>
    <w:rsid w:val="00E35F29"/>
    <w:rsid w:val="00E51915"/>
    <w:rsid w:val="00E84768"/>
    <w:rsid w:val="00E84826"/>
    <w:rsid w:val="00EB02D6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187E8-12AA-451D-A51D-AC7D7BEA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2116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2024-10-16T10:35:00Z</cp:lastPrinted>
  <dcterms:created xsi:type="dcterms:W3CDTF">2024-10-16T10:35:00Z</dcterms:created>
  <dcterms:modified xsi:type="dcterms:W3CDTF">2024-10-16T10:35:00Z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