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FE65" w14:textId="7691C9ED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0B7F90">
        <w:rPr>
          <w:rFonts w:asciiTheme="majorHAnsi" w:hAnsiTheme="majorHAnsi" w:cs="Arial"/>
          <w:b/>
          <w:color w:val="auto"/>
        </w:rPr>
        <w:t>4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321AF8">
        <w:rPr>
          <w:rFonts w:asciiTheme="majorHAnsi" w:hAnsiTheme="majorHAnsi" w:cs="Arial"/>
          <w:b/>
          <w:color w:val="auto"/>
        </w:rPr>
        <w:t>3614</w:t>
      </w:r>
      <w:r w:rsidR="000F1661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1543"/>
        <w:gridCol w:w="4536"/>
        <w:gridCol w:w="300"/>
      </w:tblGrid>
      <w:tr w:rsidR="009864F6" w:rsidRPr="00696620" w14:paraId="34161A7B" w14:textId="77777777" w:rsidTr="0031218E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4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31218E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gridSpan w:val="3"/>
            <w:hideMark/>
          </w:tcPr>
          <w:p w14:paraId="32A0D5A9" w14:textId="4BEEF886" w:rsidR="009864F6" w:rsidRPr="00F05E04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F05E04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9A5B6C" w:rsidRPr="00F05E04">
              <w:rPr>
                <w:rFonts w:asciiTheme="minorHAnsi" w:hAnsiTheme="minorHAnsi" w:cs="Segoe UI"/>
                <w:b w:val="0"/>
                <w:bCs w:val="0"/>
                <w:sz w:val="20"/>
                <w:szCs w:val="20"/>
              </w:rPr>
              <w:t>HiT FLORA s.r.o.</w:t>
            </w:r>
          </w:p>
        </w:tc>
      </w:tr>
      <w:tr w:rsidR="009864F6" w:rsidRPr="000F1661" w14:paraId="71996151" w14:textId="77777777" w:rsidTr="0031218E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gridSpan w:val="3"/>
            <w:hideMark/>
          </w:tcPr>
          <w:p w14:paraId="451FD774" w14:textId="10AD4807" w:rsidR="009864F6" w:rsidRPr="004A4CCF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Sídlo</w:t>
            </w:r>
            <w:r w:rsidR="000F1661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63E91" w:rsidRPr="004A4CCF">
              <w:rPr>
                <w:rFonts w:ascii="Century Gothic" w:hAnsi="Century Gothic" w:cs="Segoe UI"/>
                <w:sz w:val="20"/>
                <w:szCs w:val="20"/>
              </w:rPr>
              <w:t>Vítězství 216, Děčín XXXI-Křešice</w:t>
            </w:r>
            <w:r w:rsidR="00664DB3" w:rsidRPr="004A4CCF">
              <w:rPr>
                <w:rFonts w:ascii="Century Gothic" w:hAnsi="Century Gothic" w:cs="Segoe UI"/>
                <w:sz w:val="20"/>
                <w:szCs w:val="20"/>
              </w:rPr>
              <w:t>, 40502 Děčín</w:t>
            </w:r>
          </w:p>
        </w:tc>
      </w:tr>
      <w:tr w:rsidR="009864F6" w:rsidRPr="000F1661" w14:paraId="081767B1" w14:textId="77777777" w:rsidTr="0031218E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gridSpan w:val="3"/>
            <w:hideMark/>
          </w:tcPr>
          <w:p w14:paraId="1624427D" w14:textId="64596BA0" w:rsidR="009864F6" w:rsidRPr="00F8618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DIČ/IČ: </w:t>
            </w:r>
            <w:r w:rsidR="00374B63" w:rsidRPr="00AA60A8">
              <w:rPr>
                <w:rFonts w:ascii="Century Gothic" w:hAnsi="Century Gothic"/>
                <w:color w:val="000000"/>
                <w:sz w:val="20"/>
                <w:szCs w:val="20"/>
              </w:rPr>
              <w:t>CZ25499611</w:t>
            </w:r>
            <w:r w:rsidR="00271CF2"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/ </w:t>
            </w:r>
            <w:r w:rsidR="00F05E04" w:rsidRPr="00F8618F">
              <w:rPr>
                <w:rFonts w:ascii="Century Gothic" w:hAnsi="Century Gothic" w:cs="Segoe UI"/>
                <w:sz w:val="20"/>
                <w:szCs w:val="20"/>
              </w:rPr>
              <w:t>25499611</w:t>
            </w:r>
          </w:p>
        </w:tc>
      </w:tr>
      <w:tr w:rsidR="009864F6" w:rsidRPr="000F1661" w14:paraId="1276CF1F" w14:textId="77777777" w:rsidTr="0031218E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gridSpan w:val="3"/>
            <w:shd w:val="clear" w:color="auto" w:fill="FFFFFF" w:themeFill="background1"/>
            <w:hideMark/>
          </w:tcPr>
          <w:p w14:paraId="2AE79CCB" w14:textId="4E53EE8E" w:rsidR="009864F6" w:rsidRPr="00173433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433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 xml:space="preserve">Bankovní spojení: </w:t>
            </w:r>
            <w:r w:rsidR="00971BA7" w:rsidRPr="00173433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78-5300010297/0100</w:t>
            </w:r>
          </w:p>
        </w:tc>
      </w:tr>
      <w:tr w:rsidR="009864F6" w:rsidRPr="000F1661" w14:paraId="3362C64B" w14:textId="77777777" w:rsidTr="0031218E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gridSpan w:val="3"/>
            <w:hideMark/>
          </w:tcPr>
          <w:p w14:paraId="58BF0655" w14:textId="77777777" w:rsidR="009864F6" w:rsidRPr="004A4CCF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Je </w:t>
            </w:r>
            <w:r w:rsidR="009864F6"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31218E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gridSpan w:val="3"/>
            <w:hideMark/>
          </w:tcPr>
          <w:p w14:paraId="09B5679B" w14:textId="1CC35269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Zastoupený: </w:t>
            </w:r>
            <w:r w:rsidR="00A27092" w:rsidRPr="004A4CCF">
              <w:rPr>
                <w:rFonts w:ascii="Century Gothic" w:hAnsi="Century Gothic"/>
                <w:sz w:val="20"/>
                <w:szCs w:val="20"/>
              </w:rPr>
              <w:t>Břetislavem Honsem</w:t>
            </w:r>
          </w:p>
        </w:tc>
      </w:tr>
      <w:tr w:rsidR="009864F6" w:rsidRPr="000F1661" w14:paraId="036A8D36" w14:textId="77777777" w:rsidTr="0031218E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gridSpan w:val="3"/>
            <w:hideMark/>
          </w:tcPr>
          <w:p w14:paraId="45F281CE" w14:textId="6F74DEBA" w:rsidR="009864F6" w:rsidRPr="004A4CCF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Tel.: </w:t>
            </w:r>
            <w:r w:rsidR="00271CF2" w:rsidRPr="004A4CCF">
              <w:rPr>
                <w:rFonts w:ascii="Century Gothic" w:hAnsi="Century Gothic"/>
                <w:noProof/>
                <w:sz w:val="20"/>
                <w:szCs w:val="20"/>
              </w:rPr>
              <w:t xml:space="preserve">+420 </w:t>
            </w:r>
            <w:r w:rsidR="00335335" w:rsidRPr="004A4CCF">
              <w:rPr>
                <w:rFonts w:ascii="Century Gothic" w:hAnsi="Century Gothic"/>
                <w:sz w:val="20"/>
                <w:szCs w:val="20"/>
              </w:rPr>
              <w:t>775 102 189</w:t>
            </w:r>
          </w:p>
        </w:tc>
      </w:tr>
      <w:tr w:rsidR="009864F6" w:rsidRPr="000F1661" w14:paraId="23B20B3E" w14:textId="77777777" w:rsidTr="0031218E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7777777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 Šimák</w:t>
            </w:r>
          </w:p>
        </w:tc>
        <w:tc>
          <w:tcPr>
            <w:tcW w:w="6379" w:type="dxa"/>
            <w:gridSpan w:val="3"/>
            <w:hideMark/>
          </w:tcPr>
          <w:p w14:paraId="3118E911" w14:textId="4EAEA5A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2" w:history="1">
              <w:r w:rsidR="00530336" w:rsidRPr="00530336">
                <w:rPr>
                  <w:rStyle w:val="Hypertextovodkaz"/>
                  <w:u w:val="none"/>
                </w:rPr>
                <w:t>hitflora@hitflora.cz</w:t>
              </w:r>
            </w:hyperlink>
          </w:p>
        </w:tc>
      </w:tr>
      <w:tr w:rsidR="009864F6" w:rsidRPr="000F1661" w14:paraId="0559C7C0" w14:textId="77777777" w:rsidTr="0031218E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hideMark/>
          </w:tcPr>
          <w:p w14:paraId="52B590A8" w14:textId="77777777" w:rsidR="003E1034" w:rsidRDefault="009864F6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Zapsán ve veřejném rejstříku: </w:t>
            </w:r>
            <w:r w:rsidR="00633C5C" w:rsidRPr="00633C5C">
              <w:rPr>
                <w:rFonts w:asciiTheme="majorHAnsi" w:hAnsiTheme="majorHAnsi"/>
                <w:sz w:val="20"/>
                <w:szCs w:val="20"/>
              </w:rPr>
              <w:t xml:space="preserve">C 21227 vedená u Krajského </w:t>
            </w:r>
          </w:p>
          <w:p w14:paraId="6F738349" w14:textId="3E801515" w:rsidR="00AA60A8" w:rsidRPr="00271CF2" w:rsidRDefault="00633C5C" w:rsidP="00AA60A8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633C5C">
              <w:rPr>
                <w:rFonts w:asciiTheme="majorHAnsi" w:hAnsiTheme="majorHAnsi"/>
                <w:sz w:val="20"/>
                <w:szCs w:val="20"/>
              </w:rPr>
              <w:t>soudu v Ústí nad Labem</w:t>
            </w:r>
          </w:p>
          <w:p w14:paraId="3D807D75" w14:textId="0BDCC381" w:rsidR="009864F6" w:rsidRPr="00271CF2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864F6" w:rsidRPr="000F1661" w14:paraId="3303EA96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E95238" w14:textId="1F834D62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do </w:t>
            </w:r>
            <w:r w:rsidR="00673B56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0.1</w:t>
            </w:r>
            <w:r w:rsidR="00673B56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E32B77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.2024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31218E">
        <w:tblPrEx>
          <w:tblCellSpacing w:w="11" w:type="dxa"/>
        </w:tblPrEx>
        <w:trPr>
          <w:gridBefore w:val="5"/>
          <w:gridAfter w:val="1"/>
          <w:wBefore w:w="5954" w:type="dxa"/>
          <w:wAfter w:w="300" w:type="dxa"/>
          <w:tblCellSpacing w:w="11" w:type="dxa"/>
        </w:trPr>
        <w:tc>
          <w:tcPr>
            <w:tcW w:w="4536" w:type="dxa"/>
            <w:hideMark/>
          </w:tcPr>
          <w:p w14:paraId="1C12BBD7" w14:textId="085DB6D9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35CF7" w:rsidRPr="00543D9E">
              <w:rPr>
                <w:rFonts w:ascii="Century Gothic" w:hAnsi="Century Gothic"/>
                <w:sz w:val="20"/>
              </w:rPr>
              <w:t>KUUK/149360/2024/INV/VZ-MAJ/0018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7F0B5B32" w:rsidR="00696620" w:rsidRPr="00271CF2" w:rsidRDefault="0012376D" w:rsidP="003A00F5">
            <w:pPr>
              <w:spacing w:before="120" w:after="120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>O</w:t>
            </w:r>
            <w:r w:rsidRPr="00013954">
              <w:rPr>
                <w:b/>
                <w:bCs/>
              </w:rPr>
              <w:t>bnova porostů a opravy podpor porostů podél komunikací kraje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3220F982" w:rsidR="00AF677E" w:rsidRPr="00271CF2" w:rsidRDefault="00271CF2" w:rsidP="005D7330">
            <w:pPr>
              <w:rPr>
                <w:rFonts w:asciiTheme="majorHAnsi" w:hAnsiTheme="majorHAnsi" w:cs="Arial"/>
                <w:color w:val="auto"/>
              </w:rPr>
            </w:pPr>
            <w:r w:rsidRPr="00271CF2">
              <w:rPr>
                <w:rFonts w:asciiTheme="majorHAnsi" w:hAnsiTheme="majorHAnsi" w:cs="Arial"/>
                <w:color w:val="auto"/>
              </w:rPr>
              <w:t xml:space="preserve">max. do </w:t>
            </w:r>
            <w:r w:rsidR="00A43F38">
              <w:rPr>
                <w:rFonts w:asciiTheme="majorHAnsi" w:hAnsiTheme="majorHAnsi" w:cs="Arial"/>
                <w:color w:val="auto"/>
              </w:rPr>
              <w:t>1</w:t>
            </w:r>
            <w:r w:rsidR="00770F6D">
              <w:rPr>
                <w:rFonts w:asciiTheme="majorHAnsi" w:hAnsiTheme="majorHAnsi" w:cs="Arial"/>
                <w:color w:val="auto"/>
              </w:rPr>
              <w:t>0.1</w:t>
            </w:r>
            <w:r w:rsidR="00A43F38">
              <w:rPr>
                <w:rFonts w:asciiTheme="majorHAnsi" w:hAnsiTheme="majorHAnsi" w:cs="Arial"/>
                <w:color w:val="auto"/>
              </w:rPr>
              <w:t>2</w:t>
            </w:r>
            <w:r w:rsidR="00770F6D">
              <w:rPr>
                <w:rFonts w:asciiTheme="majorHAnsi" w:hAnsiTheme="majorHAnsi" w:cs="Arial"/>
                <w:color w:val="auto"/>
              </w:rPr>
              <w:t>.2024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640664D4" w:rsidR="00AF677E" w:rsidRPr="00271CF2" w:rsidRDefault="00A71A60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o</w:t>
            </w:r>
            <w:r w:rsidR="00F61E9A">
              <w:rPr>
                <w:rFonts w:asciiTheme="majorHAnsi" w:hAnsiTheme="majorHAnsi" w:cs="Arial"/>
                <w:color w:val="auto"/>
              </w:rPr>
              <w:t>bnova</w:t>
            </w:r>
            <w:r>
              <w:rPr>
                <w:rFonts w:asciiTheme="majorHAnsi" w:hAnsiTheme="majorHAnsi" w:cs="Arial"/>
                <w:color w:val="auto"/>
              </w:rPr>
              <w:t>, opravy podpor porostů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404A897C" w:rsidR="00AF677E" w:rsidRPr="00271CF2" w:rsidRDefault="000E463E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256 320 Kč</w:t>
            </w: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47E03800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</w:t>
            </w:r>
            <w:r w:rsidR="00BB6A93">
              <w:rPr>
                <w:rFonts w:asciiTheme="majorHAnsi" w:hAnsiTheme="majorHAnsi" w:cs="Arial"/>
                <w:color w:val="auto"/>
              </w:rPr>
              <w:t xml:space="preserve"> </w:t>
            </w:r>
            <w:r w:rsidR="00263ED4">
              <w:rPr>
                <w:rFonts w:asciiTheme="majorHAnsi" w:hAnsiTheme="majorHAnsi" w:cs="Arial"/>
                <w:color w:val="auto"/>
              </w:rPr>
              <w:t>2</w:t>
            </w:r>
            <w:r w:rsidR="00263ED4">
              <w:rPr>
                <w:color w:val="auto"/>
              </w:rPr>
              <w:t>56 320</w:t>
            </w:r>
            <w:r w:rsidR="008146B1">
              <w:rPr>
                <w:rFonts w:asciiTheme="majorHAnsi" w:hAnsiTheme="majorHAnsi" w:cs="Arial"/>
                <w:color w:val="auto"/>
              </w:rPr>
              <w:t>,00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23684EF8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42320177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FB665B" w:rsidRPr="00FB665B">
              <w:rPr>
                <w:rFonts w:asciiTheme="majorHAnsi" w:hAnsiTheme="majorHAnsi" w:cs="Arial"/>
                <w:color w:val="auto"/>
              </w:rPr>
              <w:t>53 827,2</w:t>
            </w:r>
            <w:r w:rsidR="00FB665B">
              <w:rPr>
                <w:rFonts w:asciiTheme="majorHAnsi" w:hAnsiTheme="majorHAnsi" w:cs="Arial"/>
                <w:color w:val="auto"/>
              </w:rPr>
              <w:t>0</w:t>
            </w:r>
            <w:r w:rsidR="00FB665B" w:rsidRPr="00FB665B">
              <w:rPr>
                <w:rFonts w:asciiTheme="majorHAnsi" w:hAnsiTheme="majorHAnsi" w:cs="Arial"/>
                <w:color w:val="auto"/>
              </w:rPr>
              <w:t xml:space="preserve"> </w:t>
            </w:r>
            <w:r w:rsidR="006333C6"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2B38DB27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263ED4">
              <w:rPr>
                <w:rFonts w:asciiTheme="majorHAnsi" w:hAnsiTheme="majorHAnsi" w:cs="Arial"/>
                <w:color w:val="auto"/>
              </w:rPr>
              <w:t>3</w:t>
            </w:r>
            <w:r w:rsidR="00263ED4">
              <w:rPr>
                <w:color w:val="auto"/>
              </w:rPr>
              <w:t>10 147,20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čanského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>Pokud v této smlouvě není stanoveno jinak, řídí se právní vztahy z ní vyplývající příslušnými 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ních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lastRenderedPageBreak/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66C8E2EB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530336" w:rsidRPr="00530336">
          <w:rPr>
            <w:rStyle w:val="Hypertextovodkaz"/>
            <w:rFonts w:eastAsiaTheme="majorEastAsia"/>
            <w:u w:val="none"/>
          </w:rPr>
          <w:t>hitflora@hitflora.cz</w:t>
        </w:r>
      </w:hyperlink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7BA032E0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1C3F1F">
        <w:rPr>
          <w:rFonts w:asciiTheme="majorHAnsi" w:hAnsiTheme="majorHAnsi" w:cs="Arial"/>
          <w:color w:val="auto"/>
          <w:sz w:val="20"/>
          <w:szCs w:val="20"/>
        </w:rPr>
        <w:t>1</w:t>
      </w:r>
      <w:r w:rsidR="00544E50">
        <w:rPr>
          <w:rFonts w:asciiTheme="majorHAnsi" w:hAnsiTheme="majorHAnsi" w:cs="Arial"/>
          <w:color w:val="auto"/>
          <w:sz w:val="20"/>
          <w:szCs w:val="20"/>
        </w:rPr>
        <w:t>6</w:t>
      </w:r>
      <w:r w:rsidR="00560C8A">
        <w:rPr>
          <w:rFonts w:asciiTheme="majorHAnsi" w:hAnsiTheme="majorHAnsi" w:cs="Arial"/>
          <w:color w:val="auto"/>
          <w:sz w:val="20"/>
          <w:szCs w:val="20"/>
        </w:rPr>
        <w:t xml:space="preserve">. </w:t>
      </w:r>
      <w:r w:rsidR="00544E50">
        <w:rPr>
          <w:rFonts w:asciiTheme="majorHAnsi" w:hAnsiTheme="majorHAnsi" w:cs="Arial"/>
          <w:color w:val="auto"/>
          <w:sz w:val="20"/>
          <w:szCs w:val="20"/>
        </w:rPr>
        <w:t>10</w:t>
      </w:r>
      <w:r w:rsidR="00E03859">
        <w:rPr>
          <w:rFonts w:asciiTheme="majorHAnsi" w:hAnsiTheme="majorHAnsi" w:cs="Arial"/>
          <w:color w:val="auto"/>
          <w:sz w:val="20"/>
          <w:szCs w:val="20"/>
        </w:rPr>
        <w:t>. 202</w:t>
      </w:r>
      <w:r w:rsidR="00A629B5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7D89F91C" w14:textId="78A3E6BE" w:rsidR="00E51A0E" w:rsidRPr="00CF1084" w:rsidRDefault="00E51A0E" w:rsidP="00CF1084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0"/>
          <w:szCs w:val="20"/>
        </w:rPr>
      </w:pPr>
      <w:r w:rsidRPr="00CF1084">
        <w:rPr>
          <w:rFonts w:asciiTheme="minorHAnsi" w:hAnsiTheme="minorHAnsi" w:cs="Arial"/>
          <w:b/>
          <w:bCs/>
          <w:sz w:val="20"/>
          <w:szCs w:val="20"/>
        </w:rPr>
        <w:t>I/ obnova porostů podél Nové komunikace – obchvat Roudnice nad Labem náhradní výsadbou</w:t>
      </w:r>
      <w:r w:rsidR="00CF1084" w:rsidRPr="00CF1084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CF1084">
        <w:rPr>
          <w:rFonts w:asciiTheme="minorHAnsi" w:hAnsiTheme="minorHAnsi" w:cs="Arial"/>
          <w:b/>
          <w:bCs/>
          <w:sz w:val="20"/>
          <w:szCs w:val="20"/>
        </w:rPr>
        <w:t xml:space="preserve">stromů s balem o průměru 20 cm: </w:t>
      </w:r>
    </w:p>
    <w:p w14:paraId="3126A3EE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Bříza bílá             -              42 ks</w:t>
      </w:r>
    </w:p>
    <w:p w14:paraId="326BA592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Dub letní    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 xml:space="preserve"> -              20 ks</w:t>
      </w:r>
    </w:p>
    <w:p w14:paraId="66BBB026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Dub zimní           -    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> </w:t>
      </w:r>
      <w:r>
        <w:rPr>
          <w:rFonts w:cs="Arial"/>
        </w:rPr>
        <w:t xml:space="preserve"> </w:t>
      </w:r>
      <w:r w:rsidRPr="00437F35">
        <w:rPr>
          <w:rFonts w:cs="Arial"/>
        </w:rPr>
        <w:t xml:space="preserve"> 11 ks</w:t>
      </w:r>
    </w:p>
    <w:p w14:paraId="4961810A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Jeřáb ptačí        -    </w:t>
      </w:r>
      <w:r>
        <w:rPr>
          <w:rFonts w:cs="Arial"/>
        </w:rPr>
        <w:t xml:space="preserve">  </w:t>
      </w:r>
      <w:r w:rsidRPr="00437F35">
        <w:rPr>
          <w:rFonts w:cs="Arial"/>
        </w:rPr>
        <w:t>        39 ks</w:t>
      </w:r>
    </w:p>
    <w:p w14:paraId="3CA0314D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Jasan ztepilý      -  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> </w:t>
      </w:r>
      <w:r>
        <w:rPr>
          <w:rFonts w:cs="Arial"/>
        </w:rPr>
        <w:t xml:space="preserve"> </w:t>
      </w:r>
      <w:r w:rsidRPr="00437F35">
        <w:rPr>
          <w:rFonts w:cs="Arial"/>
        </w:rPr>
        <w:t>    6 ks</w:t>
      </w:r>
    </w:p>
    <w:p w14:paraId="68903A8D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Javor horský    </w:t>
      </w:r>
      <w:r>
        <w:rPr>
          <w:rFonts w:cs="Arial"/>
        </w:rPr>
        <w:t xml:space="preserve"> </w:t>
      </w:r>
      <w:r w:rsidRPr="00437F35">
        <w:rPr>
          <w:rFonts w:cs="Arial"/>
        </w:rPr>
        <w:t>  -              30 ks</w:t>
      </w:r>
    </w:p>
    <w:p w14:paraId="00231C6D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Habr obecný     -  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> </w:t>
      </w:r>
      <w:r>
        <w:rPr>
          <w:rFonts w:cs="Arial"/>
        </w:rPr>
        <w:t xml:space="preserve"> </w:t>
      </w:r>
      <w:r w:rsidRPr="00437F35">
        <w:rPr>
          <w:rFonts w:cs="Arial"/>
        </w:rPr>
        <w:t>    3 ks</w:t>
      </w:r>
    </w:p>
    <w:p w14:paraId="5E0635F9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Lípa srdčitá        -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>   </w:t>
      </w:r>
      <w:r>
        <w:rPr>
          <w:rFonts w:cs="Arial"/>
        </w:rPr>
        <w:t xml:space="preserve"> </w:t>
      </w:r>
      <w:r w:rsidRPr="00437F35">
        <w:rPr>
          <w:rFonts w:cs="Arial"/>
        </w:rPr>
        <w:t>  20 ks</w:t>
      </w:r>
    </w:p>
    <w:p w14:paraId="2F516A06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Javor babyka    -       </w:t>
      </w:r>
      <w:r>
        <w:rPr>
          <w:rFonts w:cs="Arial"/>
        </w:rPr>
        <w:t xml:space="preserve"> </w:t>
      </w:r>
      <w:r w:rsidRPr="00437F35">
        <w:rPr>
          <w:rFonts w:cs="Arial"/>
        </w:rPr>
        <w:t>  </w:t>
      </w:r>
      <w:r>
        <w:rPr>
          <w:rFonts w:cs="Arial"/>
        </w:rPr>
        <w:t xml:space="preserve"> </w:t>
      </w:r>
      <w:r w:rsidRPr="00437F35">
        <w:rPr>
          <w:rFonts w:cs="Arial"/>
        </w:rPr>
        <w:t>   30 ks</w:t>
      </w:r>
    </w:p>
    <w:p w14:paraId="615D44DD" w14:textId="77777777" w:rsidR="00E51A0E" w:rsidRPr="00437F35" w:rsidRDefault="00E51A0E" w:rsidP="00E51A0E">
      <w:pPr>
        <w:numPr>
          <w:ilvl w:val="0"/>
          <w:numId w:val="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Borovice lesní    -            </w:t>
      </w:r>
      <w:r>
        <w:rPr>
          <w:rFonts w:cs="Arial"/>
        </w:rPr>
        <w:t xml:space="preserve">   </w:t>
      </w:r>
      <w:r w:rsidRPr="00437F35">
        <w:rPr>
          <w:rFonts w:cs="Arial"/>
        </w:rPr>
        <w:t xml:space="preserve"> 1 ks</w:t>
      </w:r>
    </w:p>
    <w:p w14:paraId="5227C693" w14:textId="77777777" w:rsidR="00E51A0E" w:rsidRPr="00491E3F" w:rsidRDefault="00E51A0E" w:rsidP="00E51A0E">
      <w:pPr>
        <w:spacing w:before="120" w:after="120"/>
        <w:rPr>
          <w:rFonts w:cs="Arial"/>
          <w:sz w:val="10"/>
          <w:szCs w:val="10"/>
        </w:rPr>
      </w:pPr>
    </w:p>
    <w:p w14:paraId="5AF9CBA5" w14:textId="77777777" w:rsidR="00E51A0E" w:rsidRPr="00437F35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>Za použití kontejnerového rostlinného materiálu, při velikosti kontejneru min. 1-2L, velikost 150/175/200 cm, ukotvení porostů frézovanými kůly s korunkou a špicí průměr 50 mm a délce 2200 mm, dlouhodobě působící hnojivo 10 ks/strom a prvotní zálivku.</w:t>
      </w:r>
    </w:p>
    <w:p w14:paraId="3C065567" w14:textId="77777777" w:rsidR="00E51A0E" w:rsidRPr="00437F35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> </w:t>
      </w:r>
    </w:p>
    <w:p w14:paraId="5A072FCD" w14:textId="715CCE0C" w:rsidR="00E51A0E" w:rsidRPr="00CF1084" w:rsidRDefault="00E51A0E" w:rsidP="00CF1084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0"/>
          <w:szCs w:val="20"/>
        </w:rPr>
      </w:pPr>
      <w:r w:rsidRPr="00CF1084">
        <w:rPr>
          <w:rFonts w:asciiTheme="minorHAnsi" w:hAnsiTheme="minorHAnsi" w:cs="Arial"/>
          <w:b/>
          <w:bCs/>
          <w:sz w:val="20"/>
          <w:szCs w:val="20"/>
        </w:rPr>
        <w:t xml:space="preserve">II/ obnova porostů podél Nové komunikace u města Chomutov náhradní výsadbou stromů s balem o průměru 20 cm: </w:t>
      </w:r>
    </w:p>
    <w:p w14:paraId="0140109B" w14:textId="77777777" w:rsidR="00E51A0E" w:rsidRPr="00437F35" w:rsidRDefault="00E51A0E" w:rsidP="00E51A0E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Lípa srdčitá         -              2 ks</w:t>
      </w:r>
    </w:p>
    <w:p w14:paraId="11C9CDE6" w14:textId="77777777" w:rsidR="00E51A0E" w:rsidRPr="00437F35" w:rsidRDefault="00E51A0E" w:rsidP="00E51A0E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Smrk omorika  </w:t>
      </w:r>
      <w:r>
        <w:rPr>
          <w:rFonts w:cs="Arial"/>
        </w:rPr>
        <w:t xml:space="preserve">   </w:t>
      </w:r>
      <w:r w:rsidRPr="00437F35">
        <w:rPr>
          <w:rFonts w:cs="Arial"/>
        </w:rPr>
        <w:t xml:space="preserve"> -              5 ks</w:t>
      </w:r>
    </w:p>
    <w:p w14:paraId="05EC9DE4" w14:textId="77777777" w:rsidR="00E51A0E" w:rsidRPr="00437F35" w:rsidRDefault="00E51A0E" w:rsidP="00E51A0E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Habr obecný      -              1 ks</w:t>
      </w:r>
    </w:p>
    <w:p w14:paraId="7243A6FA" w14:textId="0FF1B065" w:rsidR="002C5419" w:rsidRPr="002C5419" w:rsidRDefault="00E51A0E" w:rsidP="002C5419">
      <w:pPr>
        <w:numPr>
          <w:ilvl w:val="0"/>
          <w:numId w:val="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rFonts w:cs="Arial"/>
        </w:rPr>
      </w:pPr>
      <w:r w:rsidRPr="00437F35">
        <w:rPr>
          <w:rFonts w:cs="Arial"/>
        </w:rPr>
        <w:t>Borovice lesní   </w:t>
      </w:r>
      <w:r>
        <w:rPr>
          <w:rFonts w:cs="Arial"/>
        </w:rPr>
        <w:t xml:space="preserve"> </w:t>
      </w:r>
      <w:r w:rsidRPr="00437F35">
        <w:rPr>
          <w:rFonts w:cs="Arial"/>
        </w:rPr>
        <w:t xml:space="preserve"> -              2 ks</w:t>
      </w:r>
    </w:p>
    <w:p w14:paraId="77517D61" w14:textId="3882B7C6" w:rsidR="00E51A0E" w:rsidRPr="00437F35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lastRenderedPageBreak/>
        <w:t>Za použití kontejnerového rostlinného materiálu, při velikosti kontejneru min. 1-2L, velikost 150/175/200 cm, ukotvení porostů frézovanými kůly s korunkou a špicí průměr 50 mm a délce 2200 mm, dlouhodobě působící hnojivo 10 ks/strom a prvotní zálivku.</w:t>
      </w:r>
    </w:p>
    <w:p w14:paraId="0C43FC09" w14:textId="1715E4C8" w:rsidR="00E51A0E" w:rsidRPr="009F30A6" w:rsidRDefault="00E51A0E" w:rsidP="009F30A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inorHAnsi" w:hAnsiTheme="minorHAnsi" w:cs="Arial"/>
          <w:b/>
          <w:color w:val="auto"/>
          <w:sz w:val="20"/>
          <w:szCs w:val="20"/>
        </w:rPr>
      </w:pPr>
      <w:r w:rsidRPr="009F30A6">
        <w:rPr>
          <w:rFonts w:asciiTheme="minorHAnsi" w:hAnsiTheme="minorHAnsi" w:cs="Arial"/>
          <w:b/>
          <w:bCs/>
          <w:sz w:val="20"/>
          <w:szCs w:val="20"/>
        </w:rPr>
        <w:t xml:space="preserve">III/ a dále u porostů podél Nové komunikace u města Chomutov provést opravu, popř. nahrazení podpor u 16 stromů poškozených vichřicí. </w:t>
      </w:r>
    </w:p>
    <w:p w14:paraId="27289A3F" w14:textId="77777777" w:rsidR="00E51A0E" w:rsidRPr="00437F35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> </w:t>
      </w:r>
    </w:p>
    <w:p w14:paraId="5BB22678" w14:textId="77777777" w:rsidR="00E51A0E" w:rsidRDefault="00E51A0E" w:rsidP="00E51A0E">
      <w:pPr>
        <w:spacing w:before="120" w:after="120"/>
        <w:rPr>
          <w:rFonts w:cs="Arial"/>
        </w:rPr>
      </w:pPr>
      <w:r w:rsidRPr="00437F35">
        <w:rPr>
          <w:rFonts w:cs="Arial"/>
        </w:rPr>
        <w:t>Před zahájením prací bude místo řádně označeno s</w:t>
      </w:r>
      <w:r>
        <w:rPr>
          <w:rFonts w:cs="Arial"/>
        </w:rPr>
        <w:t> </w:t>
      </w:r>
      <w:r w:rsidRPr="00437F35">
        <w:rPr>
          <w:rFonts w:cs="Arial"/>
        </w:rPr>
        <w:t>ohledem</w:t>
      </w:r>
      <w:r>
        <w:rPr>
          <w:rFonts w:cs="Arial"/>
        </w:rPr>
        <w:t xml:space="preserve"> na</w:t>
      </w:r>
      <w:r w:rsidRPr="00437F35">
        <w:rPr>
          <w:rFonts w:cs="Arial"/>
        </w:rPr>
        <w:t xml:space="preserve"> provoz a pohyb uživatelů komunikace, práce budou prováděny za podmínek dodržení všech bezpečnostních předpisů tak, aby nedošlo k ohrožení života a zdraví obyvatel či poškození majetku třetích osob.</w:t>
      </w:r>
    </w:p>
    <w:p w14:paraId="31AFDBE5" w14:textId="77777777" w:rsidR="009F30A6" w:rsidRPr="00437F35" w:rsidRDefault="009F30A6" w:rsidP="00E51A0E">
      <w:pPr>
        <w:spacing w:before="120" w:after="120"/>
        <w:rPr>
          <w:rFonts w:cs="Arial"/>
        </w:rPr>
      </w:pPr>
    </w:p>
    <w:p w14:paraId="62693D3C" w14:textId="77777777" w:rsidR="00CF1084" w:rsidRDefault="00CF1084" w:rsidP="00CF1084">
      <w:pPr>
        <w:pStyle w:val="-wm-msonormal"/>
        <w:numPr>
          <w:ilvl w:val="0"/>
          <w:numId w:val="2"/>
        </w:numPr>
        <w:spacing w:beforeAutospacing="0" w:after="120" w:afterAutospacing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7A5F08CD" w14:textId="77777777" w:rsidR="00CF1084" w:rsidRDefault="00CF1084" w:rsidP="00CF1084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potvrzené-ho předávacího protokolu zástupcem objednatele.</w:t>
      </w:r>
    </w:p>
    <w:p w14:paraId="2B99C498" w14:textId="77777777" w:rsidR="00EE3604" w:rsidRPr="00EE3604" w:rsidRDefault="00EE3604" w:rsidP="00EE3604">
      <w:pPr>
        <w:rPr>
          <w:b/>
          <w:bCs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000DB530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28EC92A9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16C314EC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54"/>
        <w:gridCol w:w="3675"/>
      </w:tblGrid>
      <w:tr w:rsidR="009864F6" w:rsidRPr="00696620" w14:paraId="62ED4095" w14:textId="77777777" w:rsidTr="000D128C">
        <w:tc>
          <w:tcPr>
            <w:tcW w:w="3539" w:type="dxa"/>
          </w:tcPr>
          <w:p w14:paraId="55065356" w14:textId="3FAEF5AE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 xml:space="preserve">V </w:t>
            </w:r>
            <w:r w:rsidR="00A629B5">
              <w:rPr>
                <w:rFonts w:asciiTheme="majorHAnsi" w:hAnsiTheme="majorHAnsi" w:cs="Arial"/>
                <w:color w:val="auto"/>
              </w:rPr>
              <w:t>Děčíně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982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636C594" w14:textId="77777777" w:rsidR="007C6792" w:rsidRPr="00696620" w:rsidRDefault="007C6792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982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28A587AE" w:rsidR="006333C6" w:rsidRPr="007C6792" w:rsidRDefault="007C6792" w:rsidP="00E81026">
            <w:pPr>
              <w:rPr>
                <w:rFonts w:asciiTheme="majorHAnsi" w:hAnsiTheme="majorHAnsi" w:cs="Arial"/>
                <w:color w:val="auto"/>
              </w:rPr>
            </w:pPr>
            <w:r w:rsidRPr="007C6792">
              <w:rPr>
                <w:rFonts w:asciiTheme="minorHAnsi" w:hAnsiTheme="minorHAnsi" w:cs="Segoe UI"/>
              </w:rPr>
              <w:t>HiT FLORA s.r.o.</w:t>
            </w:r>
          </w:p>
        </w:tc>
        <w:tc>
          <w:tcPr>
            <w:tcW w:w="2982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6D20A45B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sectPr w:rsidR="009864F6" w:rsidRPr="00696620" w:rsidSect="0031218E">
      <w:footerReference w:type="default" r:id="rId15"/>
      <w:headerReference w:type="first" r:id="rId16"/>
      <w:footerReference w:type="first" r:id="rId17"/>
      <w:pgSz w:w="11906" w:h="16838" w:code="9"/>
      <w:pgMar w:top="1418" w:right="1134" w:bottom="1985" w:left="1134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AEBD" w14:textId="77777777" w:rsidR="000A11D8" w:rsidRDefault="000A11D8" w:rsidP="00A4755F">
      <w:r>
        <w:separator/>
      </w:r>
    </w:p>
  </w:endnote>
  <w:endnote w:type="continuationSeparator" w:id="0">
    <w:p w14:paraId="248ED62E" w14:textId="77777777" w:rsidR="000A11D8" w:rsidRDefault="000A11D8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BB83" w14:textId="77777777" w:rsidR="000A11D8" w:rsidRDefault="000A11D8" w:rsidP="00A4755F">
      <w:r>
        <w:separator/>
      </w:r>
    </w:p>
  </w:footnote>
  <w:footnote w:type="continuationSeparator" w:id="0">
    <w:p w14:paraId="42D17048" w14:textId="77777777" w:rsidR="000A11D8" w:rsidRDefault="000A11D8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D5D75"/>
    <w:multiLevelType w:val="multilevel"/>
    <w:tmpl w:val="395A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2E57F59"/>
    <w:multiLevelType w:val="multilevel"/>
    <w:tmpl w:val="7AEA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25687">
    <w:abstractNumId w:val="2"/>
  </w:num>
  <w:num w:numId="2" w16cid:durableId="432242355">
    <w:abstractNumId w:val="3"/>
  </w:num>
  <w:num w:numId="3" w16cid:durableId="657616442">
    <w:abstractNumId w:val="1"/>
  </w:num>
  <w:num w:numId="4" w16cid:durableId="805784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730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5346F"/>
    <w:rsid w:val="0006763E"/>
    <w:rsid w:val="00081B8B"/>
    <w:rsid w:val="00083BAA"/>
    <w:rsid w:val="00093959"/>
    <w:rsid w:val="000A11D8"/>
    <w:rsid w:val="000A31A4"/>
    <w:rsid w:val="000A366E"/>
    <w:rsid w:val="000B7F90"/>
    <w:rsid w:val="000E463E"/>
    <w:rsid w:val="000F1661"/>
    <w:rsid w:val="0010680C"/>
    <w:rsid w:val="001116CA"/>
    <w:rsid w:val="001155E8"/>
    <w:rsid w:val="0012376D"/>
    <w:rsid w:val="00137579"/>
    <w:rsid w:val="00152B0B"/>
    <w:rsid w:val="00171132"/>
    <w:rsid w:val="00172E01"/>
    <w:rsid w:val="00173433"/>
    <w:rsid w:val="001766D6"/>
    <w:rsid w:val="0018485C"/>
    <w:rsid w:val="001854FA"/>
    <w:rsid w:val="0018560E"/>
    <w:rsid w:val="00192419"/>
    <w:rsid w:val="00192922"/>
    <w:rsid w:val="001A1480"/>
    <w:rsid w:val="001A2154"/>
    <w:rsid w:val="001B346A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0D23"/>
    <w:rsid w:val="0025202E"/>
    <w:rsid w:val="00252CA6"/>
    <w:rsid w:val="00253D59"/>
    <w:rsid w:val="00263ED4"/>
    <w:rsid w:val="00265914"/>
    <w:rsid w:val="00271CF2"/>
    <w:rsid w:val="0028635E"/>
    <w:rsid w:val="002A38D5"/>
    <w:rsid w:val="002A6058"/>
    <w:rsid w:val="002B3723"/>
    <w:rsid w:val="002B7887"/>
    <w:rsid w:val="002C5419"/>
    <w:rsid w:val="002E580C"/>
    <w:rsid w:val="00305B35"/>
    <w:rsid w:val="0031218E"/>
    <w:rsid w:val="00315491"/>
    <w:rsid w:val="00321AF8"/>
    <w:rsid w:val="003337B8"/>
    <w:rsid w:val="00335335"/>
    <w:rsid w:val="00352B81"/>
    <w:rsid w:val="00370D79"/>
    <w:rsid w:val="003745F4"/>
    <w:rsid w:val="00374B63"/>
    <w:rsid w:val="00394757"/>
    <w:rsid w:val="003A00F5"/>
    <w:rsid w:val="003A0150"/>
    <w:rsid w:val="003A1DEC"/>
    <w:rsid w:val="003B08F4"/>
    <w:rsid w:val="003B11AC"/>
    <w:rsid w:val="003B2D54"/>
    <w:rsid w:val="003B3C09"/>
    <w:rsid w:val="003C45DE"/>
    <w:rsid w:val="003E0CD0"/>
    <w:rsid w:val="003E1034"/>
    <w:rsid w:val="003E24DF"/>
    <w:rsid w:val="003E27A3"/>
    <w:rsid w:val="003F1F52"/>
    <w:rsid w:val="003F4E83"/>
    <w:rsid w:val="0041428F"/>
    <w:rsid w:val="00430787"/>
    <w:rsid w:val="0043133E"/>
    <w:rsid w:val="004373E3"/>
    <w:rsid w:val="00437490"/>
    <w:rsid w:val="0044172F"/>
    <w:rsid w:val="0044315E"/>
    <w:rsid w:val="00466C24"/>
    <w:rsid w:val="0047200A"/>
    <w:rsid w:val="00473A77"/>
    <w:rsid w:val="0047476D"/>
    <w:rsid w:val="00491E3F"/>
    <w:rsid w:val="00497326"/>
    <w:rsid w:val="004A2B0D"/>
    <w:rsid w:val="004A4CCF"/>
    <w:rsid w:val="004D3390"/>
    <w:rsid w:val="004E4E81"/>
    <w:rsid w:val="004E6426"/>
    <w:rsid w:val="004F1CDE"/>
    <w:rsid w:val="0050248B"/>
    <w:rsid w:val="00522307"/>
    <w:rsid w:val="00530336"/>
    <w:rsid w:val="00536546"/>
    <w:rsid w:val="00540C82"/>
    <w:rsid w:val="00544E50"/>
    <w:rsid w:val="00556BB5"/>
    <w:rsid w:val="00560C8A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2216F"/>
    <w:rsid w:val="006333C6"/>
    <w:rsid w:val="00633C5C"/>
    <w:rsid w:val="00635CF7"/>
    <w:rsid w:val="00641398"/>
    <w:rsid w:val="00641FA1"/>
    <w:rsid w:val="00642872"/>
    <w:rsid w:val="006437A0"/>
    <w:rsid w:val="00646E75"/>
    <w:rsid w:val="00647C78"/>
    <w:rsid w:val="00651160"/>
    <w:rsid w:val="0066288F"/>
    <w:rsid w:val="00664DB3"/>
    <w:rsid w:val="00673B56"/>
    <w:rsid w:val="00691A40"/>
    <w:rsid w:val="00691EEC"/>
    <w:rsid w:val="00696620"/>
    <w:rsid w:val="006A0ECB"/>
    <w:rsid w:val="006A2F11"/>
    <w:rsid w:val="006A7513"/>
    <w:rsid w:val="006B275F"/>
    <w:rsid w:val="006C0297"/>
    <w:rsid w:val="006D1B73"/>
    <w:rsid w:val="006D36F6"/>
    <w:rsid w:val="006E068B"/>
    <w:rsid w:val="006E340A"/>
    <w:rsid w:val="006F6F10"/>
    <w:rsid w:val="00746EE5"/>
    <w:rsid w:val="00763E91"/>
    <w:rsid w:val="00767891"/>
    <w:rsid w:val="00770F6D"/>
    <w:rsid w:val="00774A77"/>
    <w:rsid w:val="00775A26"/>
    <w:rsid w:val="00783E79"/>
    <w:rsid w:val="00786852"/>
    <w:rsid w:val="007A5116"/>
    <w:rsid w:val="007A7EA3"/>
    <w:rsid w:val="007B36FE"/>
    <w:rsid w:val="007B5AE8"/>
    <w:rsid w:val="007C6792"/>
    <w:rsid w:val="007E5AB2"/>
    <w:rsid w:val="007F5192"/>
    <w:rsid w:val="00807ADF"/>
    <w:rsid w:val="008146B1"/>
    <w:rsid w:val="008205D9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6534"/>
    <w:rsid w:val="008D73D1"/>
    <w:rsid w:val="008D77A5"/>
    <w:rsid w:val="008F1B3D"/>
    <w:rsid w:val="008F4381"/>
    <w:rsid w:val="008F7EA7"/>
    <w:rsid w:val="00923F14"/>
    <w:rsid w:val="00930335"/>
    <w:rsid w:val="00946CAF"/>
    <w:rsid w:val="00950F94"/>
    <w:rsid w:val="0095582D"/>
    <w:rsid w:val="00971BA7"/>
    <w:rsid w:val="009864F6"/>
    <w:rsid w:val="009A5B6C"/>
    <w:rsid w:val="009B1086"/>
    <w:rsid w:val="009B258D"/>
    <w:rsid w:val="009C012F"/>
    <w:rsid w:val="009D6906"/>
    <w:rsid w:val="009F14AF"/>
    <w:rsid w:val="009F30A6"/>
    <w:rsid w:val="00A24A1E"/>
    <w:rsid w:val="00A26FE7"/>
    <w:rsid w:val="00A27092"/>
    <w:rsid w:val="00A4026D"/>
    <w:rsid w:val="00A43F38"/>
    <w:rsid w:val="00A47328"/>
    <w:rsid w:val="00A4755F"/>
    <w:rsid w:val="00A52EDF"/>
    <w:rsid w:val="00A57165"/>
    <w:rsid w:val="00A629B5"/>
    <w:rsid w:val="00A66B18"/>
    <w:rsid w:val="00A6783B"/>
    <w:rsid w:val="00A71A60"/>
    <w:rsid w:val="00A8036E"/>
    <w:rsid w:val="00A8501E"/>
    <w:rsid w:val="00A95A22"/>
    <w:rsid w:val="00A96CF8"/>
    <w:rsid w:val="00AA089B"/>
    <w:rsid w:val="00AA60A8"/>
    <w:rsid w:val="00AA6169"/>
    <w:rsid w:val="00AB25BC"/>
    <w:rsid w:val="00AC077D"/>
    <w:rsid w:val="00AE1388"/>
    <w:rsid w:val="00AE1E04"/>
    <w:rsid w:val="00AF01CC"/>
    <w:rsid w:val="00AF3982"/>
    <w:rsid w:val="00AF677E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B6A93"/>
    <w:rsid w:val="00BC668A"/>
    <w:rsid w:val="00BD39D8"/>
    <w:rsid w:val="00BD4C07"/>
    <w:rsid w:val="00BD550C"/>
    <w:rsid w:val="00BD55FE"/>
    <w:rsid w:val="00BF4A99"/>
    <w:rsid w:val="00C02875"/>
    <w:rsid w:val="00C20CC0"/>
    <w:rsid w:val="00C212E8"/>
    <w:rsid w:val="00C26AE3"/>
    <w:rsid w:val="00C34E9E"/>
    <w:rsid w:val="00C34FA0"/>
    <w:rsid w:val="00C42B9C"/>
    <w:rsid w:val="00C62DE0"/>
    <w:rsid w:val="00C701F7"/>
    <w:rsid w:val="00C70786"/>
    <w:rsid w:val="00C802F2"/>
    <w:rsid w:val="00C84AE5"/>
    <w:rsid w:val="00C91E70"/>
    <w:rsid w:val="00CA387F"/>
    <w:rsid w:val="00CB62E0"/>
    <w:rsid w:val="00CD7F47"/>
    <w:rsid w:val="00CF1084"/>
    <w:rsid w:val="00D03DB6"/>
    <w:rsid w:val="00D04D40"/>
    <w:rsid w:val="00D05629"/>
    <w:rsid w:val="00D10958"/>
    <w:rsid w:val="00D2382E"/>
    <w:rsid w:val="00D40D95"/>
    <w:rsid w:val="00D47C09"/>
    <w:rsid w:val="00D66593"/>
    <w:rsid w:val="00D93A02"/>
    <w:rsid w:val="00DD162F"/>
    <w:rsid w:val="00DE6DA2"/>
    <w:rsid w:val="00DE6F9B"/>
    <w:rsid w:val="00DF2D30"/>
    <w:rsid w:val="00DF459B"/>
    <w:rsid w:val="00E03859"/>
    <w:rsid w:val="00E0776F"/>
    <w:rsid w:val="00E11696"/>
    <w:rsid w:val="00E2340A"/>
    <w:rsid w:val="00E30CAC"/>
    <w:rsid w:val="00E32B77"/>
    <w:rsid w:val="00E4786A"/>
    <w:rsid w:val="00E51A0E"/>
    <w:rsid w:val="00E55D74"/>
    <w:rsid w:val="00E6540C"/>
    <w:rsid w:val="00E81026"/>
    <w:rsid w:val="00E81E2A"/>
    <w:rsid w:val="00E841ED"/>
    <w:rsid w:val="00E9358F"/>
    <w:rsid w:val="00E93B6A"/>
    <w:rsid w:val="00EA3A4C"/>
    <w:rsid w:val="00EA53EB"/>
    <w:rsid w:val="00EA599F"/>
    <w:rsid w:val="00EB5312"/>
    <w:rsid w:val="00EC563A"/>
    <w:rsid w:val="00EE0952"/>
    <w:rsid w:val="00EE3604"/>
    <w:rsid w:val="00EF0B8F"/>
    <w:rsid w:val="00EF64EA"/>
    <w:rsid w:val="00F000AF"/>
    <w:rsid w:val="00F05E04"/>
    <w:rsid w:val="00F11A5A"/>
    <w:rsid w:val="00F25CF9"/>
    <w:rsid w:val="00F27C78"/>
    <w:rsid w:val="00F50BFC"/>
    <w:rsid w:val="00F61E9A"/>
    <w:rsid w:val="00F73739"/>
    <w:rsid w:val="00F8618F"/>
    <w:rsid w:val="00F8747D"/>
    <w:rsid w:val="00FA14BA"/>
    <w:rsid w:val="00FB665B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612BB472-AE78-4E5F-85FD-1EE9BFB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itflora@hitflor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itflora@hitfl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50</TotalTime>
  <Pages>3</Pages>
  <Words>886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27</cp:revision>
  <cp:lastPrinted>2024-10-16T12:33:00Z</cp:lastPrinted>
  <dcterms:created xsi:type="dcterms:W3CDTF">2023-10-16T10:44:00Z</dcterms:created>
  <dcterms:modified xsi:type="dcterms:W3CDTF">2024-11-11T10:06:00Z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