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cs="Arial" w:ascii="Arial" w:hAnsi="Arial"/>
          <w:caps/>
          <w:sz w:val="22"/>
          <w:szCs w:val="22"/>
        </w:rPr>
        <w:t>Smlouva o vypořádání závazků</w:t>
      </w:r>
    </w:p>
    <w:p>
      <w:pPr>
        <w:pStyle w:val="Tlotextu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Continue"/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Mateřská škola „Beruška“, Liberec, Na Pískovně 761/3 příspěvková organizace</w:t>
      </w:r>
    </w:p>
    <w:p>
      <w:pPr>
        <w:pStyle w:val="ListContinue"/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460 14  Liberec 14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</w:t>
      </w:r>
      <w:r>
        <w:rPr>
          <w:rFonts w:cs="Arial" w:ascii="Arial" w:hAnsi="Arial"/>
          <w:sz w:val="22"/>
          <w:szCs w:val="22"/>
        </w:rPr>
        <w:t xml:space="preserve">astoupený: </w:t>
      </w:r>
      <w:r>
        <w:rPr>
          <w:rFonts w:cs="Arial" w:ascii="Arial" w:hAnsi="Arial"/>
          <w:sz w:val="22"/>
          <w:szCs w:val="22"/>
        </w:rPr>
        <w:t>Andrlová Iva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IČ:72743301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DIČ: neplátci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bCs/>
          <w:sz w:val="22"/>
          <w:szCs w:val="22"/>
        </w:rPr>
        <w:t>objednatel“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</w:t>
      </w:r>
    </w:p>
    <w:p>
      <w:pPr>
        <w:pStyle w:val="Default"/>
        <w:spacing w:lineRule="auto" w:line="276" w:before="120" w:after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MultiBoard s.r.o.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sídlo: </w:t>
      </w:r>
      <w:r>
        <w:rPr>
          <w:rFonts w:cs="Arial" w:ascii="Arial" w:hAnsi="Arial"/>
          <w:sz w:val="22"/>
          <w:szCs w:val="22"/>
        </w:rPr>
        <w:t>Ocelářská 1354/35, Libeň, 190 00 Praha 9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 xml:space="preserve">zastoupený: </w:t>
      </w:r>
      <w:r>
        <w:rPr>
          <w:rFonts w:cs="Arial" w:ascii="Arial" w:hAnsi="Arial"/>
          <w:sz w:val="22"/>
          <w:szCs w:val="22"/>
        </w:rPr>
        <w:t>Mgr. Martina Pospíšilová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 xml:space="preserve">IČ: </w:t>
      </w:r>
      <w:r>
        <w:rPr>
          <w:rFonts w:cs="Arial" w:ascii="Arial" w:hAnsi="Arial"/>
          <w:sz w:val="22"/>
          <w:szCs w:val="22"/>
        </w:rPr>
        <w:t>04565240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DIČ:CZ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cs-CZ" w:eastAsia="en-US" w:bidi="ar-SA"/>
        </w:rPr>
        <w:t>04565240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bCs/>
          <w:sz w:val="22"/>
          <w:szCs w:val="22"/>
        </w:rPr>
        <w:t>dodavatel“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Popis skutkového stavu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uzavřely dne </w:t>
      </w:r>
      <w:r>
        <w:rPr>
          <w:rFonts w:cs="Arial" w:ascii="Arial" w:hAnsi="Arial"/>
        </w:rPr>
        <w:t>28.3.2022</w:t>
      </w:r>
      <w:bookmarkStart w:id="0" w:name="_GoBack"/>
      <w:bookmarkEnd w:id="0"/>
      <w:r>
        <w:rPr>
          <w:rFonts w:cs="Arial" w:ascii="Arial" w:hAnsi="Arial"/>
        </w:rPr>
        <w:t xml:space="preserve"> smlouvu , jejímž předmětem bylo dodání </w:t>
      </w:r>
      <w:r>
        <w:rPr>
          <w:rFonts w:cs="Arial" w:ascii="Arial" w:hAnsi="Arial"/>
        </w:rPr>
        <w:t>následujících movitých věcí:</w:t>
      </w:r>
    </w:p>
    <w:p>
      <w:pPr>
        <w:pStyle w:val="Normal1"/>
        <w:numPr>
          <w:ilvl w:val="0"/>
          <w:numId w:val="1"/>
        </w:numPr>
        <w:pBdr/>
        <w:shd w:val="clear" w:fill="auto"/>
        <w:spacing w:lineRule="auto" w:line="276"/>
        <w:ind w:right="-124" w:hanging="0"/>
        <w:jc w:val="both"/>
        <w:rPr>
          <w:sz w:val="16"/>
          <w:szCs w:val="16"/>
        </w:rPr>
      </w:pPr>
      <w:r>
        <w:rPr>
          <w:sz w:val="16"/>
          <w:szCs w:val="16"/>
        </w:rPr>
        <w:t>I</w:t>
      </w:r>
      <w:r>
        <w:rPr>
          <w:rFonts w:ascii="Arial" w:hAnsi="Arial"/>
          <w:sz w:val="16"/>
          <w:szCs w:val="16"/>
        </w:rPr>
        <w:t>nteraktivní displej 65” | Ultra HD (4K) | 20 současných dotyků;</w:t>
      </w:r>
    </w:p>
    <w:p>
      <w:pPr>
        <w:pStyle w:val="Normal1"/>
        <w:numPr>
          <w:ilvl w:val="0"/>
          <w:numId w:val="1"/>
        </w:numPr>
        <w:pBdr/>
        <w:shd w:val="clear" w:fill="auto"/>
        <w:spacing w:lineRule="auto" w:line="276"/>
        <w:ind w:right="-124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Počítač Windows | Intel® Core™ i5 | 8 GB RAM | 240 GB SSD | Wi-Fi | OS Windows 10 Pro;</w:t>
      </w:r>
    </w:p>
    <w:p>
      <w:pPr>
        <w:pStyle w:val="Normal1"/>
        <w:numPr>
          <w:ilvl w:val="0"/>
          <w:numId w:val="1"/>
        </w:numPr>
        <w:pBdr/>
        <w:shd w:val="clear" w:fill="auto"/>
        <w:spacing w:lineRule="auto" w:line="276"/>
        <w:ind w:right="-124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Multifunkční kovový stojan;</w:t>
      </w:r>
    </w:p>
    <w:p>
      <w:pPr>
        <w:pStyle w:val="Normal1"/>
        <w:numPr>
          <w:ilvl w:val="0"/>
          <w:numId w:val="1"/>
        </w:numPr>
        <w:pBdr/>
        <w:shd w:val="clear" w:fill="auto"/>
        <w:spacing w:lineRule="auto" w:line="276"/>
        <w:ind w:right="-124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Barevná tiskárna HP | Klávesnice s myší LOGITECH | Mikrofon CONNECT IT | Přepěťová ochrana EATON;</w:t>
      </w:r>
    </w:p>
    <w:p>
      <w:pPr>
        <w:pStyle w:val="Normal1"/>
        <w:numPr>
          <w:ilvl w:val="0"/>
          <w:numId w:val="1"/>
        </w:numPr>
        <w:pBdr/>
        <w:shd w:val="clear" w:fill="auto"/>
        <w:spacing w:lineRule="auto" w:line="276"/>
        <w:ind w:right="-124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Vzdělávací nabídka na téma MŮJ DOMOV - MOJE VLAST;</w:t>
      </w:r>
    </w:p>
    <w:p>
      <w:pPr>
        <w:pStyle w:val="Normal1"/>
        <w:numPr>
          <w:ilvl w:val="0"/>
          <w:numId w:val="1"/>
        </w:numPr>
        <w:pBdr/>
        <w:shd w:val="clear" w:fill="auto"/>
        <w:spacing w:lineRule="auto" w:line="276"/>
        <w:ind w:right="-124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EasiNote - SW na kreslení a vytváření vlastních interaktivních úloh;</w:t>
      </w:r>
    </w:p>
    <w:p>
      <w:pPr>
        <w:pStyle w:val="Normal1"/>
        <w:numPr>
          <w:ilvl w:val="0"/>
          <w:numId w:val="1"/>
        </w:numPr>
        <w:pBdr/>
        <w:shd w:val="clear" w:fill="auto"/>
        <w:spacing w:lineRule="auto" w:line="276"/>
        <w:ind w:right="-124" w:hanging="0"/>
        <w:jc w:val="both"/>
        <w:rPr>
          <w:rFonts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Barevné kamínky - iŠkolička - Licence na 1 rok.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Tato smlouva byla uzavřena v souladu s </w:t>
      </w:r>
      <w:r>
        <w:rPr>
          <w:rFonts w:cs="Arial" w:ascii="Arial" w:hAnsi="Arial"/>
          <w:i/>
        </w:rPr>
        <w:t>výsledkem zadávacího řízení na výběr dodavatele díla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Strana objednatele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Práva a závazky smluvních stran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before="0" w:after="0"/>
        <w:ind w:left="357" w:hanging="357"/>
        <w:contextualSpacing/>
        <w:jc w:val="both"/>
        <w:rPr>
          <w:rFonts w:ascii="Arial" w:hAnsi="Arial" w:cs="Arial"/>
          <w:strike/>
        </w:rPr>
      </w:pPr>
      <w:r>
        <w:rPr>
          <w:rFonts w:cs="Arial" w:ascii="Arial" w:hAnsi="Arial"/>
        </w:rPr>
        <w:t>Smluvní strany si tímto ujednáním vzájemně stvrzují, že obsah vzájemných práv a povinností, který touto smlouvou nově sjednávají, je zcela a beze zbytku vyjádřen textem původně sjednané smlouvy</w:t>
      </w:r>
      <w:r>
        <w:rPr>
          <w:rStyle w:val="Ukotvenpoznmkypodarou"/>
          <w:rFonts w:cs="Arial" w:ascii="Arial" w:hAnsi="Arial"/>
        </w:rPr>
        <w:footnoteReference w:id="2"/>
      </w:r>
      <w:r>
        <w:rPr>
          <w:rFonts w:cs="Arial" w:ascii="Arial" w:hAnsi="Arial"/>
        </w:rPr>
        <w:t>, která tvoří pro tyto účely přílohu této smlouvy. Lhůty se rovněž řídí původně sjednanou smlouvou a počítají se od uplynutí 31 dnů od data jejího uzavření.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III.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Závěrečná ustanovení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Tato smlouva o vypořádání závazků nabývá účinnosti dnem uveřejnění v Registru smluv.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 xml:space="preserve">V Liberci dne </w:t>
      </w:r>
      <w:r>
        <w:rPr>
          <w:rFonts w:cs="Arial" w:ascii="Arial" w:hAnsi="Arial"/>
          <w:color w:val="auto"/>
          <w:sz w:val="22"/>
          <w:szCs w:val="22"/>
        </w:rPr>
        <w:t>5.11.2024</w:t>
      </w:r>
      <w:r>
        <w:rPr>
          <w:rFonts w:cs="Arial" w:ascii="Arial" w:hAnsi="Arial"/>
          <w:color w:val="auto"/>
          <w:sz w:val="22"/>
          <w:szCs w:val="22"/>
        </w:rPr>
        <w:tab/>
        <w:tab/>
        <w:t xml:space="preserve">    </w:t>
        <w:tab/>
        <w:tab/>
        <w:tab/>
        <w:t xml:space="preserve">V Liberci dne </w:t>
      </w:r>
      <w:r>
        <w:rPr>
          <w:rFonts w:cs="Arial" w:ascii="Arial" w:hAnsi="Arial"/>
          <w:color w:val="auto"/>
          <w:sz w:val="22"/>
          <w:szCs w:val="22"/>
        </w:rPr>
        <w:t>5.11.2024</w:t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…………………………………… </w:t>
      </w:r>
      <w:r>
        <w:rPr>
          <w:rFonts w:cs="Arial" w:ascii="Arial" w:hAnsi="Arial"/>
          <w:sz w:val="22"/>
          <w:szCs w:val="22"/>
        </w:rPr>
        <w:tab/>
        <w:tab/>
        <w:t xml:space="preserve">  </w:t>
        <w:tab/>
        <w:t>…………………………………………</w:t>
        <w:tab/>
      </w:r>
    </w:p>
    <w:p>
      <w:pPr>
        <w:pStyle w:val="Default"/>
        <w:spacing w:lineRule="auto" w:line="276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</w:t>
        <w:tab/>
        <w:tab/>
        <w:tab/>
        <w:tab/>
        <w:tab/>
        <w:tab/>
        <w:t>dodavatel</w:t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ab/>
      <w:tab/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>/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NUMPAGES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</w:p>
  <w:p>
    <w:pPr>
      <w:pStyle w:val="Zpat"/>
      <w:rPr>
        <w:b/>
        <w:b/>
      </w:rPr>
    </w:pPr>
    <w:r>
      <w:rPr>
        <w:b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8"/>
        </w:rPr>
        <w:t>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0425be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425be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92f81"/>
    <w:rPr/>
  </w:style>
  <w:style w:type="character" w:styleId="ZpatChar" w:customStyle="1">
    <w:name w:val="Zápatí Char"/>
    <w:basedOn w:val="DefaultParagraphFont"/>
    <w:link w:val="Zpat"/>
    <w:uiPriority w:val="99"/>
    <w:qFormat/>
    <w:rsid w:val="00992f81"/>
    <w:rPr/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 w:hanging="0"/>
      <w:contextualSpacing/>
    </w:pPr>
    <w:rPr/>
  </w:style>
  <w:style w:type="paragraph" w:styleId="Nzev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semiHidden/>
    <w:unhideWhenUsed/>
    <w:qFormat/>
    <w:rsid w:val="0005370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425be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67fa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paragraph" w:styleId="Normal1">
    <w:name w:val="LO-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AB33-62F9-4685-AADD-2CCEBD3A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LibreOffice/6.4.4.2$Windows_X86_64 LibreOffice_project/3d775be2011f3886db32dfd395a6a6d1ca2630ff</Application>
  <Pages>2</Pages>
  <Words>601</Words>
  <Characters>3273</Characters>
  <CharactersWithSpaces>3841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2021-06-08T05:29:00Z</dcterms:created>
  <dc:creator/>
  <dc:description/>
  <dc:language>cs-CZ</dc:language>
  <cp:lastModifiedBy/>
  <dcterms:modified xsi:type="dcterms:W3CDTF">2024-11-05T11:43:21Z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