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SMLOUVA</w:t>
      </w:r>
      <w:r>
        <w:rPr>
          <w:szCs w:val="24"/>
        </w:rPr>
        <w:t xml:space="preserve"> O </w:t>
      </w:r>
      <w:r w:rsidRPr="0021628C">
        <w:rPr>
          <w:szCs w:val="24"/>
        </w:rPr>
        <w:t>DÍLO</w:t>
      </w:r>
    </w:p>
    <w:p w:rsidR="009615BD" w:rsidRPr="0021628C" w:rsidRDefault="009615BD" w:rsidP="00D335AE">
      <w:pPr>
        <w:pStyle w:val="Nadpis"/>
        <w:rPr>
          <w:szCs w:val="24"/>
        </w:rPr>
      </w:pPr>
      <w:r w:rsidRPr="0021628C">
        <w:rPr>
          <w:szCs w:val="24"/>
        </w:rPr>
        <w:t>Uzavřená</w:t>
      </w:r>
      <w:r>
        <w:rPr>
          <w:szCs w:val="24"/>
        </w:rPr>
        <w:t xml:space="preserve"> </w:t>
      </w:r>
      <w:r w:rsidR="00D335AE">
        <w:rPr>
          <w:szCs w:val="24"/>
        </w:rPr>
        <w:t>podle</w:t>
      </w:r>
      <w:r w:rsidRPr="0021628C">
        <w:rPr>
          <w:szCs w:val="24"/>
        </w:rPr>
        <w:t xml:space="preserve"> § 2586 a násl. </w:t>
      </w:r>
      <w:r>
        <w:rPr>
          <w:szCs w:val="24"/>
        </w:rPr>
        <w:t>z</w:t>
      </w:r>
      <w:r w:rsidRPr="0021628C">
        <w:rPr>
          <w:szCs w:val="24"/>
        </w:rPr>
        <w:t>ákona č. 89/2012 Sb., občanského zákoníku</w:t>
      </w:r>
      <w:r>
        <w:rPr>
          <w:szCs w:val="24"/>
        </w:rPr>
        <w:t>,</w:t>
      </w:r>
      <w:r w:rsidR="00D335AE">
        <w:rPr>
          <w:szCs w:val="24"/>
        </w:rPr>
        <w:t xml:space="preserve"> </w:t>
      </w:r>
      <w:r w:rsidRPr="0021628C">
        <w:rPr>
          <w:szCs w:val="24"/>
        </w:rPr>
        <w:t>ve znění pozdějších předpisů</w:t>
      </w:r>
    </w:p>
    <w:p w:rsidR="009615BD" w:rsidRPr="0021628C" w:rsidRDefault="009615BD" w:rsidP="009615BD">
      <w:pPr>
        <w:pStyle w:val="Nadpis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I. Smluvní strany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b/>
          <w:szCs w:val="24"/>
        </w:rPr>
        <w:t>1. Objednatel:</w:t>
      </w:r>
      <w:r w:rsidRPr="0021628C">
        <w:rPr>
          <w:b/>
          <w:szCs w:val="24"/>
        </w:rPr>
        <w:tab/>
      </w:r>
      <w:r w:rsidRPr="0021628C">
        <w:rPr>
          <w:b/>
          <w:szCs w:val="24"/>
        </w:rPr>
        <w:tab/>
        <w:t>Státní zemědělský intervenční fond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Sídlo</w:t>
      </w:r>
      <w:r>
        <w:rPr>
          <w:szCs w:val="24"/>
        </w:rPr>
        <w:t>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Ve Smečkách 33, 110 00 Praha 1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IČO</w:t>
      </w:r>
      <w:r>
        <w:rPr>
          <w:szCs w:val="24"/>
        </w:rPr>
        <w:t>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48133981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bankovní spojení:</w:t>
      </w:r>
      <w:r w:rsidRPr="0021628C">
        <w:rPr>
          <w:szCs w:val="24"/>
        </w:rPr>
        <w:tab/>
      </w:r>
      <w:r w:rsidRPr="0021628C">
        <w:rPr>
          <w:szCs w:val="24"/>
        </w:rPr>
        <w:tab/>
        <w:t>Česká národní banka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č. účtu: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000-3926001/0710</w:t>
      </w:r>
      <w:r w:rsidRPr="0021628C">
        <w:rPr>
          <w:szCs w:val="24"/>
        </w:rPr>
        <w:tab/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b/>
          <w:szCs w:val="24"/>
        </w:rPr>
        <w:t xml:space="preserve">zastoupen: </w:t>
      </w:r>
      <w:r w:rsidRPr="0021628C">
        <w:rPr>
          <w:b/>
          <w:szCs w:val="24"/>
        </w:rPr>
        <w:tab/>
      </w:r>
      <w:r w:rsidRPr="0021628C">
        <w:rPr>
          <w:b/>
          <w:szCs w:val="24"/>
        </w:rPr>
        <w:tab/>
      </w:r>
      <w:r w:rsidRPr="0021628C">
        <w:rPr>
          <w:szCs w:val="24"/>
        </w:rPr>
        <w:t xml:space="preserve"> </w:t>
      </w:r>
      <w:r w:rsidRPr="0021628C">
        <w:rPr>
          <w:szCs w:val="24"/>
        </w:rPr>
        <w:tab/>
        <w:t>Ing</w:t>
      </w:r>
      <w:r>
        <w:rPr>
          <w:szCs w:val="24"/>
        </w:rPr>
        <w:t xml:space="preserve">. </w:t>
      </w:r>
      <w:r w:rsidRPr="0021628C">
        <w:rPr>
          <w:szCs w:val="24"/>
        </w:rPr>
        <w:t>Ladislavem Skopalem, ředitelem Sekce ekonomické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jako „objednatel“</w:t>
      </w:r>
    </w:p>
    <w:p w:rsidR="009615BD" w:rsidRPr="0021628C" w:rsidRDefault="009615BD" w:rsidP="009615BD">
      <w:pPr>
        <w:pStyle w:val="Zkladntext"/>
        <w:rPr>
          <w:b/>
          <w:szCs w:val="24"/>
        </w:rPr>
      </w:pPr>
      <w:r w:rsidRPr="0021628C">
        <w:rPr>
          <w:szCs w:val="24"/>
        </w:rPr>
        <w:t xml:space="preserve">    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a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b/>
          <w:szCs w:val="24"/>
        </w:rPr>
      </w:pPr>
      <w:r w:rsidRPr="0021628C">
        <w:rPr>
          <w:b/>
          <w:szCs w:val="24"/>
        </w:rPr>
        <w:t>2. Zhotovitel:</w:t>
      </w:r>
      <w:r w:rsidRPr="0021628C">
        <w:rPr>
          <w:b/>
          <w:szCs w:val="24"/>
        </w:rPr>
        <w:tab/>
      </w:r>
      <w:r w:rsidRPr="0021628C">
        <w:rPr>
          <w:b/>
          <w:szCs w:val="24"/>
        </w:rPr>
        <w:tab/>
      </w:r>
      <w:r w:rsidRPr="0021628C">
        <w:rPr>
          <w:b/>
          <w:szCs w:val="24"/>
        </w:rPr>
        <w:tab/>
        <w:t>KONTREX building management s.r.o.</w:t>
      </w:r>
    </w:p>
    <w:p w:rsidR="009615BD" w:rsidRPr="0021628C" w:rsidRDefault="009615BD" w:rsidP="009615BD">
      <w:pPr>
        <w:pStyle w:val="Zkladntext"/>
        <w:ind w:left="2832"/>
        <w:jc w:val="left"/>
        <w:rPr>
          <w:szCs w:val="24"/>
        </w:rPr>
      </w:pPr>
      <w:r w:rsidRPr="0021628C">
        <w:rPr>
          <w:szCs w:val="24"/>
        </w:rPr>
        <w:t>vedená u Městského soudu v Praze, oddíl C, vložka 40962,           den zápisu 6.11.1995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sídlo: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Dopravní 1314/1, 104 00 Praha 10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IČO: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64581764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DIČ: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CZ64581764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bankovní spojení:</w:t>
      </w:r>
      <w:r w:rsidRPr="0021628C">
        <w:rPr>
          <w:szCs w:val="24"/>
        </w:rPr>
        <w:tab/>
      </w:r>
      <w:r w:rsidRPr="0021628C">
        <w:rPr>
          <w:szCs w:val="24"/>
        </w:rPr>
        <w:tab/>
        <w:t>ČSOB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číslo účtu: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209652982/0300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b/>
          <w:szCs w:val="24"/>
        </w:rPr>
        <w:t>zastoupená:</w:t>
      </w:r>
      <w:r w:rsidRPr="0021628C">
        <w:rPr>
          <w:b/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Evženem Khollem, jednatelem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jako „zhotovitel“</w:t>
      </w:r>
    </w:p>
    <w:p w:rsidR="009615BD" w:rsidRPr="0021628C" w:rsidRDefault="009615BD" w:rsidP="009615BD">
      <w:pPr>
        <w:pStyle w:val="Zkladntext"/>
        <w:rPr>
          <w:b/>
          <w:szCs w:val="24"/>
        </w:rPr>
      </w:pP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</w:p>
    <w:p w:rsidR="009615BD" w:rsidRPr="0021628C" w:rsidRDefault="009615BD" w:rsidP="009615BD">
      <w:pPr>
        <w:pStyle w:val="sloseznamu"/>
        <w:jc w:val="center"/>
        <w:rPr>
          <w:b/>
          <w:szCs w:val="24"/>
        </w:rPr>
      </w:pPr>
    </w:p>
    <w:p w:rsidR="009615BD" w:rsidRDefault="009615BD" w:rsidP="009615BD">
      <w:pPr>
        <w:pStyle w:val="sloseznamu"/>
        <w:jc w:val="center"/>
        <w:rPr>
          <w:b/>
          <w:szCs w:val="24"/>
        </w:rPr>
      </w:pPr>
    </w:p>
    <w:p w:rsidR="009615BD" w:rsidRPr="0021628C" w:rsidRDefault="009615BD" w:rsidP="009615BD">
      <w:pPr>
        <w:pStyle w:val="sloseznamu"/>
        <w:jc w:val="center"/>
        <w:rPr>
          <w:b/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II. Předmět díla</w:t>
      </w:r>
    </w:p>
    <w:p w:rsidR="009615BD" w:rsidRDefault="009615BD" w:rsidP="00D335AE">
      <w:pPr>
        <w:pStyle w:val="Zkladntext"/>
        <w:numPr>
          <w:ilvl w:val="0"/>
          <w:numId w:val="40"/>
        </w:numPr>
        <w:rPr>
          <w:szCs w:val="24"/>
        </w:rPr>
      </w:pPr>
      <w:r w:rsidRPr="0021628C">
        <w:rPr>
          <w:szCs w:val="24"/>
        </w:rPr>
        <w:t xml:space="preserve">Zhotovitel </w:t>
      </w:r>
      <w:r>
        <w:rPr>
          <w:szCs w:val="24"/>
        </w:rPr>
        <w:t xml:space="preserve">se zavazuje </w:t>
      </w:r>
      <w:r w:rsidRPr="0021628C">
        <w:rPr>
          <w:szCs w:val="24"/>
        </w:rPr>
        <w:t>prov</w:t>
      </w:r>
      <w:r>
        <w:rPr>
          <w:szCs w:val="24"/>
        </w:rPr>
        <w:t>ést dílo pro objednatele spočívající ve</w:t>
      </w:r>
      <w:r w:rsidRPr="0021628C">
        <w:rPr>
          <w:szCs w:val="24"/>
        </w:rPr>
        <w:t xml:space="preserve"> stavební prác</w:t>
      </w:r>
      <w:r>
        <w:rPr>
          <w:szCs w:val="24"/>
        </w:rPr>
        <w:t>i</w:t>
      </w:r>
      <w:r w:rsidRPr="0021628C">
        <w:rPr>
          <w:szCs w:val="24"/>
        </w:rPr>
        <w:t xml:space="preserve"> na akci „</w:t>
      </w:r>
      <w:r>
        <w:rPr>
          <w:szCs w:val="24"/>
        </w:rPr>
        <w:t>Odstranění havarijního stavu podlah v</w:t>
      </w:r>
      <w:r w:rsidR="00D335AE">
        <w:rPr>
          <w:szCs w:val="24"/>
        </w:rPr>
        <w:t>e 2. patře, v</w:t>
      </w:r>
      <w:r>
        <w:rPr>
          <w:szCs w:val="24"/>
        </w:rPr>
        <w:t> kancelářích č. 210 a č. 213</w:t>
      </w:r>
      <w:r w:rsidR="00D335AE">
        <w:rPr>
          <w:szCs w:val="24"/>
        </w:rPr>
        <w:t>,</w:t>
      </w:r>
      <w:r>
        <w:rPr>
          <w:szCs w:val="24"/>
        </w:rPr>
        <w:t xml:space="preserve"> v budově Ve Smečkách 33, Praha 1“. Rozsah díla je stanoven </w:t>
      </w:r>
      <w:r w:rsidRPr="0021628C">
        <w:rPr>
          <w:szCs w:val="24"/>
        </w:rPr>
        <w:t>dle soupisu prací a materiálu uvedeného v Příloze č. 1, která tvoří nedílnou součást této Smlouvy o dílo.</w:t>
      </w:r>
    </w:p>
    <w:p w:rsidR="009615BD" w:rsidRPr="0021628C" w:rsidRDefault="009615BD" w:rsidP="009615BD">
      <w:pPr>
        <w:pStyle w:val="Zkladntext"/>
        <w:numPr>
          <w:ilvl w:val="0"/>
          <w:numId w:val="40"/>
        </w:numPr>
        <w:rPr>
          <w:szCs w:val="24"/>
        </w:rPr>
      </w:pPr>
      <w:r>
        <w:rPr>
          <w:szCs w:val="24"/>
        </w:rPr>
        <w:t>Dílo bude zhotovitelem prováděno v prostorách kanceláří č. 210 a č. 213 o celkové rozloze 70 m2 ve 2. patře budovy v ulici Ve Smečkách 33, Praha 1</w:t>
      </w:r>
    </w:p>
    <w:p w:rsidR="009615BD" w:rsidRPr="0021628C" w:rsidRDefault="009615BD" w:rsidP="009615BD">
      <w:pPr>
        <w:pStyle w:val="Zkladntext"/>
        <w:jc w:val="left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III. Cena díla</w:t>
      </w: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Default="009615BD" w:rsidP="009615BD">
      <w:pPr>
        <w:pStyle w:val="sloseznamu"/>
        <w:numPr>
          <w:ilvl w:val="0"/>
          <w:numId w:val="41"/>
        </w:numPr>
        <w:rPr>
          <w:szCs w:val="24"/>
        </w:rPr>
      </w:pPr>
      <w:r>
        <w:rPr>
          <w:szCs w:val="24"/>
        </w:rPr>
        <w:t>Dle dohody smluvních stran bude úhrada ceny díla provedena na základě konečné faktury vystavené zhotovitelem a doručené objednateli s tím, že tuto fakturu je zhotovitel oprávněn vystavit po předání a převzetí díla objednatelem. V případě, že dílo bude po převzetí vykazovat vady a nedostatky, zavazuje se zhotovitel vystavit konečnou fakturu až poté, co bude odstranění vad a nedodělků potvrzeno objednatelem v Zápise o předání a převzetí díla. Objednatel je povinen provést úhradu do dne splatnosti uvedeného na této faktuře.</w:t>
      </w:r>
    </w:p>
    <w:p w:rsidR="009615BD" w:rsidRPr="00A22E18" w:rsidRDefault="009615BD" w:rsidP="009615BD">
      <w:pPr>
        <w:pStyle w:val="sloseznamu"/>
        <w:numPr>
          <w:ilvl w:val="0"/>
          <w:numId w:val="41"/>
        </w:numPr>
        <w:rPr>
          <w:szCs w:val="24"/>
        </w:rPr>
      </w:pPr>
      <w:r w:rsidRPr="0021628C">
        <w:rPr>
          <w:szCs w:val="24"/>
        </w:rPr>
        <w:t xml:space="preserve">Cena díla byla stanovena dohodou smluvních stran </w:t>
      </w:r>
      <w:r>
        <w:rPr>
          <w:szCs w:val="24"/>
        </w:rPr>
        <w:t xml:space="preserve">jako konečná </w:t>
      </w:r>
      <w:r w:rsidRPr="0021628C">
        <w:rPr>
          <w:szCs w:val="24"/>
        </w:rPr>
        <w:t xml:space="preserve">a činí </w:t>
      </w:r>
      <w:r>
        <w:rPr>
          <w:szCs w:val="24"/>
        </w:rPr>
        <w:t xml:space="preserve">částku ve výši </w:t>
      </w:r>
      <w:r>
        <w:rPr>
          <w:b/>
          <w:szCs w:val="24"/>
        </w:rPr>
        <w:t>264 </w:t>
      </w:r>
      <w:r w:rsidRPr="00A22E18">
        <w:rPr>
          <w:b/>
          <w:szCs w:val="24"/>
        </w:rPr>
        <w:t>845</w:t>
      </w:r>
      <w:r>
        <w:rPr>
          <w:b/>
          <w:szCs w:val="24"/>
        </w:rPr>
        <w:t>,- </w:t>
      </w:r>
      <w:r w:rsidRPr="00A22E18">
        <w:rPr>
          <w:szCs w:val="24"/>
        </w:rPr>
        <w:t>Kč bez DPH.</w:t>
      </w:r>
    </w:p>
    <w:p w:rsidR="009615BD" w:rsidRDefault="009615BD" w:rsidP="009615BD">
      <w:pPr>
        <w:pStyle w:val="sloseznamu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 Daň z přidané hodnoty</w:t>
      </w:r>
      <w:r w:rsidRPr="0021628C">
        <w:rPr>
          <w:szCs w:val="24"/>
        </w:rPr>
        <w:t xml:space="preserve"> bude fakturován</w:t>
      </w:r>
      <w:r>
        <w:rPr>
          <w:szCs w:val="24"/>
        </w:rPr>
        <w:t>a v konečné faktuře ve výši stanovené zák. č. </w:t>
      </w:r>
      <w:r w:rsidR="00071643">
        <w:rPr>
          <w:szCs w:val="24"/>
        </w:rPr>
        <w:t> </w:t>
      </w:r>
      <w:r>
        <w:rPr>
          <w:szCs w:val="24"/>
        </w:rPr>
        <w:t>253/2004, o dani z přidané hodnoty, v platném znění.</w:t>
      </w:r>
    </w:p>
    <w:p w:rsidR="009615BD" w:rsidRDefault="009615BD" w:rsidP="009615BD">
      <w:pPr>
        <w:pStyle w:val="sloseznamu"/>
        <w:numPr>
          <w:ilvl w:val="0"/>
          <w:numId w:val="41"/>
        </w:numPr>
        <w:rPr>
          <w:szCs w:val="24"/>
        </w:rPr>
      </w:pPr>
      <w:r>
        <w:rPr>
          <w:szCs w:val="24"/>
        </w:rPr>
        <w:t>Daňový doklad (faktura) na cenu díla dle čl. III. odst. 1 a 2 této smlouvy bude zhotovitelem vystaven na objednatele po řádně poskytnutém plnění dle čl. III. odst. 1 této smlouvy. Daňový doklad musí obsahovat náležitosti dle příslušných účinných právních předpisů, zejména dle zákona č. 235/2004 Sb., ve znění pozdějších pře</w:t>
      </w:r>
      <w:r w:rsidR="00071643">
        <w:rPr>
          <w:szCs w:val="24"/>
        </w:rPr>
        <w:t>dpisů a § 435 zákona č. 89/2012 </w:t>
      </w:r>
      <w:r>
        <w:rPr>
          <w:szCs w:val="24"/>
        </w:rPr>
        <w:t>Sb., ve znění pozdějších předpisů.</w:t>
      </w:r>
    </w:p>
    <w:p w:rsidR="009615BD" w:rsidRPr="00E3509E" w:rsidRDefault="009615BD" w:rsidP="009615BD">
      <w:pPr>
        <w:pStyle w:val="sloseznamu"/>
        <w:numPr>
          <w:ilvl w:val="0"/>
          <w:numId w:val="41"/>
        </w:numPr>
        <w:ind w:firstLine="0"/>
        <w:rPr>
          <w:szCs w:val="24"/>
        </w:rPr>
      </w:pPr>
      <w:r w:rsidRPr="00E3509E">
        <w:rPr>
          <w:szCs w:val="24"/>
        </w:rPr>
        <w:t>Objednatel je povinen po řádném přijetí faktury ze strany zhotovitele zaplatit fakturu do 14 dnů od jejího doručení. V případě oprávněného vrácení faktury se objednatel nemůže ocitnout v prodlení se zaplacením částky fakturované oprávněně vrácenou fakturou. V případě oprávněného vrácení faktury se okamžikem jejího vrácení zhotoviteli přerušuje lhůta splatnosti vrácené faktury. Doručením nové faktury, obsahující veškeré náležitosti ve smyslu čl. III. odst.</w:t>
      </w:r>
      <w:r>
        <w:rPr>
          <w:szCs w:val="24"/>
        </w:rPr>
        <w:t> </w:t>
      </w:r>
      <w:r w:rsidRPr="00E3509E">
        <w:rPr>
          <w:szCs w:val="24"/>
        </w:rPr>
        <w:t>2 a 3 této smlouvy, objednateli, počíná běžet nová 14 denní lhůta splatnosti nové faktury.</w:t>
      </w:r>
    </w:p>
    <w:p w:rsidR="009615BD" w:rsidRPr="0021628C" w:rsidRDefault="009615BD" w:rsidP="009615BD">
      <w:pPr>
        <w:pStyle w:val="sloseznamu"/>
        <w:ind w:left="360" w:firstLine="0"/>
        <w:rPr>
          <w:szCs w:val="24"/>
        </w:rPr>
      </w:pPr>
    </w:p>
    <w:p w:rsidR="009615BD" w:rsidRPr="0021628C" w:rsidRDefault="009615BD" w:rsidP="009615BD">
      <w:pPr>
        <w:pStyle w:val="sloseznamu"/>
        <w:ind w:left="360" w:firstLine="0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 xml:space="preserve">IV. </w:t>
      </w:r>
      <w:r>
        <w:rPr>
          <w:szCs w:val="24"/>
        </w:rPr>
        <w:t>Práva a povinnosti smluvních stran</w:t>
      </w:r>
    </w:p>
    <w:p w:rsidR="009615BD" w:rsidRPr="0021628C" w:rsidRDefault="009615BD" w:rsidP="009615BD">
      <w:pPr>
        <w:pStyle w:val="sloseznamu"/>
        <w:rPr>
          <w:szCs w:val="24"/>
        </w:rPr>
      </w:pPr>
    </w:p>
    <w:p w:rsidR="009615BD" w:rsidRDefault="009615BD" w:rsidP="009615BD">
      <w:pPr>
        <w:pStyle w:val="Znaka1"/>
        <w:numPr>
          <w:ilvl w:val="0"/>
          <w:numId w:val="42"/>
        </w:numPr>
        <w:rPr>
          <w:szCs w:val="24"/>
        </w:rPr>
      </w:pPr>
      <w:r>
        <w:rPr>
          <w:szCs w:val="24"/>
        </w:rPr>
        <w:t>Zhotovitel je povinen dbát na řádnou přípravu a provádění díla. Přitom musí mít na zřeteli zejména ochranu života a zdraví osob nebo zvířat, ochranu životního prostředí a majetku i šetrnost k sousedství. K tomu je povinen zajistit provedení a vyhodnocení zkoušek a měření předepsaných zvláštními předpisy. O zahájení prací na díle je povinen v dostatečném předstihu informovat osoby těmito pracemi přímo dotčené.</w:t>
      </w:r>
    </w:p>
    <w:p w:rsidR="009615BD" w:rsidRDefault="009615BD" w:rsidP="009615BD">
      <w:pPr>
        <w:pStyle w:val="Znaka1"/>
        <w:numPr>
          <w:ilvl w:val="0"/>
          <w:numId w:val="42"/>
        </w:numPr>
        <w:rPr>
          <w:szCs w:val="24"/>
        </w:rPr>
      </w:pPr>
      <w:r>
        <w:rPr>
          <w:szCs w:val="24"/>
        </w:rPr>
        <w:t>Veškeré práce a činnosti při provádění díla zajistí zhotovitel podle všeobecně uznávaných technologických pravidel a při přesném dodržení odpovídajících zákonných a technických norem. Totéž platí – pokud je lze použít – i pro uplatnění nařízení, omezení, ustanovení a předpisů všech příslušných úřadů, společností dodávajících energie a ostatních dotčených orgánů.</w:t>
      </w:r>
    </w:p>
    <w:p w:rsidR="009615BD" w:rsidRDefault="009615BD" w:rsidP="009615BD">
      <w:pPr>
        <w:pStyle w:val="Znaka1"/>
        <w:rPr>
          <w:szCs w:val="24"/>
        </w:rPr>
      </w:pPr>
    </w:p>
    <w:p w:rsidR="009615BD" w:rsidRDefault="009615BD" w:rsidP="009615BD">
      <w:pPr>
        <w:pStyle w:val="Znaka1"/>
        <w:ind w:left="0" w:firstLine="0"/>
        <w:rPr>
          <w:szCs w:val="24"/>
        </w:rPr>
      </w:pPr>
    </w:p>
    <w:p w:rsidR="009615BD" w:rsidRPr="0021628C" w:rsidRDefault="009615BD" w:rsidP="009615BD">
      <w:pPr>
        <w:pStyle w:val="Znaka1"/>
        <w:ind w:left="0" w:firstLine="0"/>
        <w:rPr>
          <w:szCs w:val="24"/>
        </w:rPr>
      </w:pPr>
    </w:p>
    <w:p w:rsidR="009615BD" w:rsidRPr="0021628C" w:rsidRDefault="009615BD" w:rsidP="009615BD">
      <w:pPr>
        <w:pStyle w:val="sloseznamu"/>
        <w:ind w:left="0" w:firstLine="0"/>
        <w:jc w:val="center"/>
        <w:rPr>
          <w:b/>
          <w:szCs w:val="24"/>
        </w:rPr>
      </w:pPr>
      <w:r w:rsidRPr="0021628C">
        <w:rPr>
          <w:b/>
          <w:szCs w:val="24"/>
        </w:rPr>
        <w:t>V. Smluvní pokuty</w:t>
      </w:r>
    </w:p>
    <w:p w:rsidR="009615BD" w:rsidRPr="0021628C" w:rsidRDefault="009615BD" w:rsidP="009615BD">
      <w:pPr>
        <w:pStyle w:val="sloseznamu"/>
        <w:ind w:left="0" w:firstLine="0"/>
        <w:jc w:val="center"/>
        <w:rPr>
          <w:b/>
          <w:szCs w:val="24"/>
        </w:rPr>
      </w:pPr>
    </w:p>
    <w:p w:rsidR="009615BD" w:rsidRPr="0021628C" w:rsidRDefault="009615BD" w:rsidP="00071643">
      <w:pPr>
        <w:pStyle w:val="sloseznamu"/>
        <w:numPr>
          <w:ilvl w:val="0"/>
          <w:numId w:val="16"/>
        </w:numPr>
        <w:rPr>
          <w:szCs w:val="24"/>
        </w:rPr>
      </w:pPr>
      <w:r w:rsidRPr="0021628C">
        <w:rPr>
          <w:szCs w:val="24"/>
        </w:rPr>
        <w:t>Smluvní strany se dohodly, že v</w:t>
      </w:r>
      <w:r>
        <w:rPr>
          <w:szCs w:val="24"/>
        </w:rPr>
        <w:t> </w:t>
      </w:r>
      <w:r w:rsidRPr="0021628C">
        <w:rPr>
          <w:szCs w:val="24"/>
        </w:rPr>
        <w:t>případě</w:t>
      </w:r>
      <w:r>
        <w:rPr>
          <w:szCs w:val="24"/>
        </w:rPr>
        <w:t>, že nedojde k předání díla objednateli ve lhůtě uvedené v čl.</w:t>
      </w:r>
      <w:r w:rsidR="00071643">
        <w:rPr>
          <w:szCs w:val="24"/>
        </w:rPr>
        <w:t xml:space="preserve"> VI</w:t>
      </w:r>
      <w:r>
        <w:rPr>
          <w:szCs w:val="24"/>
        </w:rPr>
        <w:t xml:space="preserve"> odst.</w:t>
      </w:r>
      <w:r w:rsidR="00071643">
        <w:rPr>
          <w:szCs w:val="24"/>
        </w:rPr>
        <w:t xml:space="preserve"> </w:t>
      </w:r>
      <w:r>
        <w:rPr>
          <w:szCs w:val="24"/>
        </w:rPr>
        <w:t>1</w:t>
      </w:r>
      <w:r w:rsidRPr="0021628C">
        <w:rPr>
          <w:szCs w:val="24"/>
        </w:rPr>
        <w:t xml:space="preserve"> této smlouvy, je objednatel oprávněn účtovat zhotoviteli a zhotovitel je povinen uhradit objednateli smluvní p</w:t>
      </w:r>
      <w:r w:rsidR="00071643">
        <w:rPr>
          <w:szCs w:val="24"/>
        </w:rPr>
        <w:t>okutu ve výši 0,05% z ceny díla</w:t>
      </w:r>
      <w:r w:rsidRPr="0021628C">
        <w:rPr>
          <w:szCs w:val="24"/>
        </w:rPr>
        <w:t xml:space="preserve"> za každý den prodlení</w:t>
      </w:r>
      <w:r>
        <w:rPr>
          <w:szCs w:val="24"/>
        </w:rPr>
        <w:t xml:space="preserve"> do dne předání díla dle ustanovení čl. VII této smlouvy</w:t>
      </w:r>
      <w:r w:rsidRPr="0021628C">
        <w:rPr>
          <w:szCs w:val="24"/>
        </w:rPr>
        <w:t xml:space="preserve">, </w:t>
      </w:r>
      <w:r>
        <w:rPr>
          <w:szCs w:val="24"/>
        </w:rPr>
        <w:t>smluvní pokuta může činit nejvýše</w:t>
      </w:r>
      <w:r w:rsidRPr="0021628C">
        <w:rPr>
          <w:szCs w:val="24"/>
        </w:rPr>
        <w:t xml:space="preserve"> 5 % z celkové ceny díla.</w:t>
      </w:r>
    </w:p>
    <w:p w:rsidR="009615BD" w:rsidRPr="0021628C" w:rsidRDefault="009615BD" w:rsidP="009615BD">
      <w:pPr>
        <w:pStyle w:val="sloseznamu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16"/>
        </w:numPr>
        <w:rPr>
          <w:szCs w:val="24"/>
        </w:rPr>
      </w:pPr>
      <w:r w:rsidRPr="0021628C">
        <w:rPr>
          <w:szCs w:val="24"/>
        </w:rPr>
        <w:t>Při nedodržení termínu splatnosti konečné faktury je zhotovitel oprávněn účtovat objednateli a objednatel je povinen uhradit zhotoviteli smluvní pokutu ve výši 0,05</w:t>
      </w:r>
      <w:r>
        <w:rPr>
          <w:szCs w:val="24"/>
        </w:rPr>
        <w:t xml:space="preserve"> </w:t>
      </w:r>
      <w:r w:rsidRPr="0021628C">
        <w:rPr>
          <w:szCs w:val="24"/>
        </w:rPr>
        <w:t>% z dlužné částky za každý den prodlení, nejvýše však smluvní pokuta může činit 5</w:t>
      </w:r>
      <w:r>
        <w:rPr>
          <w:szCs w:val="24"/>
        </w:rPr>
        <w:t xml:space="preserve"> </w:t>
      </w:r>
      <w:r w:rsidRPr="0021628C">
        <w:rPr>
          <w:szCs w:val="24"/>
        </w:rPr>
        <w:t>% z celkové dlužné částky.</w:t>
      </w: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VI. Doba plnění</w:t>
      </w:r>
    </w:p>
    <w:p w:rsidR="009615BD" w:rsidRPr="0021628C" w:rsidRDefault="009615BD" w:rsidP="009615BD">
      <w:pPr>
        <w:pStyle w:val="Nadpis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17"/>
        </w:numPr>
        <w:rPr>
          <w:szCs w:val="24"/>
        </w:rPr>
      </w:pPr>
      <w:r w:rsidRPr="0021628C">
        <w:rPr>
          <w:szCs w:val="24"/>
        </w:rPr>
        <w:t>Termín zahájení prací:</w:t>
      </w:r>
      <w:r w:rsidRPr="0021628C">
        <w:rPr>
          <w:szCs w:val="24"/>
        </w:rPr>
        <w:tab/>
        <w:t xml:space="preserve">  do 3 kalendářních dnů od podpisu Smlouvy o dílo</w:t>
      </w:r>
    </w:p>
    <w:p w:rsidR="009615BD" w:rsidRPr="0021628C" w:rsidRDefault="009615BD" w:rsidP="009615BD">
      <w:pPr>
        <w:pStyle w:val="sloseznamu"/>
        <w:ind w:left="0" w:firstLine="360"/>
        <w:rPr>
          <w:szCs w:val="24"/>
        </w:rPr>
      </w:pPr>
      <w:r w:rsidRPr="0021628C">
        <w:rPr>
          <w:szCs w:val="24"/>
        </w:rPr>
        <w:t>Termín dokončení díla:</w:t>
      </w:r>
      <w:r w:rsidRPr="0021628C">
        <w:rPr>
          <w:szCs w:val="24"/>
        </w:rPr>
        <w:tab/>
        <w:t xml:space="preserve">  </w:t>
      </w:r>
      <w:r>
        <w:rPr>
          <w:szCs w:val="24"/>
        </w:rPr>
        <w:t>do 10 kalendářních dnů od zahájení prací</w:t>
      </w: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17"/>
        </w:numPr>
        <w:rPr>
          <w:szCs w:val="24"/>
        </w:rPr>
      </w:pPr>
      <w:r w:rsidRPr="0021628C">
        <w:rPr>
          <w:szCs w:val="24"/>
        </w:rPr>
        <w:t xml:space="preserve">V případě posunu termínu zahájení </w:t>
      </w:r>
      <w:r>
        <w:rPr>
          <w:szCs w:val="24"/>
        </w:rPr>
        <w:t>provádění díla z důvodů na straně</w:t>
      </w:r>
      <w:r w:rsidRPr="0021628C">
        <w:rPr>
          <w:szCs w:val="24"/>
        </w:rPr>
        <w:t xml:space="preserve"> objednatele, bude posunut o stejný časový úsek odpovídající skutečnému posunu zahájení i termín ukončení prací včetně vazby na smluvní pokuty. Zhotovitel je však povinen na vyžádání objednatele neprodleně předložit </w:t>
      </w:r>
      <w:r>
        <w:rPr>
          <w:szCs w:val="24"/>
        </w:rPr>
        <w:t xml:space="preserve">písemný </w:t>
      </w:r>
      <w:r w:rsidRPr="0021628C">
        <w:rPr>
          <w:szCs w:val="24"/>
        </w:rPr>
        <w:t>návrh na taková opatření, která dopad tohoto posunu prací odstraní nebo eliminují na minimum.</w:t>
      </w: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Znaka1"/>
        <w:ind w:left="56" w:firstLine="0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VII. Smluvní záruky za dílo</w:t>
      </w:r>
    </w:p>
    <w:p w:rsidR="009615BD" w:rsidRPr="0021628C" w:rsidRDefault="009615BD" w:rsidP="009615BD">
      <w:pPr>
        <w:pStyle w:val="Nadpis"/>
        <w:rPr>
          <w:szCs w:val="24"/>
        </w:rPr>
      </w:pP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 w:rsidRPr="000B0681">
        <w:rPr>
          <w:szCs w:val="24"/>
        </w:rPr>
        <w:t xml:space="preserve">O předání díla objednateli bude vyhotoven Zápis o předání a převzetí díla ve 2 stejnopisech, který bude podepsán smluvními stranami. Podpisem Zápisu o předání a převzetí díla oběma smluvními stranami dojde k předání díla zhotoviteli. Každá ze smluvních stran obdrží po jednom vyhotovení. 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Smluvní strany se dohodly, že budou-li na díle v době předání viditelné vady či nedodělky, budou zaznamenány do Zápisu o předání a převzetí díla spolu s termínem jejich odstranění zhotovitelem. Náklady na odstranění vad a nedodělků nese zhotovitel. Ustanovení čl. V této smlouvy tím není dotčeno. Odstranění vad a nedodělků potvrdí smluvní strany do Zápisu o předání a převzetí díla.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Zhotovitel poskytne objednateli na předmět smlouvy záruční lhůtu v délce 36 měsíců od předání díla zhotoviteli. V případě vad a nedodělků běží záruční lhůta od data odstranění vady a nedodělku, uvedené v Zápisu o předání a převzetí díla.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Nebezpečí škody na zhotovovaném díle nese plně zhotovitel.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Objednatel neručí za majetek a materiál zhotovitele dovezený na stavbu.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Zhotovitel je povinen uzavřít pojištění odpovědnosti za škodu, a to v rozsahu přiměřeném hodnotě díla a dotčených nemovitostí. Na požádání je povinen umožnit objednateli nahlédnutí do příslušných pojistných smluv. Je dále povinen zabezpečit, aby byli odpovídajícím způsobem pojištěni i všichni jím zvolení subdodavatelé.</w:t>
      </w:r>
    </w:p>
    <w:p w:rsidR="009615BD" w:rsidRDefault="009615BD" w:rsidP="009615BD">
      <w:pPr>
        <w:pStyle w:val="sloseznamu"/>
        <w:numPr>
          <w:ilvl w:val="0"/>
          <w:numId w:val="36"/>
        </w:numPr>
        <w:rPr>
          <w:szCs w:val="24"/>
        </w:rPr>
      </w:pPr>
      <w:r>
        <w:rPr>
          <w:szCs w:val="24"/>
        </w:rPr>
        <w:t>Zhotovitel prohlašuje, že má plnou způsobilost a kvalifikaci k provádění díla dle této smlouvy.</w:t>
      </w:r>
    </w:p>
    <w:p w:rsidR="009615BD" w:rsidRPr="00A41D6B" w:rsidRDefault="009615BD" w:rsidP="009615BD">
      <w:pPr>
        <w:pStyle w:val="sloseznamu"/>
        <w:numPr>
          <w:ilvl w:val="0"/>
          <w:numId w:val="36"/>
        </w:numPr>
        <w:ind w:firstLine="0"/>
        <w:rPr>
          <w:szCs w:val="24"/>
        </w:rPr>
      </w:pPr>
      <w:r w:rsidRPr="00A41D6B">
        <w:rPr>
          <w:szCs w:val="24"/>
        </w:rPr>
        <w:t>Strany mohou od této smlouvy odstoupit jen tehdy, pokud druhá ze smluvních stran podstatným způsobem porušuje tuto smlouvu nebo platné právní předpisy a ani po písemné výzvě a poskytnutí přiměřené doby nedojde k nápravě situace. Odstoupením od smlouvy zůstávají nedotčena ustanovení o smluvních sankcích, náhradě škody a zárukách za provedení díla.</w:t>
      </w:r>
    </w:p>
    <w:p w:rsidR="009615BD" w:rsidRDefault="009615BD" w:rsidP="009615BD">
      <w:pPr>
        <w:pStyle w:val="Nadpis"/>
        <w:rPr>
          <w:szCs w:val="24"/>
        </w:rPr>
      </w:pPr>
    </w:p>
    <w:p w:rsidR="009615BD" w:rsidRPr="0021628C" w:rsidRDefault="009615BD" w:rsidP="009615BD">
      <w:pPr>
        <w:pStyle w:val="Nadpis"/>
        <w:rPr>
          <w:szCs w:val="24"/>
        </w:rPr>
      </w:pPr>
      <w:r w:rsidRPr="0021628C">
        <w:rPr>
          <w:szCs w:val="24"/>
        </w:rPr>
        <w:t>IX. Závěrečná ustanovení</w:t>
      </w:r>
    </w:p>
    <w:p w:rsidR="009615BD" w:rsidRPr="0021628C" w:rsidRDefault="009615BD" w:rsidP="009615BD">
      <w:pPr>
        <w:pStyle w:val="Nadpis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 w:rsidRPr="0021628C">
        <w:rPr>
          <w:szCs w:val="24"/>
        </w:rPr>
        <w:t>Tato smlouva nabývá</w:t>
      </w:r>
      <w:r>
        <w:rPr>
          <w:szCs w:val="24"/>
        </w:rPr>
        <w:t xml:space="preserve"> platnosti</w:t>
      </w:r>
      <w:r w:rsidRPr="0021628C">
        <w:rPr>
          <w:szCs w:val="24"/>
        </w:rPr>
        <w:t xml:space="preserve"> </w:t>
      </w:r>
      <w:r>
        <w:rPr>
          <w:szCs w:val="24"/>
        </w:rPr>
        <w:t xml:space="preserve">a </w:t>
      </w:r>
      <w:r w:rsidRPr="0021628C">
        <w:rPr>
          <w:szCs w:val="24"/>
        </w:rPr>
        <w:t xml:space="preserve">účinnosti dnem jejího podpisu oběma smluvními stranami. </w:t>
      </w:r>
    </w:p>
    <w:p w:rsidR="009615BD" w:rsidRPr="0021628C" w:rsidRDefault="009615BD" w:rsidP="009615BD">
      <w:pPr>
        <w:pStyle w:val="sloseznamu"/>
        <w:ind w:left="0" w:firstLine="0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 w:rsidRPr="0021628C">
        <w:rPr>
          <w:szCs w:val="24"/>
        </w:rPr>
        <w:t>Tuto smlouvu lze měnit a doplňovat pouze písemnými dodatky, které budou podepsány oprávněnými zástupci obou</w:t>
      </w:r>
      <w:r>
        <w:rPr>
          <w:szCs w:val="24"/>
        </w:rPr>
        <w:t xml:space="preserve"> smluvních</w:t>
      </w:r>
      <w:r w:rsidRPr="0021628C">
        <w:rPr>
          <w:szCs w:val="24"/>
        </w:rPr>
        <w:t xml:space="preserve"> stran.</w:t>
      </w:r>
    </w:p>
    <w:p w:rsidR="009615BD" w:rsidRPr="0021628C" w:rsidRDefault="009615BD" w:rsidP="009615BD">
      <w:pPr>
        <w:pStyle w:val="sloseznamu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>
        <w:rPr>
          <w:szCs w:val="24"/>
        </w:rPr>
        <w:t>Tato smlouva a vztahy z ní vyplývající se řídí právním řádem České republiky, zejména příslušnými ustanoveními zákona č. 89/2012 Sb., občanského zákoníku, v platném znění. Pokud by některé ustanovení této smlouvy bylo neúčinné či neplatné, nebude tím dotčena platnost a účinnost ostatních ustanovení této smlouvy.</w:t>
      </w:r>
    </w:p>
    <w:p w:rsidR="009615BD" w:rsidRPr="0021628C" w:rsidRDefault="009615BD" w:rsidP="009615BD">
      <w:pPr>
        <w:pStyle w:val="sloseznamu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>
        <w:rPr>
          <w:szCs w:val="24"/>
        </w:rPr>
        <w:t>Smluvní strany se zavazují řešit případné spory, vzniklé z této smlouvy, vždy nejprve vzájemným jednáním.</w:t>
      </w:r>
    </w:p>
    <w:p w:rsidR="009615BD" w:rsidRPr="0021628C" w:rsidRDefault="009615BD" w:rsidP="009615BD">
      <w:pPr>
        <w:pStyle w:val="sloseznamu"/>
        <w:rPr>
          <w:szCs w:val="24"/>
        </w:rPr>
      </w:pPr>
    </w:p>
    <w:p w:rsidR="009615BD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 w:rsidRPr="0021628C">
        <w:rPr>
          <w:szCs w:val="24"/>
        </w:rPr>
        <w:t xml:space="preserve">Smlouva je vyhotovena ve 2 stejnopisech, z nichž </w:t>
      </w:r>
      <w:r>
        <w:rPr>
          <w:szCs w:val="24"/>
        </w:rPr>
        <w:t>každá má platnost originálu. Každá ze stran</w:t>
      </w:r>
      <w:r w:rsidRPr="0021628C">
        <w:rPr>
          <w:szCs w:val="24"/>
        </w:rPr>
        <w:t xml:space="preserve"> obdrží </w:t>
      </w:r>
      <w:r>
        <w:rPr>
          <w:szCs w:val="24"/>
        </w:rPr>
        <w:t>po jednom vyhotovení.</w:t>
      </w:r>
    </w:p>
    <w:p w:rsidR="009615BD" w:rsidRDefault="009615BD" w:rsidP="009615BD">
      <w:pPr>
        <w:pStyle w:val="Odstavecseseznamem"/>
        <w:rPr>
          <w:szCs w:val="24"/>
        </w:rPr>
      </w:pPr>
    </w:p>
    <w:p w:rsidR="009615BD" w:rsidRPr="0021628C" w:rsidRDefault="009615BD" w:rsidP="009615BD">
      <w:pPr>
        <w:pStyle w:val="sloseznamu"/>
        <w:numPr>
          <w:ilvl w:val="0"/>
          <w:numId w:val="26"/>
        </w:numPr>
        <w:rPr>
          <w:szCs w:val="24"/>
        </w:rPr>
      </w:pPr>
      <w:r>
        <w:rPr>
          <w:szCs w:val="24"/>
        </w:rPr>
        <w:t>Smluvní strany prohlašují, že si tuto smlouvu pozorně přečetly, rozumí jejímu obsahu, a že smlouva byla sepsána na základě pravdivých údajů a že tato smlouva je projevem svobodné vůle smluvních stran. Na důkaz toho připojují smluvní strany své podpisy.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 xml:space="preserve">V Praze dne : 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ab/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Za zhotovitele: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Za objednatele: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Evžen Kholl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Ing. Ladislav Skopal</w:t>
      </w: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jednatel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ředitel Sekce ekonomické</w:t>
      </w: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Default="009615BD" w:rsidP="009615BD">
      <w:pPr>
        <w:pStyle w:val="Zkladntext"/>
        <w:rPr>
          <w:szCs w:val="24"/>
        </w:rPr>
      </w:pPr>
    </w:p>
    <w:p w:rsidR="009615BD" w:rsidRDefault="009615BD" w:rsidP="009615BD">
      <w:pPr>
        <w:pStyle w:val="Zkladntext"/>
        <w:rPr>
          <w:szCs w:val="24"/>
        </w:rPr>
      </w:pPr>
    </w:p>
    <w:p w:rsidR="009615BD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</w:p>
    <w:p w:rsidR="009615BD" w:rsidRPr="0021628C" w:rsidRDefault="009615BD" w:rsidP="009615BD">
      <w:pPr>
        <w:pStyle w:val="Zkladntext"/>
        <w:rPr>
          <w:szCs w:val="24"/>
        </w:rPr>
      </w:pPr>
      <w:r w:rsidRPr="0021628C">
        <w:rPr>
          <w:szCs w:val="24"/>
        </w:rPr>
        <w:t>……………...........................</w:t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</w:r>
      <w:r w:rsidRPr="0021628C">
        <w:rPr>
          <w:szCs w:val="24"/>
        </w:rPr>
        <w:tab/>
        <w:t>.......................……….........</w:t>
      </w:r>
    </w:p>
    <w:p w:rsidR="009615BD" w:rsidRPr="0021628C" w:rsidRDefault="009615BD" w:rsidP="009615BD">
      <w:pPr>
        <w:ind w:firstLine="708"/>
        <w:rPr>
          <w:sz w:val="24"/>
          <w:szCs w:val="24"/>
        </w:rPr>
      </w:pP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  <w:r w:rsidRPr="0021628C">
        <w:rPr>
          <w:sz w:val="24"/>
          <w:szCs w:val="24"/>
        </w:rPr>
        <w:tab/>
      </w:r>
    </w:p>
    <w:p w:rsidR="009615BD" w:rsidRDefault="009615BD" w:rsidP="009615BD">
      <w:pPr>
        <w:rPr>
          <w:sz w:val="24"/>
          <w:szCs w:val="24"/>
        </w:rPr>
      </w:pPr>
    </w:p>
    <w:p w:rsidR="009615BD" w:rsidRDefault="009615BD" w:rsidP="009615BD">
      <w:pPr>
        <w:rPr>
          <w:sz w:val="24"/>
          <w:szCs w:val="24"/>
        </w:rPr>
      </w:pPr>
    </w:p>
    <w:p w:rsidR="009615BD" w:rsidRDefault="009615BD" w:rsidP="009615BD">
      <w:pPr>
        <w:rPr>
          <w:sz w:val="24"/>
          <w:szCs w:val="24"/>
        </w:rPr>
      </w:pPr>
    </w:p>
    <w:p w:rsidR="009615BD" w:rsidRDefault="009615BD" w:rsidP="009615BD">
      <w:pPr>
        <w:rPr>
          <w:sz w:val="24"/>
          <w:szCs w:val="24"/>
        </w:rPr>
      </w:pPr>
    </w:p>
    <w:p w:rsidR="009615BD" w:rsidRPr="0021628C" w:rsidRDefault="009615BD" w:rsidP="009615BD">
      <w:pPr>
        <w:rPr>
          <w:sz w:val="24"/>
          <w:szCs w:val="24"/>
        </w:rPr>
      </w:pPr>
    </w:p>
    <w:p w:rsidR="009615BD" w:rsidRDefault="009615BD" w:rsidP="009615BD"/>
    <w:p w:rsidR="009615BD" w:rsidRDefault="009615BD" w:rsidP="009615BD"/>
    <w:tbl>
      <w:tblPr>
        <w:tblW w:w="104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1200"/>
        <w:gridCol w:w="752"/>
        <w:gridCol w:w="1062"/>
        <w:gridCol w:w="1408"/>
      </w:tblGrid>
      <w:tr w:rsidR="009615BD" w:rsidRPr="00847F6E" w:rsidTr="001F1F9B">
        <w:trPr>
          <w:trHeight w:val="276"/>
        </w:trPr>
        <w:tc>
          <w:tcPr>
            <w:tcW w:w="10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Příloha č. 1 ke Smlouvě o dílo na akci "Odstranění havarijního stavu podlah v kancelářích č. 210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č. </w:t>
            </w:r>
            <w:r w:rsidRPr="0084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213 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budově </w:t>
            </w:r>
            <w:r w:rsidRPr="00847F6E">
              <w:rPr>
                <w:rFonts w:ascii="Arial" w:hAnsi="Arial" w:cs="Arial"/>
                <w:b/>
                <w:bCs/>
                <w:sz w:val="24"/>
                <w:szCs w:val="24"/>
              </w:rPr>
              <w:t>Ve Smečkách 33, Praha 1“</w:t>
            </w:r>
          </w:p>
        </w:tc>
      </w:tr>
      <w:tr w:rsidR="009615BD" w:rsidRPr="00847F6E" w:rsidTr="001F1F9B">
        <w:trPr>
          <w:trHeight w:val="276"/>
        </w:trPr>
        <w:tc>
          <w:tcPr>
            <w:tcW w:w="10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5BD" w:rsidRPr="00847F6E" w:rsidTr="001F1F9B">
        <w:trPr>
          <w:trHeight w:val="405"/>
        </w:trPr>
        <w:tc>
          <w:tcPr>
            <w:tcW w:w="10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5BD" w:rsidRPr="00847F6E" w:rsidTr="001F1F9B">
        <w:trPr>
          <w:trHeight w:val="210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345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Objednatel: SZIF, Ve Smečkách 33, Praha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300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Zhotovitel: Kontrex building management s.r.o.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270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                  Dopravní 1314/1, 104 00 Praha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285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                  IČ: 64581764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315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počet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cena/MJ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cena celkem</w:t>
            </w:r>
          </w:p>
        </w:tc>
      </w:tr>
      <w:tr w:rsidR="009615BD" w:rsidRPr="00847F6E" w:rsidTr="001F1F9B">
        <w:trPr>
          <w:trHeight w:val="51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zpříložkování prohnutých stávajících trámů vč.znivelování (dřevěné fošny oboustranně)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3,50  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15 400,00  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53 900,00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d+m izolace akustické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380,00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26 600,00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d+m OSB desek tl.25mm s PD, nebrouš.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450,00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31 500,00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d+m desek akustických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270,00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18 900,00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d+m desek dřevovláknitých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370,00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25 900,00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d+m desek sádrovláknitých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550,00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38 500,00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d+m zátěžového koberce vč.soklů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70,00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680,00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47 600,00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výmalba, barva bílá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m2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153,00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65,00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9 945,00   </w:t>
            </w: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přesun hmot, likvidace odpadu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>kpl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1,00  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12 000,00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  <w:r w:rsidRPr="00847F6E">
              <w:rPr>
                <w:rFonts w:ascii="Arial" w:hAnsi="Arial" w:cs="Arial"/>
              </w:rPr>
              <w:t xml:space="preserve">12 000,00   </w:t>
            </w:r>
          </w:p>
        </w:tc>
      </w:tr>
      <w:tr w:rsidR="009615BD" w:rsidRPr="00847F6E" w:rsidTr="001F1F9B">
        <w:trPr>
          <w:trHeight w:val="150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</w:pPr>
          </w:p>
        </w:tc>
      </w:tr>
      <w:tr w:rsidR="009615BD" w:rsidRPr="00847F6E" w:rsidTr="001F1F9B">
        <w:trPr>
          <w:trHeight w:val="255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BD" w:rsidRPr="00847F6E" w:rsidRDefault="009615BD" w:rsidP="001F1F9B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BD" w:rsidRPr="00847F6E" w:rsidRDefault="009615BD" w:rsidP="001F1F9B">
            <w:pPr>
              <w:jc w:val="right"/>
              <w:rPr>
                <w:rFonts w:ascii="Arial" w:hAnsi="Arial" w:cs="Arial"/>
                <w:b/>
                <w:bCs/>
              </w:rPr>
            </w:pPr>
            <w:r w:rsidRPr="00847F6E">
              <w:rPr>
                <w:rFonts w:ascii="Arial" w:hAnsi="Arial" w:cs="Arial"/>
                <w:b/>
                <w:bCs/>
              </w:rPr>
              <w:t>264 845,00</w:t>
            </w:r>
          </w:p>
        </w:tc>
      </w:tr>
    </w:tbl>
    <w:p w:rsidR="009615BD" w:rsidRDefault="009615BD" w:rsidP="009615BD"/>
    <w:p w:rsidR="009615BD" w:rsidRDefault="009615BD" w:rsidP="009615BD"/>
    <w:p w:rsidR="00101615" w:rsidRPr="009615BD" w:rsidRDefault="00101615" w:rsidP="009615BD"/>
    <w:sectPr w:rsidR="00101615" w:rsidRPr="009615BD">
      <w:footerReference w:type="default" r:id="rId7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B5" w:rsidRDefault="000445B5">
      <w:r>
        <w:separator/>
      </w:r>
    </w:p>
  </w:endnote>
  <w:endnote w:type="continuationSeparator" w:id="0">
    <w:p w:rsidR="000445B5" w:rsidRDefault="0004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15" w:rsidRDefault="00101615">
    <w:pPr>
      <w:pStyle w:val="Zpat"/>
      <w:rPr>
        <w:rStyle w:val="slostrnky"/>
        <w:snapToGrid w:val="0"/>
      </w:rPr>
    </w:pPr>
  </w:p>
  <w:p w:rsidR="00101615" w:rsidRDefault="00101615">
    <w:pPr>
      <w:pStyle w:val="Zpat"/>
    </w:pPr>
    <w:r>
      <w:rPr>
        <w:rStyle w:val="slostrnky"/>
        <w:snapToGrid w:val="0"/>
      </w:rPr>
      <w:t xml:space="preserve">Strana </w:t>
    </w:r>
    <w:r>
      <w:rPr>
        <w:rStyle w:val="slostrnky"/>
        <w:snapToGrid w:val="0"/>
      </w:rPr>
      <w:fldChar w:fldCharType="begin"/>
    </w:r>
    <w:r>
      <w:rPr>
        <w:rStyle w:val="slostrnky"/>
        <w:snapToGrid w:val="0"/>
      </w:rPr>
      <w:instrText xml:space="preserve"> PAGE </w:instrText>
    </w:r>
    <w:r>
      <w:rPr>
        <w:rStyle w:val="slostrnky"/>
        <w:snapToGrid w:val="0"/>
      </w:rPr>
      <w:fldChar w:fldCharType="separate"/>
    </w:r>
    <w:r w:rsidR="008D5FE5">
      <w:rPr>
        <w:rStyle w:val="slostrnky"/>
        <w:noProof/>
        <w:snapToGrid w:val="0"/>
      </w:rPr>
      <w:t>5</w:t>
    </w:r>
    <w:r>
      <w:rPr>
        <w:rStyle w:val="slostrnky"/>
        <w:snapToGrid w:val="0"/>
      </w:rPr>
      <w:fldChar w:fldCharType="end"/>
    </w:r>
    <w:r>
      <w:rPr>
        <w:rStyle w:val="slostrnky"/>
        <w:snapToGrid w:val="0"/>
      </w:rPr>
      <w:t xml:space="preserve"> (celkem </w:t>
    </w:r>
    <w:r>
      <w:rPr>
        <w:rStyle w:val="slostrnky"/>
        <w:snapToGrid w:val="0"/>
      </w:rPr>
      <w:fldChar w:fldCharType="begin"/>
    </w:r>
    <w:r>
      <w:rPr>
        <w:rStyle w:val="slostrnky"/>
        <w:snapToGrid w:val="0"/>
      </w:rPr>
      <w:instrText xml:space="preserve"> NUMPAGES </w:instrText>
    </w:r>
    <w:r>
      <w:rPr>
        <w:rStyle w:val="slostrnky"/>
        <w:snapToGrid w:val="0"/>
      </w:rPr>
      <w:fldChar w:fldCharType="separate"/>
    </w:r>
    <w:r w:rsidR="008D5FE5">
      <w:rPr>
        <w:rStyle w:val="slostrnky"/>
        <w:noProof/>
        <w:snapToGrid w:val="0"/>
      </w:rPr>
      <w:t>5</w:t>
    </w:r>
    <w:r>
      <w:rPr>
        <w:rStyle w:val="slostrnky"/>
        <w:snapToGrid w:val="0"/>
      </w:rPr>
      <w:fldChar w:fldCharType="end"/>
    </w:r>
    <w:r>
      <w:rPr>
        <w:rStyle w:val="slostrnky"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B5" w:rsidRDefault="000445B5">
      <w:r>
        <w:separator/>
      </w:r>
    </w:p>
  </w:footnote>
  <w:footnote w:type="continuationSeparator" w:id="0">
    <w:p w:rsidR="000445B5" w:rsidRDefault="0004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6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2686A"/>
    <w:multiLevelType w:val="singleLevel"/>
    <w:tmpl w:val="E0F2354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37C3E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8731E1"/>
    <w:multiLevelType w:val="singleLevel"/>
    <w:tmpl w:val="A23C7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EB202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B245F30"/>
    <w:multiLevelType w:val="hybridMultilevel"/>
    <w:tmpl w:val="64BA8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2270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3663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CE60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E3165B"/>
    <w:multiLevelType w:val="hybridMultilevel"/>
    <w:tmpl w:val="B48E2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07C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95E24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AB250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03B0C0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BB2B6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697743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76F61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94B3322"/>
    <w:multiLevelType w:val="hybridMultilevel"/>
    <w:tmpl w:val="A6D84B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17D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DC3806"/>
    <w:multiLevelType w:val="singleLevel"/>
    <w:tmpl w:val="E45E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923999"/>
    <w:multiLevelType w:val="multilevel"/>
    <w:tmpl w:val="CC068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A8A679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B4B3DA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15A357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1FE3D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20957F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544100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4F050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57373B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591E15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ABA6D2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6CF688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2" w15:restartNumberingAfterBreak="0">
    <w:nsid w:val="699723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A09164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6D076CFE"/>
    <w:multiLevelType w:val="singleLevel"/>
    <w:tmpl w:val="53A8D3A4"/>
    <w:lvl w:ilvl="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35" w15:restartNumberingAfterBreak="0">
    <w:nsid w:val="6DA061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416B5C"/>
    <w:multiLevelType w:val="multilevel"/>
    <w:tmpl w:val="CC068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3A2719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580022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5D71A8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64C0B5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A4A2DF3"/>
    <w:multiLevelType w:val="hybridMultilevel"/>
    <w:tmpl w:val="0DCCA6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39"/>
  </w:num>
  <w:num w:numId="9">
    <w:abstractNumId w:val="1"/>
  </w:num>
  <w:num w:numId="10">
    <w:abstractNumId w:val="22"/>
  </w:num>
  <w:num w:numId="11">
    <w:abstractNumId w:val="6"/>
  </w:num>
  <w:num w:numId="12">
    <w:abstractNumId w:val="24"/>
  </w:num>
  <w:num w:numId="13">
    <w:abstractNumId w:val="12"/>
  </w:num>
  <w:num w:numId="14">
    <w:abstractNumId w:val="30"/>
  </w:num>
  <w:num w:numId="15">
    <w:abstractNumId w:val="33"/>
  </w:num>
  <w:num w:numId="16">
    <w:abstractNumId w:val="26"/>
  </w:num>
  <w:num w:numId="17">
    <w:abstractNumId w:val="4"/>
  </w:num>
  <w:num w:numId="18">
    <w:abstractNumId w:val="10"/>
  </w:num>
  <w:num w:numId="19">
    <w:abstractNumId w:val="38"/>
  </w:num>
  <w:num w:numId="20">
    <w:abstractNumId w:val="15"/>
  </w:num>
  <w:num w:numId="21">
    <w:abstractNumId w:val="37"/>
  </w:num>
  <w:num w:numId="22">
    <w:abstractNumId w:val="16"/>
  </w:num>
  <w:num w:numId="23">
    <w:abstractNumId w:val="21"/>
  </w:num>
  <w:num w:numId="24">
    <w:abstractNumId w:val="34"/>
  </w:num>
  <w:num w:numId="25">
    <w:abstractNumId w:val="35"/>
  </w:num>
  <w:num w:numId="26">
    <w:abstractNumId w:val="14"/>
  </w:num>
  <w:num w:numId="27">
    <w:abstractNumId w:val="23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32"/>
  </w:num>
  <w:num w:numId="33">
    <w:abstractNumId w:val="40"/>
  </w:num>
  <w:num w:numId="34">
    <w:abstractNumId w:val="18"/>
  </w:num>
  <w:num w:numId="35">
    <w:abstractNumId w:val="2"/>
  </w:num>
  <w:num w:numId="36">
    <w:abstractNumId w:val="19"/>
  </w:num>
  <w:num w:numId="37">
    <w:abstractNumId w:val="5"/>
  </w:num>
  <w:num w:numId="38">
    <w:abstractNumId w:val="41"/>
  </w:num>
  <w:num w:numId="39">
    <w:abstractNumId w:val="17"/>
  </w:num>
  <w:num w:numId="40">
    <w:abstractNumId w:val="9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5"/>
    <w:rsid w:val="000445B5"/>
    <w:rsid w:val="00067377"/>
    <w:rsid w:val="00071643"/>
    <w:rsid w:val="00074AFC"/>
    <w:rsid w:val="000B057F"/>
    <w:rsid w:val="000B0681"/>
    <w:rsid w:val="000C4D08"/>
    <w:rsid w:val="00101615"/>
    <w:rsid w:val="00143F8B"/>
    <w:rsid w:val="00161B52"/>
    <w:rsid w:val="00173C0A"/>
    <w:rsid w:val="001B0B78"/>
    <w:rsid w:val="001E0099"/>
    <w:rsid w:val="001F1F9B"/>
    <w:rsid w:val="001F7C3D"/>
    <w:rsid w:val="0021628C"/>
    <w:rsid w:val="002563E7"/>
    <w:rsid w:val="00297AB8"/>
    <w:rsid w:val="002C407E"/>
    <w:rsid w:val="002D3957"/>
    <w:rsid w:val="00306002"/>
    <w:rsid w:val="0037565A"/>
    <w:rsid w:val="00386FCF"/>
    <w:rsid w:val="003A4016"/>
    <w:rsid w:val="003C6CE7"/>
    <w:rsid w:val="003D2476"/>
    <w:rsid w:val="00401B9D"/>
    <w:rsid w:val="004301A1"/>
    <w:rsid w:val="00492C54"/>
    <w:rsid w:val="005F46FC"/>
    <w:rsid w:val="005F784A"/>
    <w:rsid w:val="00666AE9"/>
    <w:rsid w:val="006A4C95"/>
    <w:rsid w:val="006D2668"/>
    <w:rsid w:val="006E61FF"/>
    <w:rsid w:val="007900AA"/>
    <w:rsid w:val="00810054"/>
    <w:rsid w:val="00847F6E"/>
    <w:rsid w:val="00871898"/>
    <w:rsid w:val="00896D05"/>
    <w:rsid w:val="008D4A29"/>
    <w:rsid w:val="008D5FE5"/>
    <w:rsid w:val="008E7F0D"/>
    <w:rsid w:val="008F0691"/>
    <w:rsid w:val="008F39C9"/>
    <w:rsid w:val="00914E90"/>
    <w:rsid w:val="009615BD"/>
    <w:rsid w:val="0096572A"/>
    <w:rsid w:val="009F5047"/>
    <w:rsid w:val="00A41D6B"/>
    <w:rsid w:val="00AB206C"/>
    <w:rsid w:val="00B176CB"/>
    <w:rsid w:val="00B933C1"/>
    <w:rsid w:val="00B93525"/>
    <w:rsid w:val="00BC48FF"/>
    <w:rsid w:val="00BD60D0"/>
    <w:rsid w:val="00C42325"/>
    <w:rsid w:val="00C51A31"/>
    <w:rsid w:val="00D24668"/>
    <w:rsid w:val="00D27B9A"/>
    <w:rsid w:val="00D335AE"/>
    <w:rsid w:val="00DD74B0"/>
    <w:rsid w:val="00E3509E"/>
    <w:rsid w:val="00E75F1B"/>
    <w:rsid w:val="00E9448C"/>
    <w:rsid w:val="00EA13A3"/>
    <w:rsid w:val="00EE0F90"/>
    <w:rsid w:val="00EF34A3"/>
    <w:rsid w:val="00F3618D"/>
    <w:rsid w:val="00F914CF"/>
    <w:rsid w:val="00FB0634"/>
    <w:rsid w:val="00F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4C32-B2A7-46DA-AAD5-C836714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13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KONTREX">
    <w:name w:val="KONTREX"/>
    <w:basedOn w:val="Normln"/>
    <w:rPr>
      <w:sz w:val="24"/>
    </w:rPr>
  </w:style>
  <w:style w:type="paragraph" w:styleId="Zkladntext">
    <w:name w:val="Body Text"/>
    <w:basedOn w:val="Normln"/>
    <w:semiHidden/>
    <w:pPr>
      <w:jc w:val="both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226" w:hanging="226"/>
      <w:jc w:val="both"/>
    </w:pPr>
    <w:rPr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b/>
      <w:snapToGrid w:val="0"/>
      <w:color w:val="000000"/>
      <w:sz w:val="24"/>
    </w:rPr>
  </w:style>
  <w:style w:type="paragraph" w:styleId="Zhlav">
    <w:name w:val="header"/>
    <w:basedOn w:val="Normln"/>
    <w:semiHidden/>
    <w:pPr>
      <w:jc w:val="both"/>
    </w:pPr>
    <w:rPr>
      <w:snapToGrid w:val="0"/>
      <w:color w:val="000000"/>
      <w:sz w:val="24"/>
    </w:rPr>
  </w:style>
  <w:style w:type="paragraph" w:customStyle="1" w:styleId="Znaka1">
    <w:name w:val="Značka 1"/>
    <w:pPr>
      <w:ind w:left="345" w:hanging="289"/>
      <w:jc w:val="both"/>
    </w:pPr>
    <w:rPr>
      <w:snapToGrid w:val="0"/>
      <w:color w:val="000000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3Char">
    <w:name w:val="Nadpis 3 Char"/>
    <w:link w:val="Nadpis3"/>
    <w:uiPriority w:val="9"/>
    <w:semiHidden/>
    <w:rsid w:val="00EA13A3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C4D0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Kontrex building s.r.o.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Evžen Kholl</dc:creator>
  <cp:keywords/>
  <cp:lastModifiedBy>Zámrská Lenka</cp:lastModifiedBy>
  <cp:revision>1</cp:revision>
  <cp:lastPrinted>2015-11-04T07:27:00Z</cp:lastPrinted>
  <dcterms:created xsi:type="dcterms:W3CDTF">2016-07-26T08:28:00Z</dcterms:created>
  <dcterms:modified xsi:type="dcterms:W3CDTF">2016-07-26T08:28:00Z</dcterms:modified>
</cp:coreProperties>
</file>