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251/2024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Chřibská – Sanace zdiva vývaru bezpečnostního přelivu“ -</w:t>
        <w:br/>
        <w:t>projektová dokumentace (DSP/DPS)</w:t>
      </w:r>
      <w:bookmarkEnd w:id="0"/>
      <w:bookmarkEnd w:id="1"/>
      <w:bookmarkEnd w:id="2"/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  <w:tab/>
        <w:t>Povodí Ohře, státní podnik je zapsán v obchodním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AZ Consult, spol. s r.o.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Klíšská 1334/12, 400 01 Ústí nad Labem – centrum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9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</w:t>
        <w:tab/>
        <w:t>Krajský soud v Ústí nad Labem, oddíl C, vložka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2096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20" w:line="28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náročnějšího výběru konkrétního technického řešení sanace vývaru a dále nefunkčnosti portálu stavebníka ve správě Ministerstva vnitra pro podávání žádostí k PD.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 a III. TERMÍNY PLNĚNÍ.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DÍLO A ZPŮSOB PROVEDENÍ DÍLA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76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9" w:bottom="1632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osoby, elektronická verze dokumentace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314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251/2024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0"/>
      <w:bookmarkEnd w:id="11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 zbytečného odkladu,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kompletní PD (2x tištěné + elektronicky)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projednání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092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30.08.2024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660" w:right="0" w:firstLine="28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měsíc po schválení v dokumentační komisi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5"/>
      <w:bookmarkEnd w:id="16"/>
      <w:bookmarkEnd w:id="1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 zbytečného odkladu,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dílčí termín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kompletní PD (2x tištěné + elektronicky)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projednání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092" w:val="left"/>
        </w:tabs>
        <w:bidi w:val="0"/>
        <w:spacing w:before="0" w:after="0" w:line="240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16.12.2024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7" w:val="left"/>
        </w:tabs>
        <w:bidi w:val="0"/>
        <w:spacing w:before="0" w:after="0" w:line="240" w:lineRule="auto"/>
        <w:ind w:left="0" w:right="0" w:firstLine="30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2140" w:right="0" w:firstLine="1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měsíc po schválení v dokumentační komisi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326" w:header="229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1656" w:left="1394" w:right="1389" w:bottom="7997" w:header="0" w:footer="3" w:gutter="0"/>
          <w:cols w:space="720"/>
          <w:noEndnote/>
          <w:rtlGutter w:val="0"/>
          <w:docGrid w:linePitch="360"/>
        </w:sectPr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5" w:after="9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56" w:left="0" w:right="0" w:bottom="79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56" w:left="1394" w:right="2421" w:bottom="7997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Ústí nad Labem dne: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56" w:left="0" w:right="0" w:bottom="16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jednatelka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AZ Consult, spol. s 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56" w:left="1394" w:right="2364" w:bottom="1656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56" w:left="1394" w:right="2364" w:bottom="1656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69999999999999pt;margin-top:770.85000000000002pt;width:53.050000000000004pt;height:12.9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251/2024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19999999999999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251/2024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251/2024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4.19999999999999pt;margin-top:34.300000000000004pt;width:130.30000000000001pt;height:13.7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251/2024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4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6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50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