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1240700063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Želiv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4"/>
        </w:rPr>
        <w:t> </w:t>
      </w:r>
      <w:r>
        <w:rPr/>
        <w:t>Želiv,</w:t>
      </w:r>
      <w:r>
        <w:rPr>
          <w:spacing w:val="-5"/>
        </w:rPr>
        <w:t> </w:t>
      </w:r>
      <w:r>
        <w:rPr/>
        <w:t>Želiv</w:t>
      </w:r>
      <w:r>
        <w:rPr>
          <w:spacing w:val="-3"/>
        </w:rPr>
        <w:t> </w:t>
      </w:r>
      <w:r>
        <w:rPr/>
        <w:t>320,</w:t>
      </w:r>
      <w:r>
        <w:rPr>
          <w:spacing w:val="-5"/>
        </w:rPr>
        <w:t> </w:t>
      </w:r>
      <w:r>
        <w:rPr/>
        <w:t>394</w:t>
      </w:r>
      <w:r>
        <w:rPr>
          <w:spacing w:val="-2"/>
        </w:rPr>
        <w:t> </w:t>
      </w:r>
      <w:r>
        <w:rPr/>
        <w:t>44</w:t>
      </w:r>
      <w:r>
        <w:rPr>
          <w:spacing w:val="-4"/>
        </w:rPr>
        <w:t> </w:t>
      </w:r>
      <w:r>
        <w:rPr>
          <w:spacing w:val="-2"/>
        </w:rPr>
        <w:t>Želiv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00249483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Miroslavem</w:t>
      </w:r>
      <w:r>
        <w:rPr>
          <w:spacing w:val="-4"/>
        </w:rPr>
        <w:t> </w:t>
      </w:r>
      <w:r>
        <w:rPr/>
        <w:t>B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ň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94-6214261/0710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1240700063 o poskytnutí finančních prostředků ze Státního fondu životního prostředí ČR ze dne 20.</w:t>
      </w:r>
      <w:r>
        <w:rPr>
          <w:spacing w:val="-1"/>
        </w:rPr>
        <w:t> </w:t>
      </w:r>
      <w:r>
        <w:rPr/>
        <w:t>6.</w:t>
      </w:r>
      <w:r>
        <w:rPr>
          <w:spacing w:val="-1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416" w:right="3148"/>
      </w:pPr>
      <w:r>
        <w:rPr/>
        <w:t>„Kanalizace</w:t>
      </w:r>
      <w:r>
        <w:rPr>
          <w:spacing w:val="-8"/>
        </w:rPr>
        <w:t> </w:t>
      </w:r>
      <w:r>
        <w:rPr>
          <w:spacing w:val="-2"/>
        </w:rPr>
        <w:t>Brtná“</w:t>
      </w:r>
    </w:p>
    <w:p>
      <w:pPr>
        <w:pStyle w:val="BodyText"/>
        <w:spacing w:before="120"/>
        <w:ind w:right="6433"/>
        <w:jc w:val="center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b/>
          <w:sz w:val="20"/>
        </w:rPr>
        <w:t>19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793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904,52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</w:t>
      </w:r>
      <w:r>
        <w:rPr>
          <w:spacing w:val="-10"/>
          <w:sz w:val="20"/>
        </w:rPr>
        <w:t> </w:t>
      </w:r>
      <w:r>
        <w:rPr>
          <w:sz w:val="20"/>
        </w:rPr>
        <w:t>devatenáct</w:t>
      </w:r>
      <w:r>
        <w:rPr>
          <w:spacing w:val="-8"/>
          <w:sz w:val="20"/>
        </w:rPr>
        <w:t> </w:t>
      </w:r>
      <w:r>
        <w:rPr>
          <w:sz w:val="20"/>
        </w:rPr>
        <w:t>milionů</w:t>
      </w:r>
      <w:r>
        <w:rPr>
          <w:spacing w:val="-10"/>
          <w:sz w:val="20"/>
        </w:rPr>
        <w:t> </w:t>
      </w:r>
      <w:r>
        <w:rPr>
          <w:sz w:val="20"/>
        </w:rPr>
        <w:t>sedm</w:t>
      </w:r>
      <w:r>
        <w:rPr>
          <w:spacing w:val="-9"/>
          <w:sz w:val="20"/>
        </w:rPr>
        <w:t> </w:t>
      </w:r>
      <w:r>
        <w:rPr>
          <w:sz w:val="20"/>
        </w:rPr>
        <w:t>set</w:t>
      </w:r>
      <w:r>
        <w:rPr>
          <w:spacing w:val="-11"/>
          <w:sz w:val="20"/>
        </w:rPr>
        <w:t> </w:t>
      </w:r>
      <w:r>
        <w:rPr>
          <w:sz w:val="20"/>
        </w:rPr>
        <w:t>devadesát</w:t>
      </w:r>
      <w:r>
        <w:rPr>
          <w:spacing w:val="-11"/>
          <w:sz w:val="20"/>
        </w:rPr>
        <w:t> </w:t>
      </w:r>
      <w:r>
        <w:rPr>
          <w:sz w:val="20"/>
        </w:rPr>
        <w:t>tři</w:t>
      </w:r>
      <w:r>
        <w:rPr>
          <w:spacing w:val="-10"/>
          <w:sz w:val="20"/>
        </w:rPr>
        <w:t> </w:t>
      </w:r>
      <w:r>
        <w:rPr>
          <w:sz w:val="20"/>
        </w:rPr>
        <w:t>tisíc</w:t>
      </w:r>
      <w:r>
        <w:rPr>
          <w:spacing w:val="-11"/>
          <w:sz w:val="20"/>
        </w:rPr>
        <w:t> </w:t>
      </w:r>
      <w:r>
        <w:rPr>
          <w:sz w:val="20"/>
        </w:rPr>
        <w:t>devět</w:t>
      </w:r>
      <w:r>
        <w:rPr>
          <w:spacing w:val="-11"/>
          <w:sz w:val="20"/>
        </w:rPr>
        <w:t> </w:t>
      </w:r>
      <w:r>
        <w:rPr>
          <w:sz w:val="20"/>
        </w:rPr>
        <w:t>set čtyři korun českých a padesát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32 989 840,88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o</w:t>
      </w:r>
      <w:r>
        <w:rPr>
          <w:spacing w:val="-6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5"/>
        </w:rPr>
        <w:t> </w:t>
      </w:r>
      <w:r>
        <w:rPr/>
        <w:t>příjemcem</w:t>
      </w:r>
      <w:r>
        <w:rPr>
          <w:spacing w:val="-5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prostřednictvím</w:t>
      </w:r>
      <w:r>
        <w:rPr>
          <w:spacing w:val="-8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6"/>
        </w:rPr>
        <w:t> </w:t>
      </w:r>
      <w:r>
        <w:rPr>
          <w:spacing w:val="-5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</w:t>
      </w:r>
      <w:r>
        <w:rPr>
          <w:spacing w:val="-2"/>
          <w:sz w:val="20"/>
        </w:rPr>
        <w:t> </w:t>
      </w:r>
      <w:r>
        <w:rPr>
          <w:sz w:val="20"/>
        </w:rPr>
        <w:t>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</w:t>
      </w:r>
      <w:r>
        <w:rPr>
          <w:spacing w:val="-4"/>
          <w:sz w:val="20"/>
        </w:rPr>
        <w:t> </w:t>
      </w:r>
      <w:r>
        <w:rPr>
          <w:sz w:val="20"/>
        </w:rPr>
        <w:t>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9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6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6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24001688.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665" w:right="40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splní účel akce „Kanalizace Brtná“ tím, že akce bude 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4,05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92 EO na zlepšené čištění odpadních vod, na ČOV Želiv bude odstraňováno navíc znečištění 3,59 t/rok </w:t>
      </w:r>
      <w:r>
        <w:rPr>
          <w:spacing w:val="-2"/>
          <w:position w:val="2"/>
          <w:sz w:val="20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7" w:after="0"/>
        <w:ind w:left="948" w:right="112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8"/>
          <w:sz w:val="20"/>
        </w:rPr>
        <w:t> </w:t>
      </w:r>
      <w:r>
        <w:rPr>
          <w:sz w:val="20"/>
        </w:rPr>
        <w:t>po</w:t>
      </w:r>
      <w:r>
        <w:rPr>
          <w:spacing w:val="58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7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7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3"/>
          <w:sz w:val="20"/>
        </w:rPr>
        <w:t> </w:t>
      </w:r>
      <w:r>
        <w:rPr>
          <w:sz w:val="20"/>
        </w:rPr>
        <w:t>účel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který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7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5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18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12/2026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7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 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</w:t>
      </w:r>
      <w:r>
        <w:rPr>
          <w:spacing w:val="-1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22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1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73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6/2027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zahájení</w:t>
      </w:r>
      <w:r>
        <w:rPr>
          <w:spacing w:val="-4"/>
        </w:rPr>
        <w:t> </w:t>
      </w:r>
      <w:r>
        <w:rPr/>
        <w:t>realizace</w:t>
      </w:r>
      <w:r>
        <w:rPr>
          <w:spacing w:val="-3"/>
        </w:rPr>
        <w:t> </w:t>
      </w:r>
      <w:r>
        <w:rPr>
          <w:spacing w:val="-4"/>
        </w:rPr>
        <w:t>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u)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665" w:right="40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2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6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20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4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19"/>
        </w:rPr>
      </w:pPr>
    </w:p>
    <w:p>
      <w:pPr>
        <w:pStyle w:val="BodyText"/>
        <w:tabs>
          <w:tab w:pos="6853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 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10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samostatného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08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38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7"/>
          <w:sz w:val="20"/>
        </w:rPr>
        <w:t> </w:t>
      </w:r>
      <w:r>
        <w:rPr>
          <w:sz w:val="20"/>
        </w:rPr>
        <w:t>manuálem</w:t>
      </w:r>
      <w:r>
        <w:rPr>
          <w:spacing w:val="36"/>
          <w:sz w:val="20"/>
        </w:rPr>
        <w:t> </w:t>
      </w:r>
      <w:r>
        <w:rPr>
          <w:sz w:val="20"/>
        </w:rPr>
        <w:t>k Nástroji</w:t>
      </w:r>
      <w:r>
        <w:rPr>
          <w:spacing w:val="37"/>
          <w:sz w:val="20"/>
        </w:rPr>
        <w:t> </w:t>
      </w:r>
      <w:r>
        <w:rPr>
          <w:sz w:val="20"/>
        </w:rPr>
        <w:t>Udržitelnost</w:t>
      </w:r>
      <w:r>
        <w:rPr>
          <w:spacing w:val="39"/>
          <w:sz w:val="20"/>
        </w:rPr>
        <w:t> </w:t>
      </w:r>
      <w:r>
        <w:rPr>
          <w:sz w:val="20"/>
        </w:rPr>
        <w:t>včetně</w:t>
      </w:r>
      <w:r>
        <w:rPr>
          <w:spacing w:val="37"/>
          <w:sz w:val="20"/>
        </w:rPr>
        <w:t> </w:t>
      </w:r>
      <w:r>
        <w:rPr>
          <w:sz w:val="20"/>
        </w:rPr>
        <w:t>relevantních</w:t>
      </w:r>
      <w:r>
        <w:rPr>
          <w:spacing w:val="38"/>
          <w:sz w:val="20"/>
        </w:rPr>
        <w:t> </w:t>
      </w:r>
      <w:r>
        <w:rPr>
          <w:sz w:val="20"/>
        </w:rPr>
        <w:t>příloh.</w:t>
      </w:r>
      <w:r>
        <w:rPr>
          <w:spacing w:val="40"/>
          <w:sz w:val="20"/>
        </w:rPr>
        <w:t> </w:t>
      </w:r>
      <w:r>
        <w:rPr>
          <w:sz w:val="20"/>
        </w:rPr>
        <w:t>Nástroj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předložen</w:t>
      </w:r>
      <w:r>
        <w:rPr>
          <w:spacing w:val="38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4"/>
          <w:sz w:val="20"/>
        </w:rPr>
        <w:t> </w:t>
      </w:r>
      <w:r>
        <w:rPr>
          <w:sz w:val="20"/>
        </w:rPr>
        <w:t>Plánu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3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2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6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6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6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4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8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8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8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2169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65" w:right="40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2024-11-07T09:19:07Z</dcterms:created>
  <dcterms:modified xsi:type="dcterms:W3CDTF">2024-11-07T09:19:07Z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