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- 240290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240290-01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Edenred CZ s.r.o.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68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186 00  Praha 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Pernerova 691/42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24745391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CZ24745391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04.11.2024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122/2004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05.11.2024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11.11.2024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3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3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850.00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42 500.00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Zlín</w:t>
      </w:r>
    </w:p>
    <w:p>
      <w:pPr>
        <w:pStyle w:val="Row7"/>
      </w:pPr>
      <w:r>
        <w:tab/>
      </w:r>
      <w:r>
        <w:rPr>
          <w:rStyle w:val="Text3"/>
        </w:rPr>
        <w:t xml:space="preserve">třída Tomáše Bati 1565</w:t>
      </w:r>
    </w:p>
    <w:p>
      <w:pPr>
        <w:pStyle w:val="Row7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760 96 Zlín</w:t>
      </w:r>
    </w:p>
    <w:p>
      <w:pPr>
        <w:pStyle w:val="Row19"/>
      </w:pP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551pt;margin-top:15pt;width:0pt;height:3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1pt;margin-top:15pt;width:0pt;height:3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598.00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29 900.00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Uherské Hradiště</w:t>
      </w:r>
    </w:p>
    <w:p>
      <w:pPr>
        <w:pStyle w:val="Row7"/>
      </w:pPr>
      <w:r>
        <w:tab/>
      </w:r>
      <w:r>
        <w:rPr>
          <w:rStyle w:val="Text3"/>
        </w:rPr>
        <w:t xml:space="preserve">Svatováclavská 568</w:t>
      </w:r>
    </w:p>
    <w:p>
      <w:pPr>
        <w:pStyle w:val="Row7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686 11 Uherské Hradiště</w:t>
      </w:r>
    </w:p>
    <w:p>
      <w:pPr>
        <w:pStyle w:val="Row19"/>
      </w:pP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551pt;margin-top:15pt;width:0pt;height:3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1pt;margin-top:15pt;width:0pt;height:3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11/2024</w:t>
      </w:r>
      <w:r>
        <w:tab/>
      </w:r>
      <w:r>
        <w:rPr>
          <w:rStyle w:val="Text3"/>
        </w:rPr>
        <w:t xml:space="preserve">385.00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19 250.00</w:t>
      </w:r>
    </w:p>
    <w:p>
      <w:pPr>
        <w:pStyle w:val="Row18"/>
      </w:pPr>
      <w:r>
        <w:tab/>
      </w:r>
      <w:r>
        <w:rPr>
          <w:rStyle w:val="Text3"/>
        </w:rPr>
        <w:t xml:space="preserve">Katastrální pracoviště Uherský Brod</w:t>
      </w:r>
    </w:p>
    <w:p>
      <w:pPr>
        <w:pStyle w:val="Row7"/>
      </w:pPr>
      <w:r>
        <w:tab/>
      </w:r>
      <w:r>
        <w:rPr>
          <w:rStyle w:val="Text3"/>
        </w:rPr>
        <w:t xml:space="preserve">Svat. Čecha 1365</w:t>
      </w:r>
    </w:p>
    <w:p>
      <w:pPr>
        <w:pStyle w:val="Row7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1pt;margin-top:13pt;width:550pt;height:0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2pt;width:0pt;height:98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2pt;width:0pt;height:98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688 01 Uherský Brod</w:t>
      </w:r>
    </w:p>
    <w:p>
      <w:pPr>
        <w:pStyle w:val="Row20"/>
      </w:pPr>
      <w:r>
        <w:rPr>
          <w:noProof/>
          <w:lang w:val="cs-CZ" w:eastAsia="cs-CZ"/>
        </w:rPr>
        <w:pict>
          <v:shape id="_x0000_s106" o:connectortype="straight" strokeweight="1pt" strokecolor="#000000" style="position:absolute;left:0;margin-left:279pt;margin-top:20pt;width:269pt;height:0pt;z-index:3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7" o:connectortype="straight" strokeweight="1pt" strokecolor="#000000" style="position:absolute;left:0;margin-left:279pt;margin-top:23pt;width:269pt;height:0pt;z-index:4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91 650.00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85pt;margin-top:11pt;width:458pt;height:0pt;z-index:4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2pt;margin-top:14pt;width:549pt;height:0pt;z-index:4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4" o:connectortype="straight" strokeweight="1pt" strokecolor="#000000" style="position:absolute;left:0;margin-left:1pt;margin-top:13pt;width:0pt;height:114pt;z-index:4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5" o:connectortype="straight" strokeweight="1pt" strokecolor="#000000" style="position:absolute;left:0;margin-left:551pt;margin-top:14pt;width:0pt;height:114pt;z-index:4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28" o:connectortype="straight" strokeweight="1pt" strokecolor="#000000" style="position:absolute;left:0;margin-left:1pt;margin-top:3pt;width:550pt;height:0pt;z-index:45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9" o:connectortype="straight" strokeweight="1pt" strokecolor="#000000" style="position:absolute;left:0;margin-left:1pt;margin-top:-5pt;width:550pt;height:0pt;z-index:-25165819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240290-01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suchankovah</dc:creator>
  <cp:keywords/>
  <dc:description/>
  <cp:lastModifiedBy>suchankovah</cp:lastModifiedBy>
  <cp:revision>1</cp:revision>
  <dcterms:created xsi:type="dcterms:W3CDTF">2024-11-04T08:25:54Z</dcterms:created>
  <dcterms:modified xsi:type="dcterms:W3CDTF">2024-11-04T08:25:54Z</dcterms:modified>
  <cp:category/>
</cp:coreProperties>
</file>