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D8325" Type="http://schemas.openxmlformats.org/officeDocument/2006/relationships/officeDocument" Target="/word/document.xml" /><Relationship Id="coreR4A6D8325" Type="http://schemas.openxmlformats.org/package/2006/relationships/metadata/core-properties" Target="/docProps/core.xml" /><Relationship Id="customR4A6D8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04.09.2023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Hradec Králové 3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500 03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Pouchovská (BAK)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Ing. Jiří Petera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230027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Dle Vaší cenové nabídky ze dne 7.8.2023 objednáváme zpracování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cs-CZ"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"g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enerelu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"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stability skalních a strmých svahů ve vybraných lokalitách Královéhradeckého kraje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.</w:t>
      </w: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 </w:t>
      </w: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Termín zpracování: 25 týdnů od data závazné objednávky</w:t>
      </w: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Výslednou dokumentací se rozumí standardní výsledky "generelu" stability skalních a strmých svahů ve 3 tištěných vyhotoveních a e-verzi na CD nebo v e-mailové zprávě.</w:t>
      </w:r>
    </w:p>
    <w:p>
      <w:pPr>
        <w:keepNext w:val="0"/>
        <w:keepLines w:val="0"/>
        <w:framePr w:w="10195" w:h="2150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pStyle w:val="P13"/>
        <w:framePr w:w="6755" w:h="517" w:hRule="exact" w:wrap="none" w:vAnchor="page" w:hAnchor="margin" w:x="160" w:y="8640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8683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8640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8683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8640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8683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8640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8683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8640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8683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9157"/>
        <w:rPr>
          <w:rStyle w:val="C13"/>
          <w:rtl w:val="0"/>
        </w:rPr>
      </w:pPr>
      <w:r>
        <w:rPr>
          <w:rStyle w:val="C13"/>
          <w:rtl w:val="0"/>
        </w:rPr>
        <w:t>přípravné práce</w:t>
      </w:r>
    </w:p>
    <w:p>
      <w:pPr>
        <w:pStyle w:val="P20"/>
        <w:framePr w:w="779" w:h="245" w:hRule="exact" w:wrap="none" w:vAnchor="page" w:hAnchor="margin" w:x="6983" w:y="9157"/>
        <w:rPr>
          <w:rStyle w:val="C14"/>
          <w:rtl w:val="0"/>
        </w:rPr>
      </w:pPr>
      <w:r>
        <w:rPr>
          <w:rStyle w:val="C14"/>
          <w:rtl w:val="0"/>
        </w:rPr>
        <w:t>600,00</w:t>
      </w:r>
    </w:p>
    <w:p>
      <w:pPr>
        <w:pStyle w:val="P20"/>
        <w:framePr w:w="779" w:h="245" w:hRule="exact" w:wrap="none" w:vAnchor="page" w:hAnchor="margin" w:x="7948" w:y="9157"/>
        <w:rPr>
          <w:rStyle w:val="C14"/>
          <w:rtl w:val="0"/>
        </w:rPr>
      </w:pPr>
      <w:r>
        <w:rPr>
          <w:rStyle w:val="C14"/>
          <w:rtl w:val="0"/>
        </w:rPr>
        <w:t>40,00</w:t>
      </w:r>
    </w:p>
    <w:p>
      <w:pPr>
        <w:pStyle w:val="P20"/>
        <w:framePr w:w="304" w:h="245" w:hRule="exact" w:wrap="none" w:vAnchor="page" w:hAnchor="margin" w:x="9028" w:y="9157"/>
        <w:rPr>
          <w:rStyle w:val="C14"/>
          <w:rtl w:val="0"/>
        </w:rPr>
      </w:pPr>
      <w:r>
        <w:rPr>
          <w:rStyle w:val="C14"/>
          <w:rtl w:val="0"/>
        </w:rPr>
        <w:t>hod</w:t>
      </w:r>
    </w:p>
    <w:p>
      <w:pPr>
        <w:pStyle w:val="P20"/>
        <w:framePr w:w="909" w:h="245" w:hRule="exact" w:wrap="none" w:vAnchor="page" w:hAnchor="margin" w:x="9388" w:y="9157"/>
        <w:rPr>
          <w:rStyle w:val="C14"/>
          <w:rtl w:val="0"/>
        </w:rPr>
      </w:pPr>
      <w:r>
        <w:rPr>
          <w:rStyle w:val="C14"/>
          <w:rtl w:val="0"/>
        </w:rPr>
        <w:t>29 040,00</w:t>
      </w:r>
    </w:p>
    <w:p>
      <w:pPr>
        <w:pStyle w:val="P19"/>
        <w:framePr w:w="6669" w:h="245" w:hRule="exact" w:wrap="none" w:vAnchor="page" w:hAnchor="margin" w:x="143" w:y="9431"/>
        <w:rPr>
          <w:rStyle w:val="C13"/>
          <w:rtl w:val="0"/>
        </w:rPr>
      </w:pPr>
      <w:r>
        <w:rPr>
          <w:rStyle w:val="C13"/>
          <w:rtl w:val="0"/>
        </w:rPr>
        <w:t>terénní dokumentační práce</w:t>
      </w:r>
    </w:p>
    <w:p>
      <w:pPr>
        <w:pStyle w:val="P20"/>
        <w:framePr w:w="779" w:h="245" w:hRule="exact" w:wrap="none" w:vAnchor="page" w:hAnchor="margin" w:x="6983" w:y="9431"/>
        <w:rPr>
          <w:rStyle w:val="C14"/>
          <w:rtl w:val="0"/>
        </w:rPr>
      </w:pPr>
      <w:r>
        <w:rPr>
          <w:rStyle w:val="C14"/>
          <w:rtl w:val="0"/>
        </w:rPr>
        <w:t>650,00</w:t>
      </w:r>
    </w:p>
    <w:p>
      <w:pPr>
        <w:pStyle w:val="P20"/>
        <w:framePr w:w="779" w:h="245" w:hRule="exact" w:wrap="none" w:vAnchor="page" w:hAnchor="margin" w:x="7948" w:y="9431"/>
        <w:rPr>
          <w:rStyle w:val="C14"/>
          <w:rtl w:val="0"/>
        </w:rPr>
      </w:pPr>
      <w:r>
        <w:rPr>
          <w:rStyle w:val="C14"/>
          <w:rtl w:val="0"/>
        </w:rPr>
        <w:t>120,00</w:t>
      </w:r>
    </w:p>
    <w:p>
      <w:pPr>
        <w:pStyle w:val="P20"/>
        <w:framePr w:w="304" w:h="245" w:hRule="exact" w:wrap="none" w:vAnchor="page" w:hAnchor="margin" w:x="9028" w:y="9431"/>
        <w:rPr>
          <w:rStyle w:val="C14"/>
          <w:rtl w:val="0"/>
        </w:rPr>
      </w:pPr>
      <w:r>
        <w:rPr>
          <w:rStyle w:val="C14"/>
          <w:rtl w:val="0"/>
        </w:rPr>
        <w:t>hod</w:t>
      </w:r>
    </w:p>
    <w:p>
      <w:pPr>
        <w:pStyle w:val="P20"/>
        <w:framePr w:w="909" w:h="245" w:hRule="exact" w:wrap="none" w:vAnchor="page" w:hAnchor="margin" w:x="9388" w:y="9431"/>
        <w:rPr>
          <w:rStyle w:val="C14"/>
          <w:rtl w:val="0"/>
        </w:rPr>
      </w:pPr>
      <w:r>
        <w:rPr>
          <w:rStyle w:val="C14"/>
          <w:rtl w:val="0"/>
        </w:rPr>
        <w:t>94 380,00</w:t>
      </w:r>
    </w:p>
    <w:p>
      <w:pPr>
        <w:pStyle w:val="P19"/>
        <w:framePr w:w="6669" w:h="245" w:hRule="exact" w:wrap="none" w:vAnchor="page" w:hAnchor="margin" w:x="143" w:y="9705"/>
        <w:rPr>
          <w:rStyle w:val="C13"/>
          <w:rtl w:val="0"/>
        </w:rPr>
      </w:pPr>
      <w:r>
        <w:rPr>
          <w:rStyle w:val="C13"/>
          <w:rtl w:val="0"/>
        </w:rPr>
        <w:t>dopravní náklady na terénní práce</w:t>
      </w:r>
    </w:p>
    <w:p>
      <w:pPr>
        <w:pStyle w:val="P20"/>
        <w:framePr w:w="779" w:h="245" w:hRule="exact" w:wrap="none" w:vAnchor="page" w:hAnchor="margin" w:x="6983" w:y="9705"/>
        <w:rPr>
          <w:rStyle w:val="C14"/>
          <w:rtl w:val="0"/>
        </w:rPr>
      </w:pPr>
      <w:r>
        <w:rPr>
          <w:rStyle w:val="C14"/>
          <w:rtl w:val="0"/>
        </w:rPr>
        <w:t>11,00</w:t>
      </w:r>
    </w:p>
    <w:p>
      <w:pPr>
        <w:pStyle w:val="P20"/>
        <w:framePr w:w="779" w:h="245" w:hRule="exact" w:wrap="none" w:vAnchor="page" w:hAnchor="margin" w:x="7948" w:y="9705"/>
        <w:rPr>
          <w:rStyle w:val="C14"/>
          <w:rtl w:val="0"/>
        </w:rPr>
      </w:pPr>
      <w:r>
        <w:rPr>
          <w:rStyle w:val="C14"/>
          <w:rtl w:val="0"/>
        </w:rPr>
        <w:t>1 920,00</w:t>
      </w:r>
    </w:p>
    <w:p>
      <w:pPr>
        <w:pStyle w:val="P20"/>
        <w:framePr w:w="304" w:h="245" w:hRule="exact" w:wrap="none" w:vAnchor="page" w:hAnchor="margin" w:x="9028" w:y="9705"/>
        <w:rPr>
          <w:rStyle w:val="C14"/>
          <w:rtl w:val="0"/>
        </w:rPr>
      </w:pPr>
      <w:r>
        <w:rPr>
          <w:rStyle w:val="C14"/>
          <w:rtl w:val="0"/>
        </w:rPr>
        <w:t>km</w:t>
      </w:r>
    </w:p>
    <w:p>
      <w:pPr>
        <w:pStyle w:val="P20"/>
        <w:framePr w:w="909" w:h="245" w:hRule="exact" w:wrap="none" w:vAnchor="page" w:hAnchor="margin" w:x="9388" w:y="9705"/>
        <w:rPr>
          <w:rStyle w:val="C14"/>
          <w:rtl w:val="0"/>
        </w:rPr>
      </w:pPr>
      <w:r>
        <w:rPr>
          <w:rStyle w:val="C14"/>
          <w:rtl w:val="0"/>
        </w:rPr>
        <w:t>25 555,20</w:t>
      </w:r>
    </w:p>
    <w:p>
      <w:pPr>
        <w:pStyle w:val="P19"/>
        <w:framePr w:w="6669" w:h="245" w:hRule="exact" w:wrap="none" w:vAnchor="page" w:hAnchor="margin" w:x="143" w:y="9978"/>
        <w:rPr>
          <w:rStyle w:val="C13"/>
          <w:rtl w:val="0"/>
        </w:rPr>
      </w:pPr>
      <w:r>
        <w:rPr>
          <w:rStyle w:val="C13"/>
          <w:rtl w:val="0"/>
        </w:rPr>
        <w:t>zpracování a adjustace výsledné dokumentace</w:t>
      </w:r>
    </w:p>
    <w:p>
      <w:pPr>
        <w:pStyle w:val="P20"/>
        <w:framePr w:w="779" w:h="245" w:hRule="exact" w:wrap="none" w:vAnchor="page" w:hAnchor="margin" w:x="6983" w:y="9978"/>
        <w:rPr>
          <w:rStyle w:val="C14"/>
          <w:rtl w:val="0"/>
        </w:rPr>
      </w:pPr>
      <w:r>
        <w:rPr>
          <w:rStyle w:val="C14"/>
          <w:rtl w:val="0"/>
        </w:rPr>
        <w:t>650,00</w:t>
      </w:r>
    </w:p>
    <w:p>
      <w:pPr>
        <w:pStyle w:val="P20"/>
        <w:framePr w:w="779" w:h="245" w:hRule="exact" w:wrap="none" w:vAnchor="page" w:hAnchor="margin" w:x="7948" w:y="9978"/>
        <w:rPr>
          <w:rStyle w:val="C14"/>
          <w:rtl w:val="0"/>
        </w:rPr>
      </w:pPr>
      <w:r>
        <w:rPr>
          <w:rStyle w:val="C14"/>
          <w:rtl w:val="0"/>
        </w:rPr>
        <w:t>160,00</w:t>
      </w:r>
    </w:p>
    <w:p>
      <w:pPr>
        <w:pStyle w:val="P20"/>
        <w:framePr w:w="304" w:h="245" w:hRule="exact" w:wrap="none" w:vAnchor="page" w:hAnchor="margin" w:x="9028" w:y="9978"/>
        <w:rPr>
          <w:rStyle w:val="C14"/>
          <w:rtl w:val="0"/>
        </w:rPr>
      </w:pPr>
      <w:r>
        <w:rPr>
          <w:rStyle w:val="C14"/>
          <w:rtl w:val="0"/>
        </w:rPr>
        <w:t>hod</w:t>
      </w:r>
    </w:p>
    <w:p>
      <w:pPr>
        <w:pStyle w:val="P20"/>
        <w:framePr w:w="909" w:h="245" w:hRule="exact" w:wrap="none" w:vAnchor="page" w:hAnchor="margin" w:x="9388" w:y="9978"/>
        <w:rPr>
          <w:rStyle w:val="C14"/>
          <w:rtl w:val="0"/>
        </w:rPr>
      </w:pPr>
      <w:r>
        <w:rPr>
          <w:rStyle w:val="C14"/>
          <w:rtl w:val="0"/>
        </w:rPr>
        <w:t>125 840,00</w:t>
      </w:r>
    </w:p>
    <w:p>
      <w:pPr>
        <w:pStyle w:val="P19"/>
        <w:framePr w:w="6669" w:h="245" w:hRule="exact" w:wrap="none" w:vAnchor="page" w:hAnchor="margin" w:x="143" w:y="10252"/>
        <w:rPr>
          <w:rStyle w:val="C13"/>
          <w:rtl w:val="0"/>
        </w:rPr>
      </w:pPr>
      <w:r>
        <w:rPr>
          <w:rStyle w:val="C13"/>
          <w:rtl w:val="0"/>
        </w:rPr>
        <w:t>adjustace výsledné dokumentace a projednání</w:t>
      </w:r>
    </w:p>
    <w:p>
      <w:pPr>
        <w:pStyle w:val="P20"/>
        <w:framePr w:w="779" w:h="245" w:hRule="exact" w:wrap="none" w:vAnchor="page" w:hAnchor="margin" w:x="6983" w:y="10252"/>
        <w:rPr>
          <w:rStyle w:val="C14"/>
          <w:rtl w:val="0"/>
        </w:rPr>
      </w:pPr>
      <w:r>
        <w:rPr>
          <w:rStyle w:val="C14"/>
          <w:rtl w:val="0"/>
        </w:rPr>
        <w:t>550,00</w:t>
      </w:r>
    </w:p>
    <w:p>
      <w:pPr>
        <w:pStyle w:val="P20"/>
        <w:framePr w:w="779" w:h="245" w:hRule="exact" w:wrap="none" w:vAnchor="page" w:hAnchor="margin" w:x="7948" w:y="10252"/>
        <w:rPr>
          <w:rStyle w:val="C14"/>
          <w:rtl w:val="0"/>
        </w:rPr>
      </w:pPr>
      <w:r>
        <w:rPr>
          <w:rStyle w:val="C14"/>
          <w:rtl w:val="0"/>
        </w:rPr>
        <w:t>30,00</w:t>
      </w:r>
    </w:p>
    <w:p>
      <w:pPr>
        <w:pStyle w:val="P20"/>
        <w:framePr w:w="304" w:h="245" w:hRule="exact" w:wrap="none" w:vAnchor="page" w:hAnchor="margin" w:x="9028" w:y="10252"/>
        <w:rPr>
          <w:rStyle w:val="C14"/>
          <w:rtl w:val="0"/>
        </w:rPr>
      </w:pPr>
      <w:r>
        <w:rPr>
          <w:rStyle w:val="C14"/>
          <w:rtl w:val="0"/>
        </w:rPr>
        <w:t>hod</w:t>
      </w:r>
    </w:p>
    <w:p>
      <w:pPr>
        <w:pStyle w:val="P20"/>
        <w:framePr w:w="909" w:h="245" w:hRule="exact" w:wrap="none" w:vAnchor="page" w:hAnchor="margin" w:x="9388" w:y="10252"/>
        <w:rPr>
          <w:rStyle w:val="C14"/>
          <w:rtl w:val="0"/>
        </w:rPr>
      </w:pPr>
      <w:r>
        <w:rPr>
          <w:rStyle w:val="C14"/>
          <w:rtl w:val="0"/>
        </w:rPr>
        <w:t>19 965,00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243 620,00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Brožová Daniela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07.11.2024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