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747D" w14:textId="77777777" w:rsidR="00A3308F" w:rsidRDefault="007A5363">
      <w:pPr>
        <w:spacing w:before="120" w:after="12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DODATEK Č. 1</w:t>
      </w:r>
    </w:p>
    <w:p w14:paraId="628BC60F" w14:textId="77777777" w:rsidR="00A3308F" w:rsidRDefault="007A5363">
      <w:pPr>
        <w:spacing w:before="120" w:after="12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KE SMLOUVĚ O LIMITACI NÁKLADŮ SPOJENÝCH S HRAZENÍM LÉČIVÉHO PŘÍPRAVKU </w:t>
      </w:r>
    </w:p>
    <w:p w14:paraId="273A27CF" w14:textId="77777777" w:rsidR="00A3308F" w:rsidRDefault="007A5363">
      <w:pPr>
        <w:spacing w:before="120" w:after="12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34CA5">
        <w:rPr>
          <w:rFonts w:ascii="Calibri" w:eastAsia="Calibri" w:hAnsi="Calibri" w:cs="Calibri"/>
          <w:b/>
          <w:sz w:val="24"/>
          <w:szCs w:val="24"/>
          <w:highlight w:val="black"/>
        </w:rPr>
        <w:t>xxxxxxx</w:t>
      </w:r>
      <w:r w:rsidR="00312B70" w:rsidRPr="00034CA5">
        <w:rPr>
          <w:rFonts w:ascii="Calibri" w:eastAsia="Calibri" w:hAnsi="Calibri" w:cs="Calibri"/>
          <w:b/>
          <w:sz w:val="24"/>
          <w:szCs w:val="24"/>
          <w:highlight w:val="black"/>
        </w:rPr>
        <w:t>x</w:t>
      </w:r>
    </w:p>
    <w:p w14:paraId="7D15FB6C" w14:textId="77777777" w:rsidR="00A3308F" w:rsidRDefault="007A5363">
      <w:pPr>
        <w:spacing w:before="120" w:after="12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(dále jen “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Dodatek</w:t>
      </w:r>
      <w:r>
        <w:rPr>
          <w:rFonts w:ascii="Calibri" w:eastAsia="Calibri" w:hAnsi="Calibri" w:cs="Calibri"/>
          <w:color w:val="000000"/>
          <w:sz w:val="24"/>
          <w:szCs w:val="24"/>
        </w:rPr>
        <w:t>”)</w:t>
      </w:r>
    </w:p>
    <w:p w14:paraId="4F5B6C86" w14:textId="77777777" w:rsidR="00A3308F" w:rsidRDefault="00A3308F">
      <w:pPr>
        <w:spacing w:before="120" w:after="12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15F2820" w14:textId="77777777" w:rsidR="00A3308F" w:rsidRDefault="007A5363" w:rsidP="00035477">
      <w:pPr>
        <w:spacing w:before="60" w:line="240" w:lineRule="auto"/>
        <w:ind w:right="113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Pojišťovna: RBP, zdravotní pojišťovna</w:t>
      </w:r>
    </w:p>
    <w:p w14:paraId="3A930621" w14:textId="77777777" w:rsidR="00A3308F" w:rsidRDefault="007A5363" w:rsidP="00035477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Sídlo:</w:t>
      </w:r>
      <w:r>
        <w:rPr>
          <w:rFonts w:ascii="Calibri" w:eastAsia="Calibri" w:hAnsi="Calibri" w:cs="Calibri"/>
          <w:sz w:val="24"/>
          <w:szCs w:val="24"/>
        </w:rPr>
        <w:t xml:space="preserve"> Michálkovická 967/108, 710 00 Ostrava – Slezská Ostrava</w:t>
      </w:r>
    </w:p>
    <w:p w14:paraId="355EE3CD" w14:textId="77777777" w:rsidR="00A3308F" w:rsidRDefault="007A5363" w:rsidP="00035477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IČO:</w:t>
      </w:r>
      <w:r>
        <w:rPr>
          <w:rFonts w:ascii="Calibri" w:eastAsia="Calibri" w:hAnsi="Calibri" w:cs="Calibri"/>
          <w:sz w:val="24"/>
          <w:szCs w:val="24"/>
        </w:rPr>
        <w:t xml:space="preserve"> 476 73 036</w:t>
      </w:r>
    </w:p>
    <w:p w14:paraId="1455FD2D" w14:textId="77777777" w:rsidR="00A3308F" w:rsidRDefault="007A5363" w:rsidP="00035477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DIČ:</w:t>
      </w:r>
      <w:r>
        <w:rPr>
          <w:rFonts w:ascii="Calibri" w:eastAsia="Calibri" w:hAnsi="Calibri" w:cs="Calibri"/>
          <w:sz w:val="24"/>
          <w:szCs w:val="24"/>
        </w:rPr>
        <w:t xml:space="preserve"> CZ47673036</w:t>
      </w:r>
    </w:p>
    <w:p w14:paraId="41DE68AF" w14:textId="77777777" w:rsidR="00A3308F" w:rsidRDefault="007A5363" w:rsidP="00035477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Zapsaná ve veřejném rejstříku vedeném u Krajského soudu v Ostravě, oddíl AXIV, vložka 554</w:t>
      </w:r>
    </w:p>
    <w:p w14:paraId="0C62EA67" w14:textId="77777777" w:rsidR="00A3308F" w:rsidRDefault="007A5363" w:rsidP="00035477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Zastoupená</w:t>
      </w:r>
      <w:r>
        <w:rPr>
          <w:rFonts w:ascii="Calibri" w:eastAsia="Calibri" w:hAnsi="Calibri" w:cs="Calibri"/>
          <w:sz w:val="24"/>
          <w:szCs w:val="24"/>
        </w:rPr>
        <w:t>: Ing. Antonínem Klimšou, MBA, výkonným ředitelem</w:t>
      </w:r>
    </w:p>
    <w:p w14:paraId="49C72950" w14:textId="2F6BFA89" w:rsidR="00A3308F" w:rsidRDefault="007A5363" w:rsidP="00034CA5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Bankovní spojení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888CF3B" w14:textId="62D8C6CB" w:rsidR="00A3308F" w:rsidRDefault="007A5363" w:rsidP="00034CA5">
      <w:pPr>
        <w:spacing w:before="60" w:line="240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Číslo účtu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382FD3A" w14:textId="77777777" w:rsidR="00A3308F" w:rsidRDefault="007A5363" w:rsidP="00035477">
      <w:pPr>
        <w:spacing w:before="60"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(dále jen „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Pojišťovna</w:t>
      </w:r>
      <w:r>
        <w:rPr>
          <w:rFonts w:ascii="Calibri" w:eastAsia="Calibri" w:hAnsi="Calibri" w:cs="Calibri"/>
          <w:color w:val="000000"/>
          <w:sz w:val="24"/>
          <w:szCs w:val="24"/>
        </w:rPr>
        <w:t>“)</w:t>
      </w:r>
    </w:p>
    <w:p w14:paraId="43395809" w14:textId="77777777" w:rsidR="00A3308F" w:rsidRDefault="00A3308F">
      <w:pPr>
        <w:spacing w:before="60"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9F3336E" w14:textId="77777777" w:rsidR="00A3308F" w:rsidRDefault="007A5363">
      <w:pPr>
        <w:spacing w:before="60"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</w:t>
      </w:r>
    </w:p>
    <w:p w14:paraId="5208B47D" w14:textId="77777777" w:rsidR="00A3308F" w:rsidRDefault="00A3308F">
      <w:pPr>
        <w:spacing w:before="60"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300FBB9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ROCHE REGISTRATION GmbH</w:t>
      </w:r>
    </w:p>
    <w:p w14:paraId="47C5B9A7" w14:textId="4A617623" w:rsidR="00A3308F" w:rsidRDefault="007A5363">
      <w:pPr>
        <w:spacing w:before="60" w:after="0" w:line="240" w:lineRule="auto"/>
        <w:ind w:left="2124" w:hanging="212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 sídlem:</w:t>
      </w:r>
      <w:r w:rsidR="00035477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Emil-Barell-Straße 1, 79639 Grenzach – Wyhlen, Spolková republika Německo,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7702685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zapsaná v obchodním rejstříku vedeném </w:t>
      </w:r>
      <w:r>
        <w:rPr>
          <w:rFonts w:ascii="Calibri" w:eastAsia="Calibri" w:hAnsi="Calibri" w:cs="Calibri"/>
          <w:sz w:val="24"/>
          <w:szCs w:val="24"/>
        </w:rPr>
        <w:t xml:space="preserve">Obvodním soudem ve Freiburgu i. Br., sp. zn. HRB717155 </w:t>
      </w:r>
    </w:p>
    <w:p w14:paraId="7482708A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 xml:space="preserve">zastoupena na základě plné moci </w:t>
      </w:r>
      <w:r>
        <w:rPr>
          <w:rFonts w:ascii="Calibri" w:eastAsia="Calibri" w:hAnsi="Calibri" w:cs="Calibri"/>
          <w:sz w:val="24"/>
          <w:szCs w:val="24"/>
        </w:rPr>
        <w:t xml:space="preserve">ze dne 10. 8. 2020 společností: 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br/>
        <w:t>ROCHE s. r. o.</w:t>
      </w:r>
    </w:p>
    <w:p w14:paraId="4B244F20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 sídlem: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Sokolovská 685/136f, 186 00 Praha 8 - Karlín</w:t>
      </w:r>
    </w:p>
    <w:p w14:paraId="4AFC552B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zapsanou v obchodním rejstříku vedeném </w:t>
      </w:r>
      <w:r>
        <w:rPr>
          <w:rFonts w:ascii="Calibri" w:eastAsia="Calibri" w:hAnsi="Calibri" w:cs="Calibri"/>
          <w:sz w:val="24"/>
          <w:szCs w:val="24"/>
        </w:rPr>
        <w:t>Městským soudem v Praze, sp. zn. C 13202</w:t>
      </w:r>
    </w:p>
    <w:p w14:paraId="4D5C2498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IČO: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496 17 052</w:t>
      </w:r>
    </w:p>
    <w:p w14:paraId="62F4AA1E" w14:textId="77777777" w:rsidR="00A3308F" w:rsidRDefault="007A5363">
      <w:pPr>
        <w:spacing w:before="60"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DIČ: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CZ 496 17 052</w:t>
      </w:r>
    </w:p>
    <w:p w14:paraId="5F2F2500" w14:textId="481A1E28" w:rsidR="00A3308F" w:rsidRDefault="007A5363">
      <w:pPr>
        <w:spacing w:before="6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zastoupenou: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na základě plné moci ze dne 5. 12. 2023 a </w:t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, na základě plné moci ze dne 5. 12. 2023</w:t>
      </w:r>
    </w:p>
    <w:p w14:paraId="2EAB649E" w14:textId="04464D34" w:rsidR="00A3308F" w:rsidRDefault="007A5363" w:rsidP="00034CA5">
      <w:pPr>
        <w:spacing w:before="60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bankovní spojení: </w:t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3FBF4B" w14:textId="32601668" w:rsidR="00A3308F" w:rsidRDefault="007A5363" w:rsidP="00034CA5">
      <w:pPr>
        <w:spacing w:before="60"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SWIFT: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89A5513" w14:textId="12C513E8" w:rsidR="00A3308F" w:rsidRDefault="007A5363" w:rsidP="00034CA5">
      <w:pPr>
        <w:spacing w:before="60" w:after="0" w:line="240" w:lineRule="auto"/>
        <w:rPr>
          <w:rFonts w:ascii="Calibri" w:eastAsia="Calibri" w:hAnsi="Calibri" w:cs="Calibri"/>
          <w:color w:val="4472C4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IBAN: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 w:rsidR="00034CA5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="00034CA5"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3BE6F8D" w14:textId="77777777" w:rsidR="00A3308F" w:rsidRDefault="007A5363">
      <w:pPr>
        <w:spacing w:before="120" w:line="240" w:lineRule="auto"/>
        <w:rPr>
          <w:rFonts w:ascii="Calibri" w:eastAsia="Calibri" w:hAnsi="Calibri" w:cs="Calibri"/>
          <w:b/>
          <w:color w:val="4472C4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(dále též „</w:t>
      </w:r>
      <w:r>
        <w:rPr>
          <w:rFonts w:ascii="Calibri" w:eastAsia="Calibri" w:hAnsi="Calibri" w:cs="Calibri"/>
          <w:b/>
          <w:sz w:val="24"/>
          <w:szCs w:val="24"/>
        </w:rPr>
        <w:t>Držitel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7BCA5E8B" w14:textId="77777777" w:rsidR="00A3308F" w:rsidRDefault="007A5363">
      <w:pPr>
        <w:spacing w:before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(společně dále též „</w:t>
      </w:r>
      <w:r>
        <w:rPr>
          <w:rFonts w:ascii="Calibri" w:eastAsia="Calibri" w:hAnsi="Calibri" w:cs="Calibri"/>
          <w:b/>
          <w:sz w:val="24"/>
          <w:szCs w:val="24"/>
        </w:rPr>
        <w:t>smluvní strany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35C0A788" w14:textId="77777777" w:rsidR="00A3308F" w:rsidRDefault="007A5363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lastRenderedPageBreak/>
        <w:t>PREAMBULE</w:t>
      </w:r>
    </w:p>
    <w:p w14:paraId="3AE7EE43" w14:textId="77777777" w:rsidR="00A3308F" w:rsidRPr="00034CA5" w:rsidRDefault="007A536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Smluvní strany uzavřely dne 22. 3. 2022 smlouvu o limitaci nákladů spojených s hrazením léčivého přípravku </w:t>
      </w:r>
      <w:r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(dále jen „</w:t>
      </w:r>
      <w:r w:rsidRPr="00034CA5">
        <w:rPr>
          <w:rFonts w:ascii="Calibri" w:eastAsia="Calibri" w:hAnsi="Calibri" w:cs="Calibri"/>
          <w:b/>
          <w:color w:val="000000"/>
          <w:sz w:val="24"/>
          <w:szCs w:val="24"/>
        </w:rPr>
        <w:t>Smlouva</w:t>
      </w:r>
      <w:r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“). Nevyplývá-li z tohoto Dodatku či z kontextu něco jiného, mají slova a spojení užitá v tomto Dodatku a psaná s velkým počátečním písmenem význam uvedený ve Smlouvě. </w:t>
      </w:r>
    </w:p>
    <w:p w14:paraId="6EAC62B8" w14:textId="77777777" w:rsidR="00A3308F" w:rsidRDefault="007A536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Smluvní strany si nyní přejí upravit některé podmínky Smlouvy a za tímto účelem uzavírají tento Dodatek.</w:t>
      </w:r>
    </w:p>
    <w:p w14:paraId="665419A3" w14:textId="77777777" w:rsidR="00A3308F" w:rsidRDefault="007A5363">
      <w:pPr>
        <w:keepNext/>
        <w:numPr>
          <w:ilvl w:val="1"/>
          <w:numId w:val="2"/>
        </w:numPr>
        <w:spacing w:before="240" w:after="12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ZMĚNA SMLOUVY</w:t>
      </w:r>
    </w:p>
    <w:p w14:paraId="43687887" w14:textId="77777777" w:rsidR="00A3308F" w:rsidRDefault="007A536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Ustanovení Článku X. odst. 1 Smlouvy se mění tak, že se datum “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31. 12. 2024“ nahrazuje datem “31. 12. 2029”.</w:t>
      </w:r>
    </w:p>
    <w:p w14:paraId="19E4A59E" w14:textId="77777777" w:rsidR="00A3308F" w:rsidRDefault="007A536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Smluvní strany se dohodly, že stávající znění Přílohy č. 1 Smlouvy se v celém rozsahu ruší a nahrazuje novým zněním Přílohy č. 1 Smlouvy, jejíž znění tvoří přílohu č. 1 tohoto Dodatku, a to jako jeho nedílná součást.</w:t>
      </w:r>
    </w:p>
    <w:p w14:paraId="73B25851" w14:textId="70B2C937" w:rsidR="00A3308F" w:rsidRDefault="007A536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Tento Dodatek nabývá platnosti dnem podpisu oprávněnými zástupci smluvních stran a účinnosti prvním dnem kalendářního měsíce bezprostředně následujícího po měsíci, ve kterém došlo k uveřejnění Smlouvy v registru smluv, nebo dnem předběžné vykonatelnosti rozhodnutí či vykonatelnosti rozhodnutí, není-li předběžně vykonatelné, Ústavu ve správním řízení vedeném pod sp. zn.  </w:t>
      </w:r>
      <w:r w:rsidR="001D4CB7"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>
        <w:rPr>
          <w:rFonts w:ascii="Calibri" w:eastAsia="Calibri" w:hAnsi="Calibri" w:cs="Calibri"/>
          <w:color w:val="000000"/>
          <w:sz w:val="24"/>
          <w:szCs w:val="24"/>
        </w:rPr>
        <w:t>, nastane-li tento okamžik později.</w:t>
      </w:r>
    </w:p>
    <w:p w14:paraId="1BF304ED" w14:textId="77777777" w:rsidR="00A3308F" w:rsidRDefault="007A5363">
      <w:pPr>
        <w:keepNext/>
        <w:numPr>
          <w:ilvl w:val="1"/>
          <w:numId w:val="2"/>
        </w:numPr>
        <w:spacing w:before="240" w:after="12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ZÁVĚREČNÁ USTANOVENÍ</w:t>
      </w:r>
    </w:p>
    <w:p w14:paraId="5510C858" w14:textId="77777777" w:rsidR="00A3308F" w:rsidRDefault="007A5363">
      <w:pPr>
        <w:numPr>
          <w:ilvl w:val="2"/>
          <w:numId w:val="2"/>
        </w:numP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Všechna ostatní ustanovení Smlouvy, která nejsou dotčena tímto Dodatkem, zůstávají i nadále platná a účinná. </w:t>
      </w:r>
    </w:p>
    <w:p w14:paraId="7FE2C669" w14:textId="77777777" w:rsidR="00A3308F" w:rsidRDefault="007A5363">
      <w:pPr>
        <w:numPr>
          <w:ilvl w:val="2"/>
          <w:numId w:val="2"/>
        </w:num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Ustanovení Smlouvy o jejím uveřejnění v registru smluv dle zákona č. 340/2015 Sb., </w:t>
      </w:r>
      <w:r>
        <w:rPr>
          <w:rFonts w:ascii="Calibri" w:eastAsia="Calibri" w:hAnsi="Calibri" w:cs="Calibri"/>
          <w:sz w:val="24"/>
          <w:szCs w:val="24"/>
        </w:rPr>
        <w:br/>
        <w:t xml:space="preserve">o zvláštních podmínkách účinnosti některých smluv, uveřejňování těchto smluv a o registru smluv (zákon o registru smluv), ve znění pozdějších předpisů, se použijí na uveřejnění tohoto Dodatku </w:t>
      </w:r>
      <w:r>
        <w:rPr>
          <w:rFonts w:ascii="Calibri" w:eastAsia="Calibri" w:hAnsi="Calibri" w:cs="Calibri"/>
          <w:i/>
          <w:sz w:val="24"/>
          <w:szCs w:val="24"/>
        </w:rPr>
        <w:t>mutatis mutandis</w:t>
      </w:r>
      <w:r>
        <w:rPr>
          <w:rFonts w:ascii="Calibri" w:eastAsia="Calibri" w:hAnsi="Calibri" w:cs="Calibri"/>
          <w:sz w:val="24"/>
          <w:szCs w:val="24"/>
        </w:rPr>
        <w:t>. Za obchodní tajemství se pro účely uveřejnění tohoto Dodatku považují veškerá jeho ustanovení umožňující přímo či nepřímo identifikovat Přípravek.</w:t>
      </w:r>
    </w:p>
    <w:p w14:paraId="39E2A04F" w14:textId="77777777" w:rsidR="00A3308F" w:rsidRDefault="007A5363">
      <w:pPr>
        <w:numPr>
          <w:ilvl w:val="2"/>
          <w:numId w:val="2"/>
        </w:num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Tento Dodatek je vyhotoven ve 4 (čtyřech) stejnopisech a každá ze smluvních stran obdrží po 2 (dvou) stejnopisech.</w:t>
      </w:r>
    </w:p>
    <w:p w14:paraId="462CBB69" w14:textId="77777777" w:rsidR="00A3308F" w:rsidRDefault="007A5363">
      <w:pPr>
        <w:numPr>
          <w:ilvl w:val="2"/>
          <w:numId w:val="2"/>
        </w:numPr>
        <w:spacing w:before="120"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Nedílnou součástí tohoto Dodatku je následující příloha:</w:t>
      </w:r>
    </w:p>
    <w:p w14:paraId="3D1E7446" w14:textId="77777777" w:rsidR="00A3308F" w:rsidRDefault="007A536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851" w:hanging="85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Příloha – Obchodní tajemství</w:t>
      </w:r>
    </w:p>
    <w:p w14:paraId="545F860F" w14:textId="77777777" w:rsidR="00A3308F" w:rsidRDefault="00A3308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FA6C51D" w14:textId="628976C4" w:rsidR="00A3308F" w:rsidRDefault="001D4CB7" w:rsidP="001D4CB7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-PODPISOVÁ STRANA NÁSLEDUJE-</w:t>
      </w:r>
    </w:p>
    <w:p w14:paraId="6BE4D74E" w14:textId="77777777" w:rsidR="00A3308F" w:rsidRDefault="00A3308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A3308F" w14:paraId="0DFCAC2D" w14:textId="77777777">
        <w:tc>
          <w:tcPr>
            <w:tcW w:w="4536" w:type="dxa"/>
          </w:tcPr>
          <w:p w14:paraId="4524A939" w14:textId="6F617CAF" w:rsidR="00A3308F" w:rsidRPr="001D4CB7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4CB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V Ostravě, dne </w:t>
            </w:r>
            <w:r w:rsidR="003B7C7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16.10.2024</w:t>
            </w:r>
            <w:r w:rsidRPr="001D4CB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2A7CBA1D" w14:textId="5237D9DC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D4CB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 Praze, dne </w:t>
            </w:r>
            <w:r w:rsidR="003B7C7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23.10.2024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</w:tr>
      <w:tr w:rsidR="00A3308F" w14:paraId="475EDFFB" w14:textId="77777777">
        <w:tc>
          <w:tcPr>
            <w:tcW w:w="4536" w:type="dxa"/>
          </w:tcPr>
          <w:p w14:paraId="3165F252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Pojišťovnu:</w:t>
            </w:r>
          </w:p>
        </w:tc>
        <w:tc>
          <w:tcPr>
            <w:tcW w:w="4536" w:type="dxa"/>
          </w:tcPr>
          <w:p w14:paraId="2F0E0191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Držitele</w:t>
            </w:r>
          </w:p>
        </w:tc>
      </w:tr>
      <w:tr w:rsidR="00A3308F" w14:paraId="2668CD09" w14:textId="77777777">
        <w:tc>
          <w:tcPr>
            <w:tcW w:w="4536" w:type="dxa"/>
          </w:tcPr>
          <w:p w14:paraId="1DC384E4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0CDD719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3C1C3BC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B7EBB44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7E313D8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4536" w:type="dxa"/>
          </w:tcPr>
          <w:p w14:paraId="4D7D0DC6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18649A2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7C3AA7D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87040B3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56ECADA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A3308F" w14:paraId="24A5C3CE" w14:textId="77777777">
        <w:tc>
          <w:tcPr>
            <w:tcW w:w="4536" w:type="dxa"/>
          </w:tcPr>
          <w:p w14:paraId="1D8EA2D2" w14:textId="77777777" w:rsidR="00A3308F" w:rsidRDefault="007A5363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Ing. Antonín Klimša, MBA</w:t>
            </w:r>
          </w:p>
          <w:p w14:paraId="04090FE2" w14:textId="31A5FBF8" w:rsidR="00A3308F" w:rsidRDefault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 w:rsidR="007A536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ýkonný ředitel</w:t>
            </w:r>
          </w:p>
        </w:tc>
        <w:tc>
          <w:tcPr>
            <w:tcW w:w="4536" w:type="dxa"/>
          </w:tcPr>
          <w:p w14:paraId="7C0338EC" w14:textId="77777777" w:rsidR="001D4CB7" w:rsidRDefault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34CA5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034CA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72899F00" w14:textId="7EC2389F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A3308F" w14:paraId="3156CAC4" w14:textId="77777777">
        <w:tc>
          <w:tcPr>
            <w:tcW w:w="4536" w:type="dxa"/>
          </w:tcPr>
          <w:p w14:paraId="0655729B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RBP, zdravotní pojišťovna </w:t>
            </w:r>
          </w:p>
        </w:tc>
        <w:tc>
          <w:tcPr>
            <w:tcW w:w="4536" w:type="dxa"/>
          </w:tcPr>
          <w:p w14:paraId="171A63B3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  <w:p w14:paraId="6A6F9720" w14:textId="77777777" w:rsidR="00A3308F" w:rsidRDefault="007A5363">
            <w:pPr>
              <w:spacing w:before="6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ROCHE REGISTRATION GmbH</w:t>
            </w:r>
          </w:p>
          <w:p w14:paraId="5605A34E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308F" w14:paraId="7F015F40" w14:textId="77777777">
        <w:tc>
          <w:tcPr>
            <w:tcW w:w="4536" w:type="dxa"/>
          </w:tcPr>
          <w:p w14:paraId="69AD9C77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586436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E094370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46CCEAC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D414BB1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D018969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A3308F" w14:paraId="41A4383A" w14:textId="77777777">
        <w:tc>
          <w:tcPr>
            <w:tcW w:w="4536" w:type="dxa"/>
          </w:tcPr>
          <w:p w14:paraId="72B01FD8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43A29D" w14:textId="77777777" w:rsidR="001D4CB7" w:rsidRDefault="001D4CB7" w:rsidP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highlight w:val="black"/>
              </w:rPr>
            </w:pPr>
          </w:p>
          <w:p w14:paraId="69C29C93" w14:textId="63B86D3D" w:rsidR="00A3308F" w:rsidRDefault="001D4CB7" w:rsidP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34CA5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</w:p>
          <w:p w14:paraId="69FD9E06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A3308F" w14:paraId="03B655E7" w14:textId="77777777">
        <w:tc>
          <w:tcPr>
            <w:tcW w:w="4536" w:type="dxa"/>
          </w:tcPr>
          <w:p w14:paraId="540DE010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599B3B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  <w:p w14:paraId="0FA502F9" w14:textId="77777777" w:rsidR="00A3308F" w:rsidRDefault="007A5363">
            <w:pPr>
              <w:spacing w:before="6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ROCHE REGISTRATION GmbH</w:t>
            </w:r>
          </w:p>
          <w:p w14:paraId="486FCA72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050A3445" w14:textId="77777777" w:rsidR="00A3308F" w:rsidRDefault="00A3308F">
      <w:pPr>
        <w:spacing w:line="240" w:lineRule="auto"/>
        <w:ind w:left="4963" w:firstLine="1"/>
        <w:rPr>
          <w:rFonts w:ascii="Calibri" w:eastAsia="Calibri" w:hAnsi="Calibri" w:cs="Calibri"/>
          <w:sz w:val="24"/>
          <w:szCs w:val="24"/>
        </w:rPr>
      </w:pPr>
    </w:p>
    <w:p w14:paraId="7383FB21" w14:textId="77777777" w:rsidR="00A3308F" w:rsidRDefault="00A3308F">
      <w:pPr>
        <w:spacing w:line="240" w:lineRule="auto"/>
        <w:ind w:left="4963" w:firstLine="1"/>
        <w:rPr>
          <w:rFonts w:ascii="Calibri" w:eastAsia="Calibri" w:hAnsi="Calibri" w:cs="Calibri"/>
          <w:sz w:val="24"/>
          <w:szCs w:val="24"/>
        </w:rPr>
      </w:pPr>
    </w:p>
    <w:p w14:paraId="29460671" w14:textId="77777777" w:rsidR="00A3308F" w:rsidRDefault="00A3308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E71F4CA" w14:textId="77777777" w:rsidR="00A3308F" w:rsidRDefault="007A5363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PŘÍLOHA Č. 1 SMLOUVY O LIMITACI NÁKLADŮ</w:t>
      </w:r>
    </w:p>
    <w:p w14:paraId="74C8DE1E" w14:textId="77777777" w:rsidR="00A3308F" w:rsidRDefault="007A5363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spojených s hrazením léčivého přípravku</w:t>
      </w:r>
    </w:p>
    <w:p w14:paraId="58FE2519" w14:textId="77777777" w:rsidR="00A3308F" w:rsidRDefault="007A5363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1D4CB7">
        <w:rPr>
          <w:rFonts w:ascii="Calibri" w:eastAsia="Calibri" w:hAnsi="Calibri" w:cs="Calibri"/>
          <w:b/>
          <w:sz w:val="28"/>
          <w:szCs w:val="28"/>
          <w:highlight w:val="black"/>
        </w:rPr>
        <w:t>xxxxxxxxxxxx</w:t>
      </w:r>
    </w:p>
    <w:p w14:paraId="28E22832" w14:textId="77777777" w:rsidR="00A3308F" w:rsidRDefault="007A5363">
      <w:pPr>
        <w:tabs>
          <w:tab w:val="left" w:pos="5245"/>
        </w:tabs>
        <w:spacing w:before="120" w:after="4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OBCHODNÍ TAJEMSTVÍ</w:t>
      </w:r>
    </w:p>
    <w:p w14:paraId="072CC02A" w14:textId="77777777" w:rsidR="00A3308F" w:rsidRDefault="00A3308F">
      <w:pPr>
        <w:spacing w:before="120" w:after="40"/>
        <w:jc w:val="center"/>
        <w:rPr>
          <w:rFonts w:ascii="Calibri" w:eastAsia="Calibri" w:hAnsi="Calibri" w:cs="Calibri"/>
        </w:rPr>
      </w:pPr>
    </w:p>
    <w:p w14:paraId="5AD4AEFF" w14:textId="77777777" w:rsidR="00A3308F" w:rsidRDefault="007A5363">
      <w:pPr>
        <w:numPr>
          <w:ilvl w:val="0"/>
          <w:numId w:val="1"/>
        </w:numPr>
        <w:tabs>
          <w:tab w:val="left" w:pos="5245"/>
        </w:tabs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Přípravkem dle této Smlouvy se rozumí:</w:t>
      </w:r>
    </w:p>
    <w:tbl>
      <w:tblPr>
        <w:tblStyle w:val="a0"/>
        <w:tblW w:w="594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598"/>
        <w:gridCol w:w="3115"/>
      </w:tblGrid>
      <w:tr w:rsidR="00A3308F" w14:paraId="4650FEB1" w14:textId="77777777">
        <w:trPr>
          <w:trHeight w:val="559"/>
        </w:trPr>
        <w:tc>
          <w:tcPr>
            <w:tcW w:w="1233" w:type="dxa"/>
            <w:shd w:val="clear" w:color="auto" w:fill="D9D9D9"/>
          </w:tcPr>
          <w:p w14:paraId="2C4A5F21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Kód SÚKL </w:t>
            </w:r>
          </w:p>
        </w:tc>
        <w:tc>
          <w:tcPr>
            <w:tcW w:w="1598" w:type="dxa"/>
            <w:shd w:val="clear" w:color="auto" w:fill="D9D9D9"/>
          </w:tcPr>
          <w:p w14:paraId="3C303D72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Název Přípravku </w:t>
            </w:r>
          </w:p>
        </w:tc>
        <w:tc>
          <w:tcPr>
            <w:tcW w:w="3115" w:type="dxa"/>
            <w:shd w:val="clear" w:color="auto" w:fill="D9D9D9"/>
          </w:tcPr>
          <w:p w14:paraId="21B20AB1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Doplněk názvu </w:t>
            </w:r>
          </w:p>
        </w:tc>
      </w:tr>
      <w:tr w:rsidR="001D4CB7" w14:paraId="25ECD71E" w14:textId="77777777" w:rsidTr="00F852E3">
        <w:trPr>
          <w:trHeight w:val="266"/>
        </w:trPr>
        <w:tc>
          <w:tcPr>
            <w:tcW w:w="1233" w:type="dxa"/>
          </w:tcPr>
          <w:p w14:paraId="2C47B6B3" w14:textId="0B81BCE9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47747F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4774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5638C82B" w14:textId="7C849E89" w:rsidR="001D4CB7" w:rsidRDefault="001D4CB7" w:rsidP="001D4CB7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</w:rPr>
            </w:pPr>
            <w:r w:rsidRPr="0047747F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4774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5B63FCFA" w14:textId="79FA6BC2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47747F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4774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4CB7" w14:paraId="3A9E325E" w14:textId="77777777" w:rsidTr="00F852E3">
        <w:trPr>
          <w:trHeight w:val="266"/>
        </w:trPr>
        <w:tc>
          <w:tcPr>
            <w:tcW w:w="1233" w:type="dxa"/>
          </w:tcPr>
          <w:p w14:paraId="0A055AA4" w14:textId="22D3696B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47747F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4774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0A72F6A9" w14:textId="7CFCD48C" w:rsidR="001D4CB7" w:rsidRDefault="001D4CB7" w:rsidP="001D4CB7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</w:rPr>
            </w:pPr>
            <w:r w:rsidRPr="0047747F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4774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776D63E5" w14:textId="33B5922A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47747F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4774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1FF0275" w14:textId="77777777" w:rsidR="00A3308F" w:rsidRDefault="007A5363">
      <w:pPr>
        <w:numPr>
          <w:ilvl w:val="0"/>
          <w:numId w:val="1"/>
        </w:numPr>
        <w:tabs>
          <w:tab w:val="left" w:pos="5245"/>
        </w:tabs>
        <w:spacing w:before="360" w:after="120" w:line="240" w:lineRule="auto"/>
        <w:ind w:left="714" w:hanging="35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Kompenzace</w:t>
      </w:r>
    </w:p>
    <w:p w14:paraId="0F0E3932" w14:textId="77777777" w:rsidR="00A3308F" w:rsidRDefault="007A5363">
      <w:pPr>
        <w:tabs>
          <w:tab w:val="left" w:pos="709"/>
          <w:tab w:val="left" w:pos="5245"/>
        </w:tabs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Nákladově efektivní cena Přípravku pro konečného spotřebitele:</w:t>
      </w:r>
    </w:p>
    <w:tbl>
      <w:tblPr>
        <w:tblStyle w:val="a1"/>
        <w:tblW w:w="861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1600"/>
        <w:gridCol w:w="3119"/>
        <w:gridCol w:w="2664"/>
      </w:tblGrid>
      <w:tr w:rsidR="00A3308F" w14:paraId="27D77174" w14:textId="77777777">
        <w:trPr>
          <w:trHeight w:val="559"/>
        </w:trPr>
        <w:tc>
          <w:tcPr>
            <w:tcW w:w="1235" w:type="dxa"/>
            <w:shd w:val="clear" w:color="auto" w:fill="D9D9D9"/>
          </w:tcPr>
          <w:p w14:paraId="2FB4DBDA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Kód SÚKL </w:t>
            </w:r>
          </w:p>
        </w:tc>
        <w:tc>
          <w:tcPr>
            <w:tcW w:w="1600" w:type="dxa"/>
            <w:shd w:val="clear" w:color="auto" w:fill="D9D9D9"/>
          </w:tcPr>
          <w:p w14:paraId="486305DF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Název Přípravku </w:t>
            </w:r>
          </w:p>
        </w:tc>
        <w:tc>
          <w:tcPr>
            <w:tcW w:w="3119" w:type="dxa"/>
            <w:shd w:val="clear" w:color="auto" w:fill="D9D9D9"/>
          </w:tcPr>
          <w:p w14:paraId="19E52763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Doplněk názvu </w:t>
            </w:r>
          </w:p>
        </w:tc>
        <w:tc>
          <w:tcPr>
            <w:tcW w:w="2664" w:type="dxa"/>
            <w:shd w:val="clear" w:color="auto" w:fill="D9D9D9"/>
          </w:tcPr>
          <w:p w14:paraId="0724BF9C" w14:textId="77777777" w:rsidR="00A3308F" w:rsidRDefault="007A5363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Nákladově efektivní cena pro konečného spotřebitele</w:t>
            </w:r>
          </w:p>
        </w:tc>
      </w:tr>
      <w:tr w:rsidR="001D4CB7" w14:paraId="1ECD4E5F" w14:textId="77777777" w:rsidTr="00B541E4">
        <w:trPr>
          <w:trHeight w:val="266"/>
        </w:trPr>
        <w:tc>
          <w:tcPr>
            <w:tcW w:w="1235" w:type="dxa"/>
          </w:tcPr>
          <w:p w14:paraId="0F28484F" w14:textId="1856B8FF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14:paraId="176AB806" w14:textId="7E44D1ED" w:rsidR="001D4CB7" w:rsidRDefault="001D4CB7" w:rsidP="001D4CB7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74226FEE" w14:textId="120DC6A0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682CEEAD" w14:textId="5C270654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4CB7" w14:paraId="47D411DD" w14:textId="77777777" w:rsidTr="00B541E4">
        <w:trPr>
          <w:trHeight w:val="266"/>
        </w:trPr>
        <w:tc>
          <w:tcPr>
            <w:tcW w:w="1235" w:type="dxa"/>
          </w:tcPr>
          <w:p w14:paraId="45445F17" w14:textId="77348D71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</w:tcPr>
          <w:p w14:paraId="6B00C141" w14:textId="0EAE5F48" w:rsidR="001D4CB7" w:rsidRDefault="001D4CB7" w:rsidP="001D4CB7">
            <w:pPr>
              <w:tabs>
                <w:tab w:val="left" w:pos="5245"/>
              </w:tabs>
              <w:spacing w:before="120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702DAE5" w14:textId="7965A8A9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14:paraId="63943577" w14:textId="5F546BDB" w:rsidR="001D4CB7" w:rsidRDefault="001D4CB7" w:rsidP="001D4CB7">
            <w:pPr>
              <w:tabs>
                <w:tab w:val="left" w:pos="5245"/>
              </w:tabs>
              <w:spacing w:before="120"/>
              <w:jc w:val="center"/>
              <w:rPr>
                <w:rFonts w:ascii="Calibri" w:eastAsia="Calibri" w:hAnsi="Calibri" w:cs="Calibri"/>
              </w:rPr>
            </w:pPr>
            <w:r w:rsidRPr="00A6597B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A6597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DBE19E3" w14:textId="77777777" w:rsidR="00A3308F" w:rsidRDefault="00A3308F">
      <w:pPr>
        <w:tabs>
          <w:tab w:val="left" w:pos="709"/>
          <w:tab w:val="left" w:pos="5245"/>
        </w:tabs>
        <w:spacing w:before="120"/>
        <w:rPr>
          <w:rFonts w:ascii="Calibri" w:eastAsia="Calibri" w:hAnsi="Calibri" w:cs="Calibri"/>
        </w:rPr>
      </w:pPr>
    </w:p>
    <w:p w14:paraId="57264766" w14:textId="4BAD772E" w:rsidR="00A3308F" w:rsidRDefault="001D4CB7" w:rsidP="001D4CB7">
      <w:pPr>
        <w:tabs>
          <w:tab w:val="left" w:pos="5245"/>
        </w:tabs>
        <w:spacing w:after="0"/>
        <w:ind w:left="720"/>
        <w:jc w:val="both"/>
        <w:rPr>
          <w:rFonts w:ascii="Calibri" w:eastAsia="Calibri" w:hAnsi="Calibri" w:cs="Calibri"/>
        </w:rPr>
      </w:pPr>
      <w:r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28DF6E2" w14:textId="77777777" w:rsidR="00A3308F" w:rsidRDefault="00A3308F">
      <w:pPr>
        <w:tabs>
          <w:tab w:val="left" w:pos="5245"/>
        </w:tabs>
        <w:spacing w:after="160"/>
        <w:ind w:left="720"/>
        <w:jc w:val="both"/>
        <w:rPr>
          <w:rFonts w:ascii="Calibri" w:eastAsia="Calibri" w:hAnsi="Calibri" w:cs="Calibri"/>
        </w:rPr>
      </w:pPr>
    </w:p>
    <w:p w14:paraId="4B452C58" w14:textId="77777777" w:rsidR="00A3308F" w:rsidRDefault="007A5363">
      <w:pPr>
        <w:numPr>
          <w:ilvl w:val="0"/>
          <w:numId w:val="1"/>
        </w:numPr>
        <w:tabs>
          <w:tab w:val="left" w:pos="5245"/>
        </w:tabs>
        <w:spacing w:before="160" w:after="120" w:line="240" w:lineRule="auto"/>
        <w:ind w:left="714" w:hanging="357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Limit</w:t>
      </w:r>
    </w:p>
    <w:p w14:paraId="37C309B4" w14:textId="77777777" w:rsidR="00A3308F" w:rsidRDefault="00A3308F">
      <w:pPr>
        <w:tabs>
          <w:tab w:val="left" w:pos="5245"/>
        </w:tabs>
        <w:spacing w:after="0"/>
        <w:ind w:left="720"/>
        <w:jc w:val="both"/>
        <w:rPr>
          <w:rFonts w:ascii="Calibri" w:eastAsia="Calibri" w:hAnsi="Calibri" w:cs="Calibri"/>
        </w:rPr>
      </w:pPr>
    </w:p>
    <w:p w14:paraId="50582125" w14:textId="77777777" w:rsidR="00A3308F" w:rsidRDefault="00A3308F">
      <w:pPr>
        <w:keepNext/>
        <w:tabs>
          <w:tab w:val="left" w:pos="5245"/>
        </w:tabs>
        <w:spacing w:after="0" w:line="240" w:lineRule="auto"/>
        <w:jc w:val="center"/>
        <w:rPr>
          <w:rFonts w:ascii="Calibri" w:eastAsia="Calibri" w:hAnsi="Calibri" w:cs="Calibri"/>
          <w:i/>
        </w:rPr>
      </w:pPr>
    </w:p>
    <w:p w14:paraId="5FFC71B7" w14:textId="50431E06" w:rsidR="00A3308F" w:rsidRDefault="001D4CB7" w:rsidP="001D4CB7">
      <w:pPr>
        <w:tabs>
          <w:tab w:val="left" w:pos="5245"/>
        </w:tabs>
        <w:spacing w:after="0"/>
        <w:ind w:left="720"/>
        <w:jc w:val="both"/>
        <w:rPr>
          <w:rFonts w:ascii="Calibri" w:eastAsia="Calibri" w:hAnsi="Calibri" w:cs="Calibri"/>
          <w:i/>
        </w:rPr>
      </w:pPr>
      <w:r w:rsidRPr="00034CA5">
        <w:rPr>
          <w:rFonts w:ascii="Calibri" w:eastAsia="Calibri" w:hAnsi="Calibri" w:cs="Calibri"/>
          <w:sz w:val="24"/>
          <w:szCs w:val="24"/>
          <w:highlight w:val="black"/>
        </w:rPr>
        <w:t>xxxxxxxx</w:t>
      </w:r>
      <w:r w:rsidRPr="00034CA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2A35B2F" w14:textId="77777777" w:rsidR="00A3308F" w:rsidRDefault="00A3308F">
      <w:pPr>
        <w:tabs>
          <w:tab w:val="left" w:pos="5245"/>
        </w:tabs>
        <w:spacing w:after="0"/>
        <w:ind w:left="720"/>
        <w:jc w:val="both"/>
        <w:rPr>
          <w:rFonts w:ascii="Calibri" w:eastAsia="Calibri" w:hAnsi="Calibri" w:cs="Calibri"/>
          <w:i/>
        </w:rPr>
      </w:pPr>
    </w:p>
    <w:p w14:paraId="7FEE14E1" w14:textId="77777777" w:rsidR="00A3308F" w:rsidRDefault="00A3308F">
      <w:pPr>
        <w:spacing w:before="120" w:after="0" w:line="240" w:lineRule="auto"/>
        <w:jc w:val="both"/>
        <w:rPr>
          <w:rFonts w:ascii="Calibri" w:eastAsia="Calibri" w:hAnsi="Calibri" w:cs="Calibri"/>
        </w:rPr>
      </w:pPr>
    </w:p>
    <w:p w14:paraId="6BA3F0D9" w14:textId="77777777" w:rsidR="00A3308F" w:rsidRDefault="00A3308F">
      <w:pPr>
        <w:tabs>
          <w:tab w:val="left" w:pos="5245"/>
        </w:tabs>
        <w:spacing w:before="120"/>
        <w:rPr>
          <w:rFonts w:ascii="Calibri" w:eastAsia="Calibri" w:hAnsi="Calibri" w:cs="Calibri"/>
        </w:rPr>
      </w:pPr>
    </w:p>
    <w:p w14:paraId="0B5BB171" w14:textId="77777777" w:rsidR="00A3308F" w:rsidRDefault="00A3308F">
      <w:pPr>
        <w:tabs>
          <w:tab w:val="left" w:pos="5245"/>
        </w:tabs>
        <w:spacing w:before="120" w:after="40"/>
        <w:rPr>
          <w:rFonts w:ascii="Calibri" w:eastAsia="Calibri" w:hAnsi="Calibri" w:cs="Calibri"/>
          <w:sz w:val="14"/>
          <w:szCs w:val="14"/>
        </w:rPr>
      </w:pPr>
    </w:p>
    <w:tbl>
      <w:tblPr>
        <w:tblStyle w:val="a2"/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A3308F" w14:paraId="72F821FD" w14:textId="77777777">
        <w:tc>
          <w:tcPr>
            <w:tcW w:w="4536" w:type="dxa"/>
          </w:tcPr>
          <w:p w14:paraId="57B2F239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035B10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C92CF0" w14:textId="38360992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 </w:t>
            </w:r>
            <w:r w:rsidRPr="001D4CB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Ostravě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dne </w:t>
            </w:r>
            <w:r w:rsidR="003473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16.10.2024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0ECDA88A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C77633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0E419E" w14:textId="2D8FE7D3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 Praze, dne </w:t>
            </w:r>
            <w:r w:rsidR="003B7C7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23.10.2024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</w:tr>
      <w:tr w:rsidR="00A3308F" w14:paraId="071F0F04" w14:textId="77777777">
        <w:tc>
          <w:tcPr>
            <w:tcW w:w="4536" w:type="dxa"/>
          </w:tcPr>
          <w:p w14:paraId="343CE4B7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Pojišťovnu:</w:t>
            </w:r>
          </w:p>
        </w:tc>
        <w:tc>
          <w:tcPr>
            <w:tcW w:w="4536" w:type="dxa"/>
          </w:tcPr>
          <w:p w14:paraId="1F1F196C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Držitele</w:t>
            </w:r>
          </w:p>
        </w:tc>
      </w:tr>
      <w:tr w:rsidR="00A3308F" w14:paraId="75934C53" w14:textId="77777777">
        <w:tc>
          <w:tcPr>
            <w:tcW w:w="4536" w:type="dxa"/>
          </w:tcPr>
          <w:p w14:paraId="4D8FCA91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05B0CC5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005B137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56C680A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AE03867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4536" w:type="dxa"/>
          </w:tcPr>
          <w:p w14:paraId="46E0890E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EF6BC6C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AA74902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EA8C066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AE9C764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A3308F" w14:paraId="2930AF3D" w14:textId="77777777">
        <w:tc>
          <w:tcPr>
            <w:tcW w:w="4536" w:type="dxa"/>
          </w:tcPr>
          <w:p w14:paraId="2EE3F5E1" w14:textId="77777777" w:rsidR="00A3308F" w:rsidRDefault="007A5363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Ing. Antonín Klimša, MBA</w:t>
            </w:r>
          </w:p>
          <w:p w14:paraId="7A5C779A" w14:textId="3D18E06E" w:rsidR="00A3308F" w:rsidRDefault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 w:rsidR="007A536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ýkonný ředitel</w:t>
            </w:r>
          </w:p>
        </w:tc>
        <w:tc>
          <w:tcPr>
            <w:tcW w:w="4536" w:type="dxa"/>
          </w:tcPr>
          <w:p w14:paraId="5C5A8689" w14:textId="77777777" w:rsidR="001D4CB7" w:rsidRDefault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34CA5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034CA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6E21FE96" w14:textId="3CF34994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A3308F" w14:paraId="202BDB55" w14:textId="77777777">
        <w:tc>
          <w:tcPr>
            <w:tcW w:w="4536" w:type="dxa"/>
          </w:tcPr>
          <w:p w14:paraId="4BBF7C9E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RBP, zdravotní pojišťovna </w:t>
            </w:r>
          </w:p>
        </w:tc>
        <w:tc>
          <w:tcPr>
            <w:tcW w:w="4536" w:type="dxa"/>
          </w:tcPr>
          <w:p w14:paraId="0C1CA1DA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  <w:p w14:paraId="4179E39D" w14:textId="77777777" w:rsidR="00A3308F" w:rsidRDefault="007A5363">
            <w:pPr>
              <w:spacing w:before="6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ROCHE REGISTRATION GmbH</w:t>
            </w:r>
          </w:p>
          <w:p w14:paraId="7C1DD972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A3308F" w14:paraId="52882235" w14:textId="77777777">
        <w:tc>
          <w:tcPr>
            <w:tcW w:w="4536" w:type="dxa"/>
          </w:tcPr>
          <w:p w14:paraId="4D8A1B87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4EE71B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C04C136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D751C9E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0D7B7BC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EB07512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A3308F" w14:paraId="695F72AC" w14:textId="77777777">
        <w:tc>
          <w:tcPr>
            <w:tcW w:w="4536" w:type="dxa"/>
          </w:tcPr>
          <w:p w14:paraId="4B953008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D8A822" w14:textId="77777777" w:rsidR="001D4CB7" w:rsidRDefault="001D4CB7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34CA5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xxxxxxxx</w:t>
            </w:r>
            <w:r w:rsidRPr="00034CA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5361C8C1" w14:textId="61E4A69C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A3308F" w14:paraId="007946E0" w14:textId="77777777">
        <w:tc>
          <w:tcPr>
            <w:tcW w:w="4536" w:type="dxa"/>
          </w:tcPr>
          <w:p w14:paraId="0DBF132B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4F1490" w14:textId="77777777" w:rsidR="00A3308F" w:rsidRDefault="007A5363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  <w:p w14:paraId="52D4BE24" w14:textId="77777777" w:rsidR="00A3308F" w:rsidRDefault="007A5363">
            <w:pPr>
              <w:spacing w:before="6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 ROCHE REGISTRATION GmbH</w:t>
            </w:r>
          </w:p>
          <w:p w14:paraId="468F3F39" w14:textId="77777777" w:rsidR="00A3308F" w:rsidRDefault="00A3308F">
            <w:pPr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47A0B8B2" w14:textId="77777777" w:rsidR="00A3308F" w:rsidRDefault="00A3308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A3308F" w:rsidSect="00034CA5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9117A" w14:textId="77777777" w:rsidR="00C6662F" w:rsidRDefault="00C6662F">
      <w:pPr>
        <w:spacing w:after="0" w:line="240" w:lineRule="auto"/>
      </w:pPr>
      <w:r>
        <w:separator/>
      </w:r>
    </w:p>
  </w:endnote>
  <w:endnote w:type="continuationSeparator" w:id="0">
    <w:p w14:paraId="1A9F07E3" w14:textId="77777777" w:rsidR="00C6662F" w:rsidRDefault="00C6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27173" w14:textId="77777777" w:rsidR="00A3308F" w:rsidRDefault="007A5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  <w:fldChar w:fldCharType="begin"/>
    </w:r>
    <w:r>
      <w:rPr>
        <w:rFonts w:eastAsia="Times New Roman" w:cs="Times New Roman"/>
        <w:color w:val="000000"/>
        <w:sz w:val="18"/>
        <w:szCs w:val="18"/>
      </w:rPr>
      <w:instrText>PAGE</w:instrText>
    </w:r>
    <w:r>
      <w:rPr>
        <w:rFonts w:eastAsia="Times New Roman" w:cs="Times New Roman"/>
        <w:color w:val="000000"/>
        <w:sz w:val="18"/>
        <w:szCs w:val="18"/>
      </w:rPr>
      <w:fldChar w:fldCharType="separate"/>
    </w:r>
    <w:r w:rsidR="00312B70">
      <w:rPr>
        <w:rFonts w:eastAsia="Times New Roman" w:cs="Times New Roman"/>
        <w:noProof/>
        <w:color w:val="000000"/>
        <w:sz w:val="18"/>
        <w:szCs w:val="18"/>
      </w:rPr>
      <w:t>1</w:t>
    </w:r>
    <w:r>
      <w:rPr>
        <w:rFonts w:eastAsia="Times New Roman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3877C" w14:textId="77777777" w:rsidR="00C6662F" w:rsidRDefault="00C6662F">
      <w:pPr>
        <w:spacing w:after="0" w:line="240" w:lineRule="auto"/>
      </w:pPr>
      <w:r>
        <w:separator/>
      </w:r>
    </w:p>
  </w:footnote>
  <w:footnote w:type="continuationSeparator" w:id="0">
    <w:p w14:paraId="3C697A62" w14:textId="77777777" w:rsidR="00C6662F" w:rsidRDefault="00C6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3554B" w14:textId="77777777" w:rsidR="00A3308F" w:rsidRDefault="007A5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Helvetica Neue" w:eastAsia="Helvetica Neue" w:hAnsi="Helvetica Neue" w:cs="Helvetica Neue"/>
        <w:color w:val="000000"/>
        <w:sz w:val="20"/>
        <w:szCs w:val="20"/>
        <w:highlight w:val="white"/>
      </w:rPr>
    </w:pPr>
    <w:r>
      <w:rPr>
        <w:rFonts w:eastAsia="Times New Roman" w:cs="Times New Roman"/>
        <w:color w:val="000000"/>
      </w:rPr>
      <w:t xml:space="preserve">Číslo smlouvy: </w:t>
    </w:r>
    <w:r>
      <w:rPr>
        <w:rFonts w:ascii="Arial" w:eastAsia="Arial" w:hAnsi="Arial" w:cs="Arial"/>
        <w:color w:val="222222"/>
        <w:sz w:val="20"/>
        <w:szCs w:val="20"/>
      </w:rPr>
      <w:t>22-0170</w:t>
    </w:r>
  </w:p>
  <w:p w14:paraId="063C08DF" w14:textId="77777777" w:rsidR="00A3308F" w:rsidRDefault="007A53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  <w:highlight w:val="white"/>
      </w:rPr>
      <w:t>Dodatek č. 1</w:t>
    </w:r>
  </w:p>
  <w:p w14:paraId="482D18B2" w14:textId="77777777" w:rsidR="00A3308F" w:rsidRDefault="00A330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01503"/>
    <w:multiLevelType w:val="multilevel"/>
    <w:tmpl w:val="79C01E46"/>
    <w:lvl w:ilvl="0">
      <w:start w:val="1"/>
      <w:numFmt w:val="decimal"/>
      <w:pStyle w:val="CMSANMainHeading"/>
      <w:lvlText w:val="%1."/>
      <w:lvlJc w:val="left"/>
      <w:pPr>
        <w:ind w:left="720" w:hanging="360"/>
      </w:pPr>
    </w:lvl>
    <w:lvl w:ilvl="1">
      <w:start w:val="1"/>
      <w:numFmt w:val="lowerLetter"/>
      <w:pStyle w:val="CMSANHeading1"/>
      <w:lvlText w:val="%2."/>
      <w:lvlJc w:val="left"/>
      <w:pPr>
        <w:ind w:left="1440" w:hanging="360"/>
      </w:pPr>
    </w:lvl>
    <w:lvl w:ilvl="2">
      <w:start w:val="1"/>
      <w:numFmt w:val="lowerRoman"/>
      <w:pStyle w:val="CMSANHeading2"/>
      <w:lvlText w:val="%3."/>
      <w:lvlJc w:val="right"/>
      <w:pPr>
        <w:ind w:left="2160" w:hanging="180"/>
      </w:pPr>
    </w:lvl>
    <w:lvl w:ilvl="3">
      <w:start w:val="1"/>
      <w:numFmt w:val="decimal"/>
      <w:pStyle w:val="CMSANHeading3"/>
      <w:lvlText w:val="%4."/>
      <w:lvlJc w:val="left"/>
      <w:pPr>
        <w:ind w:left="2880" w:hanging="360"/>
      </w:pPr>
    </w:lvl>
    <w:lvl w:ilvl="4">
      <w:start w:val="1"/>
      <w:numFmt w:val="lowerLetter"/>
      <w:pStyle w:val="CMSANHeading4"/>
      <w:lvlText w:val="%5."/>
      <w:lvlJc w:val="left"/>
      <w:pPr>
        <w:ind w:left="3600" w:hanging="360"/>
      </w:pPr>
    </w:lvl>
    <w:lvl w:ilvl="5">
      <w:start w:val="1"/>
      <w:numFmt w:val="lowerRoman"/>
      <w:pStyle w:val="CMSANHeading5"/>
      <w:lvlText w:val="%6."/>
      <w:lvlJc w:val="right"/>
      <w:pPr>
        <w:ind w:left="4320" w:hanging="180"/>
      </w:pPr>
    </w:lvl>
    <w:lvl w:ilvl="6">
      <w:start w:val="1"/>
      <w:numFmt w:val="decimal"/>
      <w:pStyle w:val="CMSANHeading6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95F72"/>
    <w:multiLevelType w:val="multilevel"/>
    <w:tmpl w:val="C204A1C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ind w:left="851" w:hanging="851"/>
      </w:pPr>
    </w:lvl>
    <w:lvl w:ilvl="2">
      <w:start w:val="1"/>
      <w:numFmt w:val="decimal"/>
      <w:lvlText w:val="%1%2.%3"/>
      <w:lvlJc w:val="left"/>
      <w:pPr>
        <w:ind w:left="851" w:hanging="851"/>
      </w:pPr>
      <w:rPr>
        <w:b w:val="0"/>
        <w:i w:val="0"/>
      </w:rPr>
    </w:lvl>
    <w:lvl w:ilvl="3">
      <w:start w:val="1"/>
      <w:numFmt w:val="decimal"/>
      <w:lvlText w:val="%2.%3.%4"/>
      <w:lvlJc w:val="left"/>
      <w:pPr>
        <w:ind w:left="1701" w:hanging="850"/>
      </w:pPr>
    </w:lvl>
    <w:lvl w:ilvl="4">
      <w:start w:val="1"/>
      <w:numFmt w:val="lowerLetter"/>
      <w:lvlText w:val="(%5)"/>
      <w:lvlJc w:val="left"/>
      <w:pPr>
        <w:ind w:left="2552" w:hanging="851"/>
      </w:pPr>
    </w:lvl>
    <w:lvl w:ilvl="5">
      <w:start w:val="1"/>
      <w:numFmt w:val="lowerRoman"/>
      <w:lvlText w:val="(%6)"/>
      <w:lvlJc w:val="left"/>
      <w:pPr>
        <w:ind w:left="3402" w:hanging="850"/>
      </w:pPr>
    </w:lvl>
    <w:lvl w:ilvl="6">
      <w:start w:val="27"/>
      <w:numFmt w:val="lowerLetter"/>
      <w:lvlText w:val="(%7)"/>
      <w:lvlJc w:val="left"/>
      <w:pPr>
        <w:ind w:left="4253" w:hanging="85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21579267">
    <w:abstractNumId w:val="0"/>
  </w:num>
  <w:num w:numId="2" w16cid:durableId="87400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F"/>
    <w:rsid w:val="00034CA5"/>
    <w:rsid w:val="00035477"/>
    <w:rsid w:val="001D4CB7"/>
    <w:rsid w:val="00312B70"/>
    <w:rsid w:val="003473FC"/>
    <w:rsid w:val="00397BA6"/>
    <w:rsid w:val="003B7C7E"/>
    <w:rsid w:val="007A5363"/>
    <w:rsid w:val="00A3308F"/>
    <w:rsid w:val="00A51F41"/>
    <w:rsid w:val="00C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7B42"/>
  <w15:docId w15:val="{30EDD841-2F71-4988-AC97-3099511C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D49"/>
    <w:rPr>
      <w:rFonts w:eastAsiaTheme="minorHAnsi" w:cstheme="minorBidi"/>
      <w:lang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MSANHeading1">
    <w:name w:val="CMS AN Heading 1"/>
    <w:next w:val="CMSANHeading2"/>
    <w:uiPriority w:val="1"/>
    <w:qFormat/>
    <w:rsid w:val="00CE1D49"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eastAsiaTheme="minorHAnsi" w:cs="Segoe Script"/>
      <w:b/>
      <w:caps/>
      <w:color w:val="000000"/>
      <w:lang w:val="en-GB" w:eastAsia="en-US"/>
    </w:rPr>
  </w:style>
  <w:style w:type="paragraph" w:customStyle="1" w:styleId="CMSANHeading2">
    <w:name w:val="CMS AN Heading 2"/>
    <w:uiPriority w:val="1"/>
    <w:qFormat/>
    <w:rsid w:val="00CE1D49"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eastAsiaTheme="minorHAnsi" w:cs="Segoe Script"/>
      <w:color w:val="000000"/>
      <w:lang w:val="en-GB" w:eastAsia="en-US"/>
    </w:rPr>
  </w:style>
  <w:style w:type="paragraph" w:customStyle="1" w:styleId="CMSANHeading3">
    <w:name w:val="CMS AN Heading 3"/>
    <w:uiPriority w:val="1"/>
    <w:qFormat/>
    <w:rsid w:val="00CE1D49"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eastAsiaTheme="minorHAnsi" w:cs="Segoe Script"/>
      <w:color w:val="000000"/>
      <w:lang w:val="en-GB" w:eastAsia="en-US"/>
    </w:rPr>
  </w:style>
  <w:style w:type="paragraph" w:customStyle="1" w:styleId="CMSANHeading4">
    <w:name w:val="CMS AN Heading 4"/>
    <w:uiPriority w:val="1"/>
    <w:qFormat/>
    <w:rsid w:val="00CE1D49"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/>
      <w:lang w:val="en-GB" w:eastAsia="en-US"/>
    </w:rPr>
  </w:style>
  <w:style w:type="paragraph" w:customStyle="1" w:styleId="CMSANHeading5">
    <w:name w:val="CMS AN Heading 5"/>
    <w:uiPriority w:val="1"/>
    <w:qFormat/>
    <w:rsid w:val="00CE1D49"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/>
      <w:lang w:val="en-GB" w:eastAsia="en-US"/>
    </w:rPr>
  </w:style>
  <w:style w:type="paragraph" w:customStyle="1" w:styleId="CMSANHeading6">
    <w:name w:val="CMS AN Heading 6"/>
    <w:uiPriority w:val="1"/>
    <w:qFormat/>
    <w:rsid w:val="00CE1D49"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/>
      <w:lang w:val="en-GB" w:eastAsia="en-US"/>
    </w:rPr>
  </w:style>
  <w:style w:type="paragraph" w:customStyle="1" w:styleId="CMSANMainHeading">
    <w:name w:val="CMS AN Main Heading"/>
    <w:next w:val="CMSANHeading1"/>
    <w:rsid w:val="00CE1D49"/>
    <w:pPr>
      <w:pageBreakBefore/>
      <w:numPr>
        <w:numId w:val="1"/>
      </w:numPr>
      <w:spacing w:after="240" w:line="300" w:lineRule="atLeast"/>
      <w:jc w:val="center"/>
      <w:outlineLvl w:val="0"/>
    </w:pPr>
    <w:rPr>
      <w:rFonts w:eastAsiaTheme="minorHAnsi"/>
      <w:b/>
      <w:caps/>
      <w:color w:val="000000"/>
      <w:lang w:val="en-GB" w:eastAsia="en-US"/>
    </w:rPr>
  </w:style>
  <w:style w:type="numbering" w:customStyle="1" w:styleId="CMS-ANHeading">
    <w:name w:val="CMS-AN Heading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E1D4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Pr>
      <w:rFonts w:ascii="Times New Roman" w:eastAsiaTheme="minorHAnsi" w:hAnsi="Times New Roman" w:cstheme="minorBidi"/>
      <w:sz w:val="22"/>
      <w:szCs w:val="22"/>
      <w:lang w:eastAsia="en-US"/>
    </w:rPr>
  </w:style>
  <w:style w:type="table" w:customStyle="1" w:styleId="TableGrid1">
    <w:name w:val="Table Grid1"/>
    <w:basedOn w:val="Normlntabulka"/>
    <w:next w:val="Mkatabulky"/>
    <w:uiPriority w:val="59"/>
    <w:rsid w:val="00D446B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Byg0J14vJEGFFpuVeKh9r97jQ==">CgMxLjAyCGguZ2pkZ3hzMgloLjMwajB6bGw4AHIhMUhtX0xyMWFWaDJlM05paS1STFNsSTd2SUl0eklNbmVU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Mikula Pavel</cp:lastModifiedBy>
  <cp:revision>7</cp:revision>
  <dcterms:created xsi:type="dcterms:W3CDTF">2024-09-17T09:40:00Z</dcterms:created>
  <dcterms:modified xsi:type="dcterms:W3CDTF">2024-11-05T09:25:00Z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>_NewReviewCycle</vt:lpwstr>
  </property>
  <property fmtid="{D5CDD505-2E9C-101B-9397-08002B2CF9AE}" pid="11" name="Order">
    <vt:lpwstr>4187400</vt:lpwstr>
  </property>
  <property fmtid="{D5CDD505-2E9C-101B-9397-08002B2CF9AE}" pid="12" name="_dlc_policyId">
    <vt:lpwstr>/team/2012560f/cas_20/Contract Approval System</vt:lpwstr>
  </property>
  <property fmtid="{D5CDD505-2E9C-101B-9397-08002B2CF9AE}" pid="1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14" name="Contract status">
    <vt:lpwstr>Contract Approved</vt:lpwstr>
  </property>
  <property fmtid="{D5CDD505-2E9C-101B-9397-08002B2CF9AE}" pid="15" name="WorkflowChangePath">
    <vt:lpwstr>ab7b2de6-c7fe-40bb-86ce-17f2193197ef,4;ab7b2de6-c7fe-40bb-86ce-17f2193197ef,5;ab7b2de6-c7fe-40bb-86ce-17f2193197ef,5;ab7b2de6-c7fe-40bb-86ce-17f2193197ef,6;ab7b2de6-c7fe-40bb-86ce-17f2193197ef,6;ab7b2de6-c7fe-40bb-86ce-17f2193197ef,7;f588d258-645e-45f1-b9</vt:lpwstr>
  </property>
  <property fmtid="{D5CDD505-2E9C-101B-9397-08002B2CF9AE}" pid="16" name="Approvals">
    <vt:lpwstr>(Procurement)Jaque, Claudio {MWJC~PRAGUE}: Approve</vt:lpwstr>
  </property>
  <property fmtid="{D5CDD505-2E9C-101B-9397-08002B2CF9AE}" pid="17" name="Duration">
    <vt:lpwstr>81,7833333333333</vt:lpwstr>
  </property>
</Properties>
</file>