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E6" w:rsidRDefault="001E6879">
      <w:pPr>
        <w:pStyle w:val="normal1"/>
        <w:rPr>
          <w:b/>
          <w:sz w:val="20"/>
          <w:szCs w:val="20"/>
        </w:rPr>
      </w:pPr>
      <w:r>
        <w:rPr>
          <w:b/>
          <w:sz w:val="20"/>
          <w:szCs w:val="20"/>
        </w:rPr>
        <w:t>Národní filmový archiv</w:t>
      </w:r>
    </w:p>
    <w:p w:rsidR="00646FE6" w:rsidRDefault="001E6879">
      <w:pPr>
        <w:pStyle w:val="normal1"/>
        <w:rPr>
          <w:sz w:val="20"/>
          <w:szCs w:val="20"/>
        </w:rPr>
      </w:pPr>
      <w:r>
        <w:rPr>
          <w:sz w:val="20"/>
          <w:szCs w:val="20"/>
        </w:rPr>
        <w:t>příspěvková organizace zřízená Ministerstvem kultury ČR</w:t>
      </w:r>
    </w:p>
    <w:p w:rsidR="00646FE6" w:rsidRDefault="001E6879">
      <w:pPr>
        <w:pStyle w:val="normal1"/>
        <w:rPr>
          <w:sz w:val="20"/>
          <w:szCs w:val="20"/>
        </w:rPr>
      </w:pPr>
      <w:r>
        <w:rPr>
          <w:sz w:val="20"/>
          <w:szCs w:val="20"/>
        </w:rPr>
        <w:t>se sídlem: Závišova 502/5, 140 00 Praha 4 - Nusle</w:t>
      </w:r>
    </w:p>
    <w:p w:rsidR="00646FE6" w:rsidRDefault="001E6879">
      <w:pPr>
        <w:pStyle w:val="normal1"/>
        <w:rPr>
          <w:sz w:val="20"/>
          <w:szCs w:val="20"/>
        </w:rPr>
      </w:pPr>
      <w:r>
        <w:rPr>
          <w:sz w:val="20"/>
          <w:szCs w:val="20"/>
        </w:rPr>
        <w:t>IČ: 00057266</w:t>
      </w:r>
    </w:p>
    <w:p w:rsidR="00646FE6" w:rsidRDefault="001E6879">
      <w:pPr>
        <w:pStyle w:val="normal1"/>
        <w:rPr>
          <w:sz w:val="20"/>
          <w:szCs w:val="20"/>
          <w:highlight w:val="yellow"/>
        </w:rPr>
      </w:pPr>
      <w:r>
        <w:rPr>
          <w:sz w:val="20"/>
          <w:szCs w:val="20"/>
        </w:rPr>
        <w:t xml:space="preserve">Zastoupený: </w:t>
      </w:r>
      <w:r>
        <w:rPr>
          <w:sz w:val="20"/>
          <w:szCs w:val="20"/>
          <w:highlight w:val="yellow"/>
        </w:rPr>
        <w:t>XXXXXXXXXXXXXXXXX</w:t>
      </w:r>
    </w:p>
    <w:p w:rsidR="00646FE6" w:rsidRDefault="001E6879">
      <w:pPr>
        <w:pStyle w:val="normal1"/>
        <w:rPr>
          <w:sz w:val="20"/>
          <w:szCs w:val="20"/>
          <w:highlight w:val="yellow"/>
        </w:rPr>
      </w:pPr>
      <w:r>
        <w:rPr>
          <w:sz w:val="20"/>
          <w:szCs w:val="20"/>
        </w:rPr>
        <w:t xml:space="preserve">číslo účtu: </w:t>
      </w:r>
      <w:r>
        <w:rPr>
          <w:sz w:val="20"/>
          <w:szCs w:val="20"/>
          <w:highlight w:val="yellow"/>
        </w:rPr>
        <w:t>XXXXXXXXXXXXXXXXX</w:t>
      </w:r>
    </w:p>
    <w:p w:rsidR="00646FE6" w:rsidRDefault="001E6879">
      <w:pPr>
        <w:pStyle w:val="normal1"/>
        <w:rPr>
          <w:sz w:val="20"/>
          <w:szCs w:val="20"/>
        </w:rPr>
      </w:pPr>
      <w:r>
        <w:rPr>
          <w:sz w:val="20"/>
          <w:szCs w:val="20"/>
        </w:rPr>
        <w:t>(dále jen „</w:t>
      </w:r>
      <w:r>
        <w:rPr>
          <w:b/>
          <w:sz w:val="20"/>
          <w:szCs w:val="20"/>
        </w:rPr>
        <w:t>NFA</w:t>
      </w:r>
      <w:r>
        <w:rPr>
          <w:sz w:val="20"/>
          <w:szCs w:val="20"/>
        </w:rPr>
        <w:t>“)</w:t>
      </w:r>
    </w:p>
    <w:p w:rsidR="00646FE6" w:rsidRDefault="00646FE6">
      <w:pPr>
        <w:pStyle w:val="normal1"/>
        <w:rPr>
          <w:sz w:val="20"/>
          <w:szCs w:val="20"/>
        </w:rPr>
      </w:pPr>
    </w:p>
    <w:p w:rsidR="00646FE6" w:rsidRDefault="001E6879">
      <w:pPr>
        <w:pStyle w:val="normal1"/>
        <w:rPr>
          <w:sz w:val="20"/>
          <w:szCs w:val="20"/>
        </w:rPr>
      </w:pPr>
      <w:r>
        <w:rPr>
          <w:sz w:val="20"/>
          <w:szCs w:val="20"/>
        </w:rPr>
        <w:t>a</w:t>
      </w:r>
    </w:p>
    <w:p w:rsidR="00646FE6" w:rsidRDefault="00646FE6">
      <w:pPr>
        <w:pStyle w:val="normal1"/>
        <w:rPr>
          <w:sz w:val="20"/>
          <w:szCs w:val="20"/>
        </w:rPr>
      </w:pPr>
    </w:p>
    <w:p w:rsidR="00646FE6" w:rsidRDefault="001E6879">
      <w:pPr>
        <w:pStyle w:val="normal1"/>
        <w:rPr>
          <w:b/>
          <w:sz w:val="20"/>
          <w:szCs w:val="20"/>
        </w:rPr>
      </w:pPr>
      <w:r>
        <w:rPr>
          <w:b/>
          <w:sz w:val="20"/>
          <w:szCs w:val="20"/>
        </w:rPr>
        <w:t>Muzeum Karla Zemana z.ú.</w:t>
      </w:r>
    </w:p>
    <w:p w:rsidR="00646FE6" w:rsidRDefault="001E6879">
      <w:pPr>
        <w:pStyle w:val="normal1"/>
        <w:rPr>
          <w:sz w:val="20"/>
          <w:szCs w:val="20"/>
        </w:rPr>
      </w:pPr>
      <w:r>
        <w:rPr>
          <w:sz w:val="20"/>
          <w:szCs w:val="20"/>
        </w:rPr>
        <w:t>se sídlem: Saská 3, 118 00 Praha 1- Malá Strana</w:t>
      </w:r>
    </w:p>
    <w:p w:rsidR="00646FE6" w:rsidRDefault="001E6879">
      <w:pPr>
        <w:pStyle w:val="normal1"/>
        <w:rPr>
          <w:sz w:val="20"/>
          <w:szCs w:val="20"/>
        </w:rPr>
      </w:pPr>
      <w:r>
        <w:rPr>
          <w:sz w:val="20"/>
          <w:szCs w:val="20"/>
        </w:rPr>
        <w:t>zapsaný v rejstříku ústavů vedeném u Městského soudu v Praze dne 26. 9. 2014, spisová značka U 86</w:t>
      </w:r>
    </w:p>
    <w:p w:rsidR="00646FE6" w:rsidRDefault="001E6879">
      <w:pPr>
        <w:pStyle w:val="normal1"/>
        <w:rPr>
          <w:sz w:val="20"/>
          <w:szCs w:val="20"/>
        </w:rPr>
      </w:pPr>
      <w:r>
        <w:rPr>
          <w:sz w:val="20"/>
          <w:szCs w:val="20"/>
        </w:rPr>
        <w:t>IČ: 03440524</w:t>
      </w:r>
    </w:p>
    <w:p w:rsidR="00646FE6" w:rsidRDefault="001E6879">
      <w:pPr>
        <w:pStyle w:val="normal1"/>
        <w:rPr>
          <w:sz w:val="20"/>
          <w:szCs w:val="20"/>
        </w:rPr>
      </w:pPr>
      <w:r>
        <w:rPr>
          <w:sz w:val="20"/>
          <w:szCs w:val="20"/>
        </w:rPr>
        <w:t>DIČ: CZ03440524</w:t>
      </w:r>
    </w:p>
    <w:p w:rsidR="00646FE6" w:rsidRDefault="001E6879">
      <w:pPr>
        <w:pStyle w:val="normal1"/>
        <w:rPr>
          <w:sz w:val="20"/>
          <w:szCs w:val="20"/>
          <w:highlight w:val="yellow"/>
        </w:rPr>
      </w:pPr>
      <w:r>
        <w:rPr>
          <w:sz w:val="20"/>
          <w:szCs w:val="20"/>
        </w:rPr>
        <w:t xml:space="preserve">zastoupený: </w:t>
      </w:r>
      <w:r>
        <w:rPr>
          <w:sz w:val="20"/>
          <w:szCs w:val="20"/>
          <w:highlight w:val="yellow"/>
        </w:rPr>
        <w:t>XXXXXXXXXXXXXXXXX</w:t>
      </w:r>
    </w:p>
    <w:p w:rsidR="00646FE6" w:rsidRDefault="001E6879">
      <w:pPr>
        <w:pStyle w:val="normal1"/>
        <w:rPr>
          <w:sz w:val="20"/>
          <w:szCs w:val="20"/>
          <w:highlight w:val="yellow"/>
        </w:rPr>
      </w:pPr>
      <w:r>
        <w:rPr>
          <w:sz w:val="20"/>
          <w:szCs w:val="20"/>
        </w:rPr>
        <w:t xml:space="preserve">číslo účtu: </w:t>
      </w:r>
      <w:r>
        <w:rPr>
          <w:sz w:val="20"/>
          <w:szCs w:val="20"/>
          <w:highlight w:val="yellow"/>
        </w:rPr>
        <w:t>XXXXXXXXXXXXXXXXX</w:t>
      </w:r>
    </w:p>
    <w:p w:rsidR="00646FE6" w:rsidRDefault="001E6879">
      <w:pPr>
        <w:pStyle w:val="normal1"/>
        <w:rPr>
          <w:sz w:val="20"/>
          <w:szCs w:val="20"/>
        </w:rPr>
      </w:pPr>
      <w:r>
        <w:rPr>
          <w:sz w:val="20"/>
          <w:szCs w:val="20"/>
        </w:rPr>
        <w:t>(na druhé straně; dál</w:t>
      </w:r>
      <w:r>
        <w:rPr>
          <w:sz w:val="20"/>
          <w:szCs w:val="20"/>
        </w:rPr>
        <w:t>e jen „</w:t>
      </w:r>
      <w:r>
        <w:rPr>
          <w:b/>
          <w:sz w:val="20"/>
          <w:szCs w:val="20"/>
        </w:rPr>
        <w:t>MKZ</w:t>
      </w:r>
      <w:r>
        <w:rPr>
          <w:sz w:val="20"/>
          <w:szCs w:val="20"/>
        </w:rPr>
        <w:t>“)</w:t>
      </w:r>
    </w:p>
    <w:p w:rsidR="00646FE6" w:rsidRDefault="00646FE6">
      <w:pPr>
        <w:pStyle w:val="normal1"/>
        <w:rPr>
          <w:sz w:val="20"/>
          <w:szCs w:val="20"/>
        </w:rPr>
      </w:pPr>
    </w:p>
    <w:p w:rsidR="00646FE6" w:rsidRDefault="001E6879">
      <w:pPr>
        <w:pStyle w:val="normal1"/>
        <w:rPr>
          <w:sz w:val="20"/>
          <w:szCs w:val="20"/>
        </w:rPr>
      </w:pPr>
      <w:r>
        <w:rPr>
          <w:sz w:val="20"/>
          <w:szCs w:val="20"/>
        </w:rPr>
        <w:t>uzavírají níže uvedeného dne, měsíce a roku tuto smlouvu (dále jen „</w:t>
      </w:r>
      <w:r>
        <w:rPr>
          <w:b/>
          <w:sz w:val="20"/>
          <w:szCs w:val="20"/>
        </w:rPr>
        <w:t>Smlouva</w:t>
      </w:r>
      <w:r>
        <w:rPr>
          <w:sz w:val="20"/>
          <w:szCs w:val="20"/>
        </w:rPr>
        <w:t>“)</w:t>
      </w:r>
    </w:p>
    <w:p w:rsidR="00646FE6" w:rsidRDefault="00646FE6">
      <w:pPr>
        <w:pStyle w:val="normal1"/>
        <w:rPr>
          <w:sz w:val="20"/>
          <w:szCs w:val="20"/>
        </w:rPr>
      </w:pPr>
    </w:p>
    <w:p w:rsidR="00646FE6" w:rsidRDefault="00646FE6">
      <w:pPr>
        <w:pStyle w:val="normal1"/>
        <w:rPr>
          <w:sz w:val="20"/>
          <w:szCs w:val="20"/>
        </w:rPr>
      </w:pPr>
    </w:p>
    <w:p w:rsidR="00646FE6" w:rsidRDefault="001E6879"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ZHOTOVENÍ DIGITÁLNÍCH KOPIÍ</w:t>
      </w:r>
    </w:p>
    <w:p w:rsidR="00646FE6" w:rsidRDefault="00646FE6">
      <w:pPr>
        <w:pStyle w:val="normal1"/>
        <w:rPr>
          <w:sz w:val="20"/>
          <w:szCs w:val="20"/>
        </w:rPr>
      </w:pPr>
    </w:p>
    <w:p w:rsidR="00646FE6" w:rsidRDefault="00646FE6">
      <w:pPr>
        <w:pStyle w:val="normal1"/>
        <w:rPr>
          <w:sz w:val="20"/>
          <w:szCs w:val="20"/>
        </w:rPr>
      </w:pPr>
    </w:p>
    <w:p w:rsidR="00646FE6" w:rsidRDefault="001E687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Úvodní ustanovení</w:t>
      </w:r>
    </w:p>
    <w:p w:rsidR="00646FE6" w:rsidRDefault="00646FE6">
      <w:pPr>
        <w:pStyle w:val="normal1"/>
        <w:rPr>
          <w:sz w:val="20"/>
          <w:szCs w:val="20"/>
        </w:rPr>
      </w:pPr>
    </w:p>
    <w:p w:rsidR="00646FE6" w:rsidRDefault="001E6879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color w:val="000000"/>
          <w:sz w:val="20"/>
          <w:szCs w:val="20"/>
        </w:rPr>
        <w:t xml:space="preserve">MKZ má zájem zajistit digitální restaurování </w:t>
      </w:r>
      <w:r>
        <w:rPr>
          <w:b/>
          <w:color w:val="000000"/>
          <w:sz w:val="20"/>
          <w:szCs w:val="20"/>
        </w:rPr>
        <w:t xml:space="preserve">celovečerních audiovizuálních děl </w:t>
      </w:r>
      <w:r>
        <w:rPr>
          <w:sz w:val="20"/>
          <w:szCs w:val="20"/>
          <w:highlight w:val="yellow"/>
        </w:rPr>
        <w:t>XXXXXXXXXXXXXXXXXXXXXXXXXXXXXXXXXXXXXXXXXXXXXXXXXXXXXXXXXXXXXXXXXXXXXXXXXXXXXXXXXXXXXXXXXXXXXXXXXXXXXXXXXXXXXXXXXXXXXXX</w:t>
      </w:r>
      <w:r>
        <w:rPr>
          <w:color w:val="000000"/>
          <w:sz w:val="20"/>
          <w:szCs w:val="20"/>
        </w:rPr>
        <w:t xml:space="preserve"> (dále jen jako „</w:t>
      </w:r>
      <w:r>
        <w:rPr>
          <w:b/>
          <w:color w:val="000000"/>
          <w:sz w:val="20"/>
          <w:szCs w:val="20"/>
        </w:rPr>
        <w:t>Filmy</w:t>
      </w:r>
      <w:r>
        <w:rPr>
          <w:color w:val="000000"/>
          <w:sz w:val="20"/>
          <w:szCs w:val="20"/>
        </w:rPr>
        <w:t>") v jejich obrazové i zvukové složce do výsledného tvaru odpovídajícího aktuálním požadavkům pro digitální kinopro</w:t>
      </w:r>
      <w:r>
        <w:rPr>
          <w:color w:val="000000"/>
          <w:sz w:val="20"/>
          <w:szCs w:val="20"/>
        </w:rPr>
        <w:t>jekci a další způsoby šíření dle současných technologických standardů. MKZ jakožto odvozený nositel oprávnění k užití Filmů na základě smluv s autory nebo dědici autorských práv k Filmům a dílům v něm audiovizuálně užitých bude následně Filmy na bázi jejic</w:t>
      </w:r>
      <w:r>
        <w:rPr>
          <w:color w:val="000000"/>
          <w:sz w:val="20"/>
          <w:szCs w:val="20"/>
        </w:rPr>
        <w:t>h digitálního záznamu, jenž budou výsledkem restaurování, užívat nebo k jejich užití poskytovat oprávnění třetím osobám.</w:t>
      </w:r>
    </w:p>
    <w:p w:rsidR="00646FE6" w:rsidRDefault="00646FE6">
      <w:pPr>
        <w:pStyle w:val="normal1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0"/>
          <w:szCs w:val="20"/>
        </w:rPr>
      </w:pPr>
    </w:p>
    <w:p w:rsidR="00646FE6" w:rsidRDefault="001E6879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NFA jako specializovaný archiv pro audiovizuální archiválie má ve své dispozici hmotné substráty (konkrétně zejména originální negativ</w:t>
      </w:r>
      <w:r>
        <w:rPr>
          <w:color w:val="000000"/>
          <w:sz w:val="20"/>
          <w:szCs w:val="20"/>
        </w:rPr>
        <w:t>y, duplikační pozitivy a pozitivní kombinované - tzv. distribuční kopie) Filmu, jakož i dokumentační materiály vztahující se k Filmům a využitelné pro účely jeho digitálního restaurování. Vzhledem k tomu, že práva výrobce zvukově obrazového záznamu týkajíc</w:t>
      </w:r>
      <w:r>
        <w:rPr>
          <w:color w:val="000000"/>
          <w:sz w:val="20"/>
          <w:szCs w:val="20"/>
        </w:rPr>
        <w:t>í se některých Filmů již uplynula, je užití zvukově obrazového záznamu těchto konkrétních Filmů také v souladu s ust. § 8 odst. 4 zák. č. 496/2012 Sb., o audiovizi, možné pouze na podkladě originálních nosičů, pokud jsou ve vlastnictví státu s příslušností</w:t>
      </w:r>
      <w:r>
        <w:rPr>
          <w:color w:val="000000"/>
          <w:sz w:val="20"/>
          <w:szCs w:val="20"/>
        </w:rPr>
        <w:t xml:space="preserve"> hospodaření NFA nebo s písemným souhlasem NFA.</w:t>
      </w:r>
      <w:r>
        <w:rPr>
          <w:color w:val="000000"/>
          <w:sz w:val="20"/>
          <w:szCs w:val="20"/>
        </w:rPr>
        <w:br/>
      </w:r>
    </w:p>
    <w:p w:rsidR="00646FE6" w:rsidRDefault="001E6879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Digitální restaurování bude probíhat tak, aby datová rozmnoženina Filmů, která bude jeho výsledkem, po technologické stránce vznikla na bázi nejméně poškozených a nejvhodnějších původních materiálů, jež zach</w:t>
      </w:r>
      <w:r>
        <w:rPr>
          <w:color w:val="000000"/>
          <w:sz w:val="20"/>
          <w:szCs w:val="20"/>
        </w:rPr>
        <w:t>ycují záznam Filmů a tak, aby po restaurátorské stránce odpovídala nejnovějším poznatkům</w:t>
      </w:r>
      <w:r>
        <w:rPr>
          <w:color w:val="000000"/>
          <w:sz w:val="20"/>
          <w:szCs w:val="20"/>
        </w:rPr>
        <w:br/>
        <w:t xml:space="preserve">a zkušenostem realizačního týmu, </w:t>
      </w:r>
      <w:r>
        <w:rPr>
          <w:sz w:val="20"/>
          <w:szCs w:val="20"/>
          <w:highlight w:val="yellow"/>
        </w:rPr>
        <w:t>XXXXXXXXXXXXXXXXXXXXXXXXXXXXXXXXXX</w:t>
      </w:r>
      <w:r>
        <w:rPr>
          <w:color w:val="000000"/>
          <w:sz w:val="20"/>
          <w:szCs w:val="20"/>
          <w:highlight w:val="yellow"/>
        </w:rPr>
        <w:t xml:space="preserve"> </w:t>
      </w:r>
      <w:r>
        <w:rPr>
          <w:color w:val="000000"/>
          <w:sz w:val="20"/>
          <w:szCs w:val="20"/>
        </w:rPr>
        <w:t xml:space="preserve">a původní obrazové podobě Filmů a dochovaným technologickým a zcela objektivním záznamům. </w:t>
      </w:r>
    </w:p>
    <w:p w:rsidR="00646FE6" w:rsidRDefault="00646FE6">
      <w:pPr>
        <w:pStyle w:val="normal1"/>
        <w:pBdr>
          <w:top w:val="nil"/>
          <w:left w:val="nil"/>
          <w:bottom w:val="nil"/>
          <w:right w:val="nil"/>
          <w:between w:val="nil"/>
        </w:pBdr>
        <w:ind w:left="913" w:hanging="699"/>
        <w:jc w:val="both"/>
        <w:rPr>
          <w:color w:val="000000"/>
          <w:sz w:val="20"/>
          <w:szCs w:val="20"/>
        </w:rPr>
      </w:pPr>
    </w:p>
    <w:p w:rsidR="00646FE6" w:rsidRDefault="00646FE6">
      <w:pPr>
        <w:pStyle w:val="normal1"/>
        <w:rPr>
          <w:sz w:val="20"/>
          <w:szCs w:val="20"/>
        </w:rPr>
      </w:pPr>
    </w:p>
    <w:p w:rsidR="00646FE6" w:rsidRDefault="001E687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Práva a povinnosti stran</w:t>
      </w:r>
    </w:p>
    <w:p w:rsidR="00646FE6" w:rsidRDefault="001E6879">
      <w:pPr>
        <w:pStyle w:val="normal1"/>
        <w:rPr>
          <w:sz w:val="20"/>
          <w:szCs w:val="20"/>
        </w:rPr>
      </w:pP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1905" distT="1905" distL="1905" distR="1905" hidden="0" layoutInCell="1" locked="0" relativeHeight="0" simplePos="0">
              <wp:simplePos x="0" y="0"/>
              <wp:positionH relativeFrom="page">
                <wp:posOffset>-11428</wp:posOffset>
              </wp:positionH>
              <wp:positionV relativeFrom="page">
                <wp:posOffset>621665</wp:posOffset>
              </wp:positionV>
              <wp:extent cx="635" cy="635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5640" y="3779640"/>
                        <a:ext cx="720" cy="72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sz w:val="20"/>
              <w:szCs w:val="20"/>
              <w:lang w:val="cs-CZ"/>
            </w:rPr>
            <w:drawing>
              <wp:anchor distT="1905" distB="1905" distL="1905" distR="1905" simplePos="0" relativeHeight="251658240" behindDoc="0" locked="0" layoutInCell="1" allowOverlap="1">
                <wp:simplePos x="0" y="0"/>
                <wp:positionH relativeFrom="page">
                  <wp:posOffset>-11428</wp:posOffset>
                </wp:positionH>
                <wp:positionV relativeFrom="page">
                  <wp:posOffset>621665</wp:posOffset>
                </wp:positionV>
                <wp:extent cx="635" cy="635"/>
                <wp:effectExtent l="0" t="0" r="0" b="0"/>
                <wp:wrapNone/>
                <wp:docPr id="1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4445" distT="3810" distL="3810" distR="3810" hidden="0" layoutInCell="1" locked="0" relativeHeight="0" simplePos="0">
              <wp:simplePos x="0" y="0"/>
              <wp:positionH relativeFrom="page">
                <wp:posOffset>-8888</wp:posOffset>
              </wp:positionH>
              <wp:positionV relativeFrom="page">
                <wp:posOffset>1791970</wp:posOffset>
              </wp:positionV>
              <wp:extent cx="635" cy="8875395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5640" y="0"/>
                        <a:ext cx="720" cy="756000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sz w:val="20"/>
              <w:szCs w:val="20"/>
              <w:lang w:val="cs-CZ"/>
            </w:rPr>
            <w:drawing>
              <wp:anchor distT="3810" distB="4445" distL="3810" distR="3810" simplePos="0" relativeHeight="251659264" behindDoc="0" locked="0" layoutInCell="1" allowOverlap="1">
                <wp:simplePos x="0" y="0"/>
                <wp:positionH relativeFrom="page">
                  <wp:posOffset>-8888</wp:posOffset>
                </wp:positionH>
                <wp:positionV relativeFrom="page">
                  <wp:posOffset>1791970</wp:posOffset>
                </wp:positionV>
                <wp:extent cx="635" cy="8875395"/>
                <wp:effectExtent l="0" t="0" r="0" b="0"/>
                <wp:wrapNone/>
                <wp:docPr id="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88753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646FE6" w:rsidRDefault="001E6879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bookmarkStart w:id="1" w:name="_heading=h.30j0zll" w:colFirst="0" w:colLast="0"/>
      <w:bookmarkEnd w:id="1"/>
      <w:r>
        <w:rPr>
          <w:color w:val="000000"/>
          <w:sz w:val="20"/>
          <w:szCs w:val="20"/>
        </w:rPr>
        <w:t>NFA se touto smlouvou zavazuje vyhotovit a poskytnout MKZ digitální skeny originálních negativů všech Filmů a umožnit MKZ tyto skeny převzít. Digitálními kopiemi se pro účely této smlouvy rozumí elektronicky (tj. například pomoc</w:t>
      </w:r>
      <w:r>
        <w:rPr>
          <w:color w:val="000000"/>
          <w:sz w:val="20"/>
          <w:szCs w:val="20"/>
        </w:rPr>
        <w:t>í digitálního fotoaparátu, skeneru apod.) pořízené kopie Filmů. (dále jen „</w:t>
      </w:r>
      <w:r>
        <w:rPr>
          <w:b/>
          <w:color w:val="000000"/>
          <w:sz w:val="20"/>
          <w:szCs w:val="20"/>
        </w:rPr>
        <w:t>Digitální kopie</w:t>
      </w:r>
      <w:r>
        <w:rPr>
          <w:color w:val="000000"/>
          <w:sz w:val="20"/>
          <w:szCs w:val="20"/>
        </w:rPr>
        <w:t>“)</w:t>
      </w:r>
    </w:p>
    <w:p w:rsidR="00646FE6" w:rsidRDefault="00646FE6">
      <w:pPr>
        <w:pStyle w:val="normal1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0"/>
          <w:szCs w:val="20"/>
        </w:rPr>
      </w:pPr>
    </w:p>
    <w:p w:rsidR="00646FE6" w:rsidRDefault="001E6879">
      <w:pPr>
        <w:pStyle w:val="normal1"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Digitální kopie zhotovené dle této smlouvy budou mít následující vlastnosti: </w:t>
      </w:r>
    </w:p>
    <w:p w:rsidR="00646FE6" w:rsidRDefault="00646FE6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0"/>
          <w:szCs w:val="20"/>
          <w:highlight w:val="yellow"/>
        </w:rPr>
      </w:pPr>
    </w:p>
    <w:p w:rsidR="00646FE6" w:rsidRDefault="001E6879">
      <w:pPr>
        <w:pStyle w:val="normal1"/>
        <w:rPr>
          <w:rFonts w:ascii="Courier New" w:eastAsia="Courier New" w:hAnsi="Courier New" w:cs="Courier New"/>
          <w:color w:val="000000"/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XXXXXXXXXXXXXXXXX</w:t>
      </w:r>
    </w:p>
    <w:p w:rsidR="00646FE6" w:rsidRDefault="001E6879">
      <w:pPr>
        <w:pStyle w:val="normal1"/>
        <w:rPr>
          <w:color w:val="000000"/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XXXXXXXXXXXXXXXXX</w:t>
      </w:r>
    </w:p>
    <w:p w:rsidR="00646FE6" w:rsidRDefault="001E6879">
      <w:pPr>
        <w:pStyle w:val="normal1"/>
        <w:rPr>
          <w:rFonts w:ascii="Courier New" w:eastAsia="Courier New" w:hAnsi="Courier New" w:cs="Courier New"/>
          <w:color w:val="000000"/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XXXXXXXXXXXXXXXXX</w:t>
      </w:r>
    </w:p>
    <w:p w:rsidR="00646FE6" w:rsidRDefault="001E6879">
      <w:pPr>
        <w:pStyle w:val="normal1"/>
        <w:rPr>
          <w:rFonts w:ascii="Courier New" w:eastAsia="Courier New" w:hAnsi="Courier New" w:cs="Courier New"/>
          <w:color w:val="000000"/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XXXXXXXXXXXXXXXXX</w:t>
      </w:r>
    </w:p>
    <w:p w:rsidR="00646FE6" w:rsidRDefault="001E6879">
      <w:pPr>
        <w:pStyle w:val="normal1"/>
        <w:rPr>
          <w:rFonts w:ascii="Courier New" w:eastAsia="Courier New" w:hAnsi="Courier New" w:cs="Courier New"/>
          <w:color w:val="000000"/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XXXXXXXXXXXXXXXXX</w:t>
      </w:r>
    </w:p>
    <w:p w:rsidR="00646FE6" w:rsidRDefault="00646FE6">
      <w:pPr>
        <w:pStyle w:val="normal1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0"/>
          <w:szCs w:val="20"/>
        </w:rPr>
      </w:pPr>
    </w:p>
    <w:p w:rsidR="00646FE6" w:rsidRDefault="00646FE6">
      <w:pPr>
        <w:pStyle w:val="normal1"/>
        <w:rPr>
          <w:sz w:val="20"/>
          <w:szCs w:val="20"/>
        </w:rPr>
      </w:pPr>
    </w:p>
    <w:p w:rsidR="00646FE6" w:rsidRDefault="001E6879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MKZ se zavazuje, že NFA zaplatí za plnění dle této smlouvy odměnu sjednanou v čl. 3 této smlouvy. </w:t>
      </w:r>
    </w:p>
    <w:p w:rsidR="00646FE6" w:rsidRDefault="00646FE6">
      <w:pPr>
        <w:pStyle w:val="normal1"/>
        <w:rPr>
          <w:sz w:val="20"/>
          <w:szCs w:val="20"/>
        </w:rPr>
      </w:pPr>
    </w:p>
    <w:p w:rsidR="00646FE6" w:rsidRDefault="001E6879">
      <w:pPr>
        <w:pStyle w:val="normal1"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1905" distT="1905" distL="1905" distR="1905" hidden="0" layoutInCell="1" locked="0" relativeHeight="0" simplePos="0">
              <wp:simplePos x="0" y="0"/>
              <wp:positionH relativeFrom="page">
                <wp:posOffset>-11428</wp:posOffset>
              </wp:positionH>
              <wp:positionV relativeFrom="page">
                <wp:posOffset>9936480</wp:posOffset>
              </wp:positionV>
              <wp:extent cx="635" cy="731520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5640" y="3414240"/>
                        <a:ext cx="720" cy="73152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rFonts w:ascii="Courier New" w:eastAsia="Courier New" w:hAnsi="Courier New" w:cs="Courier New"/>
              <w:noProof/>
              <w:color w:val="000000"/>
              <w:sz w:val="20"/>
              <w:szCs w:val="20"/>
              <w:lang w:val="cs-CZ"/>
            </w:rPr>
            <w:drawing>
              <wp:anchor distT="1905" distB="1905" distL="1905" distR="1905" simplePos="0" relativeHeight="251660288" behindDoc="0" locked="0" layoutInCell="1" allowOverlap="1">
                <wp:simplePos x="0" y="0"/>
                <wp:positionH relativeFrom="page">
                  <wp:posOffset>-11428</wp:posOffset>
                </wp:positionH>
                <wp:positionV relativeFrom="page">
                  <wp:posOffset>9936480</wp:posOffset>
                </wp:positionV>
                <wp:extent cx="635" cy="731520"/>
                <wp:effectExtent l="0" t="0" r="0" b="0"/>
                <wp:wrapNone/>
                <wp:docPr id="1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7315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1905" distT="1905" distL="1905" distR="1905" hidden="0" layoutInCell="1" locked="0" relativeHeight="0" simplePos="0">
              <wp:simplePos x="0" y="0"/>
              <wp:positionH relativeFrom="page">
                <wp:posOffset>-11428</wp:posOffset>
              </wp:positionH>
              <wp:positionV relativeFrom="page">
                <wp:posOffset>9582785</wp:posOffset>
              </wp:positionV>
              <wp:extent cx="635" cy="635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5640" y="3779640"/>
                        <a:ext cx="720" cy="72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rFonts w:ascii="Courier New" w:eastAsia="Courier New" w:hAnsi="Courier New" w:cs="Courier New"/>
              <w:noProof/>
              <w:color w:val="000000"/>
              <w:sz w:val="20"/>
              <w:szCs w:val="20"/>
              <w:lang w:val="cs-CZ"/>
            </w:rPr>
            <w:drawing>
              <wp:anchor distT="1905" distB="1905" distL="1905" distR="1905" simplePos="0" relativeHeight="251661312" behindDoc="0" locked="0" layoutInCell="1" allowOverlap="1">
                <wp:simplePos x="0" y="0"/>
                <wp:positionH relativeFrom="page">
                  <wp:posOffset>-11428</wp:posOffset>
                </wp:positionH>
                <wp:positionV relativeFrom="page">
                  <wp:posOffset>9582785</wp:posOffset>
                </wp:positionV>
                <wp:extent cx="635" cy="635"/>
                <wp:effectExtent l="0" t="0" r="0" b="0"/>
                <wp:wrapNone/>
                <wp:docPr id="1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>
        <w:rPr>
          <w:color w:val="000000"/>
          <w:sz w:val="20"/>
          <w:szCs w:val="20"/>
        </w:rPr>
        <w:t xml:space="preserve">NFA se zavazuje, že Digitální kopie zhotoví a předá MKZ nejpozději do </w:t>
      </w:r>
      <w:r>
        <w:rPr>
          <w:sz w:val="20"/>
          <w:szCs w:val="20"/>
          <w:highlight w:val="yellow"/>
        </w:rPr>
        <w:t>XXXXXXXXXXXXXXXXX</w:t>
      </w:r>
      <w:r>
        <w:rPr>
          <w:color w:val="000000"/>
          <w:sz w:val="20"/>
          <w:szCs w:val="20"/>
        </w:rPr>
        <w:t>, formou digitálního přenosu z internetového úložiště NFA. Převzetím Digitálních kopií na MKZ přechází vlastnické právo k Digitálním kopiím.</w:t>
      </w:r>
    </w:p>
    <w:p w:rsidR="00646FE6" w:rsidRDefault="00646FE6">
      <w:pPr>
        <w:pStyle w:val="normal1"/>
        <w:widowControl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0"/>
          <w:szCs w:val="20"/>
        </w:rPr>
      </w:pPr>
    </w:p>
    <w:p w:rsidR="00646FE6" w:rsidRDefault="001E6879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50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MKZ touto smlouvou nenabývá žádná oprávnění k užití nehmotných statků (autorských děl, záznamů uměleckých výkonů, zvukově obrazových záznamů, ochranných známek apod.) případně zachycených na Digitální kopiích. MKZ bere podpisem této smlouvy na vědomí, že p</w:t>
      </w:r>
      <w:r>
        <w:rPr>
          <w:color w:val="000000"/>
          <w:sz w:val="20"/>
          <w:szCs w:val="20"/>
        </w:rPr>
        <w:t>ro potřeby této smlouvy a v případě svého zájmu o další užití uvedených nehmotných statků, je povinen vypořádat práva k těmto statkům výlučně na svou odpovědnost a na své náklady.</w:t>
      </w:r>
    </w:p>
    <w:p w:rsidR="00646FE6" w:rsidRDefault="00646FE6">
      <w:pPr>
        <w:pStyle w:val="normal1"/>
        <w:pBdr>
          <w:top w:val="nil"/>
          <w:left w:val="nil"/>
          <w:bottom w:val="nil"/>
          <w:right w:val="nil"/>
          <w:between w:val="nil"/>
        </w:pBdr>
        <w:ind w:left="913" w:hanging="699"/>
        <w:jc w:val="both"/>
        <w:rPr>
          <w:color w:val="000000"/>
          <w:sz w:val="20"/>
          <w:szCs w:val="20"/>
        </w:rPr>
      </w:pPr>
    </w:p>
    <w:p w:rsidR="00646FE6" w:rsidRDefault="00646FE6">
      <w:pPr>
        <w:pStyle w:val="normal1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0"/>
          <w:szCs w:val="20"/>
        </w:rPr>
      </w:pPr>
    </w:p>
    <w:p w:rsidR="00646FE6" w:rsidRDefault="00646FE6">
      <w:pPr>
        <w:pStyle w:val="normal1"/>
        <w:rPr>
          <w:sz w:val="20"/>
          <w:szCs w:val="20"/>
        </w:rPr>
      </w:pPr>
    </w:p>
    <w:p w:rsidR="00646FE6" w:rsidRDefault="001E687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Odměna</w:t>
      </w:r>
    </w:p>
    <w:p w:rsidR="00646FE6" w:rsidRDefault="00646FE6">
      <w:pPr>
        <w:pStyle w:val="normal1"/>
        <w:rPr>
          <w:sz w:val="20"/>
          <w:szCs w:val="20"/>
        </w:rPr>
      </w:pPr>
    </w:p>
    <w:p w:rsidR="00646FE6" w:rsidRDefault="001E6879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 plnění dle této smlouvy a za veškerou součinnost se MKZ zavazuje zaplatit NFA </w:t>
      </w:r>
      <w:r>
        <w:rPr>
          <w:sz w:val="20"/>
          <w:szCs w:val="20"/>
          <w:highlight w:val="yellow"/>
        </w:rPr>
        <w:t>XXXXXXXXXXXXXXXXX</w:t>
      </w:r>
      <w:r>
        <w:rPr>
          <w:color w:val="000000"/>
          <w:sz w:val="20"/>
          <w:szCs w:val="20"/>
        </w:rPr>
        <w:t xml:space="preserve"> včetně DPH (dále jen „</w:t>
      </w:r>
      <w:r>
        <w:rPr>
          <w:b/>
          <w:color w:val="000000"/>
          <w:sz w:val="20"/>
          <w:szCs w:val="20"/>
        </w:rPr>
        <w:t>Odměna</w:t>
      </w:r>
      <w:r>
        <w:rPr>
          <w:color w:val="000000"/>
          <w:sz w:val="20"/>
          <w:szCs w:val="20"/>
        </w:rPr>
        <w:t>“)</w:t>
      </w:r>
    </w:p>
    <w:p w:rsidR="00646FE6" w:rsidRDefault="00646FE6">
      <w:pPr>
        <w:pStyle w:val="normal1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0"/>
          <w:szCs w:val="20"/>
        </w:rPr>
      </w:pPr>
    </w:p>
    <w:p w:rsidR="00646FE6" w:rsidRDefault="001E6879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MKZ se zavazuje uhradit Odměnu NFA do</w:t>
      </w:r>
      <w:r>
        <w:rPr>
          <w:color w:val="000000"/>
          <w:sz w:val="20"/>
          <w:szCs w:val="20"/>
          <w:highlight w:val="yellow"/>
        </w:rPr>
        <w:t xml:space="preserve"> </w:t>
      </w:r>
      <w:r>
        <w:rPr>
          <w:sz w:val="20"/>
          <w:szCs w:val="20"/>
          <w:highlight w:val="yellow"/>
        </w:rPr>
        <w:t>XXX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dnů od podpisu této smlouvy, a to bankovním převodem na číslo účtu NFA uvedené v záhlaví této smlouvy.</w:t>
      </w:r>
    </w:p>
    <w:p w:rsidR="00646FE6" w:rsidRDefault="00646FE6">
      <w:pPr>
        <w:pStyle w:val="normal1"/>
        <w:pBdr>
          <w:top w:val="nil"/>
          <w:left w:val="nil"/>
          <w:bottom w:val="nil"/>
          <w:right w:val="nil"/>
          <w:between w:val="nil"/>
        </w:pBdr>
        <w:ind w:left="913" w:hanging="699"/>
        <w:jc w:val="both"/>
        <w:rPr>
          <w:color w:val="000000"/>
          <w:sz w:val="20"/>
          <w:szCs w:val="20"/>
        </w:rPr>
      </w:pPr>
    </w:p>
    <w:p w:rsidR="00646FE6" w:rsidRDefault="001E6879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 případě prodlení MKZ s úhradou Odměny se MKZ zavazuje uhradit NFA úrok z prodlení ve výši</w:t>
      </w:r>
      <w:r>
        <w:rPr>
          <w:color w:val="000000"/>
          <w:sz w:val="20"/>
          <w:szCs w:val="20"/>
          <w:highlight w:val="yellow"/>
        </w:rPr>
        <w:t xml:space="preserve"> </w:t>
      </w:r>
      <w:r>
        <w:rPr>
          <w:sz w:val="20"/>
          <w:szCs w:val="20"/>
          <w:highlight w:val="yellow"/>
        </w:rPr>
        <w:t>XXXXX</w:t>
      </w:r>
      <w:r>
        <w:rPr>
          <w:color w:val="000000"/>
          <w:sz w:val="20"/>
          <w:szCs w:val="20"/>
        </w:rPr>
        <w:t xml:space="preserve"> za každý celý den prodlení.</w:t>
      </w:r>
    </w:p>
    <w:p w:rsidR="00646FE6" w:rsidRDefault="00646FE6">
      <w:pPr>
        <w:pStyle w:val="normal1"/>
        <w:rPr>
          <w:sz w:val="20"/>
          <w:szCs w:val="20"/>
        </w:rPr>
      </w:pPr>
    </w:p>
    <w:p w:rsidR="00646FE6" w:rsidRDefault="00646FE6">
      <w:pPr>
        <w:pStyle w:val="normal1"/>
        <w:rPr>
          <w:sz w:val="20"/>
          <w:szCs w:val="20"/>
        </w:rPr>
      </w:pPr>
    </w:p>
    <w:p w:rsidR="00646FE6" w:rsidRDefault="001E6879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Ostatní a závěrečná ujednání</w:t>
      </w:r>
    </w:p>
    <w:p w:rsidR="00646FE6" w:rsidRDefault="00646FE6">
      <w:pPr>
        <w:pStyle w:val="normal1"/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00000"/>
        </w:rPr>
      </w:pPr>
    </w:p>
    <w:p w:rsidR="00646FE6" w:rsidRDefault="001E6879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Odstoupit od této smlouvy lze pouze v případě, že je tak sjednáno v této smlouvě, odstoupením smlouva zaniká dnem následujícím po dni doručení projevu vůle o odstoupení druhé smluvní straně.</w:t>
      </w:r>
    </w:p>
    <w:p w:rsidR="00646FE6" w:rsidRDefault="00646FE6">
      <w:pPr>
        <w:pStyle w:val="normal1"/>
        <w:rPr>
          <w:sz w:val="20"/>
          <w:szCs w:val="20"/>
        </w:rPr>
      </w:pPr>
    </w:p>
    <w:p w:rsidR="00646FE6" w:rsidRDefault="001E6879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Poruší-li některá strana některou svou povinnost vyplývající z této smlouvy nebo ukáže-li se některé prohlášení některé smluvní strany učiněné v této smlouvě jako nepravdivé, zavazuje se taková strana</w:t>
      </w:r>
      <w:r>
        <w:rPr>
          <w:color w:val="000000"/>
          <w:sz w:val="20"/>
          <w:szCs w:val="20"/>
        </w:rPr>
        <w:br/>
        <w:t>v plné výši nahradit druhé straně škodu a odčinit nemaj</w:t>
      </w:r>
      <w:r>
        <w:rPr>
          <w:color w:val="000000"/>
          <w:sz w:val="20"/>
          <w:szCs w:val="20"/>
        </w:rPr>
        <w:t>etkovou újmu jí tím způsobenou, a to i v případě, že je taková povinnost utvrzena ujednáním o smluvní pokutě.</w:t>
      </w:r>
    </w:p>
    <w:p w:rsidR="00646FE6" w:rsidRDefault="00646FE6">
      <w:pPr>
        <w:pStyle w:val="normal1"/>
        <w:rPr>
          <w:sz w:val="20"/>
          <w:szCs w:val="20"/>
        </w:rPr>
      </w:pPr>
    </w:p>
    <w:p w:rsidR="00646FE6" w:rsidRDefault="001E6879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Pokud některá strana nebude schopna tuto smlouvu plnit z důvodu překážek vyšší moci, zavazuje se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>o tom, o povaze překážek, jakož i o předpokládané době jejich trvání, informovat bez odkladu písemně druhou stranu a bude-li taková překážka trvat více než 3 měsíce, strany následně vyvinou úsilí jednat</w:t>
      </w:r>
      <w:r>
        <w:rPr>
          <w:color w:val="000000"/>
          <w:sz w:val="20"/>
          <w:szCs w:val="20"/>
        </w:rPr>
        <w:br/>
        <w:t>o změně ustanovení této smlouvy, v jejichž plnění brá</w:t>
      </w:r>
      <w:r>
        <w:rPr>
          <w:color w:val="000000"/>
          <w:sz w:val="20"/>
          <w:szCs w:val="20"/>
        </w:rPr>
        <w:t xml:space="preserve">ní taková překážka; nebude-li takové dohody dosaženo do 3 měsíců od zahájení jednání, je kterákoli strana oprávněna odstoupit od této smlouvy v rozsahu plnění, které v důsledku překážky vyšší moci nelze realizovat, a ostatní ustanovení smlouvy tím nebudou </w:t>
      </w:r>
      <w:r>
        <w:rPr>
          <w:color w:val="000000"/>
          <w:sz w:val="20"/>
          <w:szCs w:val="20"/>
        </w:rPr>
        <w:t>dotčena.</w:t>
      </w:r>
    </w:p>
    <w:p w:rsidR="00646FE6" w:rsidRDefault="00646FE6">
      <w:pPr>
        <w:pStyle w:val="normal1"/>
        <w:rPr>
          <w:sz w:val="20"/>
          <w:szCs w:val="20"/>
        </w:rPr>
      </w:pPr>
    </w:p>
    <w:p w:rsidR="00646FE6" w:rsidRDefault="001E6879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Tato smlouva představuje úplné ujednání stran ohledně jejího obsahu a nahrazuje všechna předchozí jednání a výměny návrhů a informací mezi stranami v souvislosti s obsahem a vyjednáváním této smlouvy. Obě strany prohlašují a potvrzují, že měly mo</w:t>
      </w:r>
      <w:r>
        <w:rPr>
          <w:color w:val="000000"/>
          <w:sz w:val="20"/>
          <w:szCs w:val="20"/>
        </w:rPr>
        <w:t>žnost uplatnit výhrady a návrhy v rámci jednání o smlouvě; výraz připouštějící různý výklad použitý poprvé některou ze stran, nelze vykládat k tíži takové strany, ledaže druhá strana při jednání na možný různý výklad upozornila a první strana na jeho použi</w:t>
      </w:r>
      <w:r>
        <w:rPr>
          <w:color w:val="000000"/>
          <w:sz w:val="20"/>
          <w:szCs w:val="20"/>
        </w:rPr>
        <w:t>tí přesto trvala. Strany na sebe přebírají riziko změny okolností a vylučují pro tuto smlouvu aplikaci ustanovení občanského zákoníku o neúměrném zkrácení. Před uzavřením smlouvy strany zvážily plně hospodářskou, ekonomickou i faktickou situaci a jsou si p</w:t>
      </w:r>
      <w:r>
        <w:rPr>
          <w:color w:val="000000"/>
          <w:sz w:val="20"/>
          <w:szCs w:val="20"/>
        </w:rPr>
        <w:t>lně vědomy okolností smlouvy.</w:t>
      </w:r>
    </w:p>
    <w:p w:rsidR="00646FE6" w:rsidRDefault="00646FE6">
      <w:pPr>
        <w:pStyle w:val="normal1"/>
        <w:rPr>
          <w:sz w:val="20"/>
          <w:szCs w:val="20"/>
        </w:rPr>
      </w:pPr>
    </w:p>
    <w:p w:rsidR="00646FE6" w:rsidRDefault="001E6879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Tato smlouva je vyhotovena ve dvou identických stejnopisech v českém jazyce podepsaných oběma smluvními stranami a majících sílu originálu, z nichž po jednom obdrží každá strana. Tato smlouva se řídí výlučně českým právem a p</w:t>
      </w:r>
      <w:r>
        <w:rPr>
          <w:color w:val="000000"/>
          <w:sz w:val="20"/>
          <w:szCs w:val="20"/>
        </w:rPr>
        <w:t>řípadné spory z ní budou rozhodovat výlučně české soudy s místní příslušností soudu stanoveného podle právních předpisů.</w:t>
      </w:r>
    </w:p>
    <w:p w:rsidR="00646FE6" w:rsidRDefault="00646FE6">
      <w:pPr>
        <w:pStyle w:val="normal1"/>
        <w:rPr>
          <w:sz w:val="20"/>
          <w:szCs w:val="20"/>
        </w:rPr>
      </w:pPr>
    </w:p>
    <w:p w:rsidR="00646FE6" w:rsidRDefault="001E6879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Tato smlouva může být měněna jen písemnými dodatky podepsanými oběma stranami; povinnost písemné formy se vztahuje i na dohodu o změně</w:t>
      </w:r>
      <w:r>
        <w:rPr>
          <w:color w:val="000000"/>
          <w:sz w:val="20"/>
          <w:szCs w:val="20"/>
        </w:rPr>
        <w:t xml:space="preserve"> povinné formy. Za každou stranu je oprávněn jednat o změně této smlouvy a/nebo její formy a takovou změnu schvalovat jen její statutární orgán, nebo taková osoba, které bude k takovému jednání poskytnuta písemná plná moc. Strany prohlašují, že nečiní žádn</w:t>
      </w:r>
      <w:r>
        <w:rPr>
          <w:color w:val="000000"/>
          <w:sz w:val="20"/>
          <w:szCs w:val="20"/>
        </w:rPr>
        <w:t>ých vedlejších ústních ujednání ani příslibů.</w:t>
      </w:r>
    </w:p>
    <w:p w:rsidR="00646FE6" w:rsidRDefault="00646FE6">
      <w:pPr>
        <w:pStyle w:val="normal1"/>
        <w:rPr>
          <w:sz w:val="20"/>
          <w:szCs w:val="20"/>
        </w:rPr>
      </w:pPr>
    </w:p>
    <w:p w:rsidR="00646FE6" w:rsidRDefault="001E6879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Vyjde-li najevo, že některé ustanovení této smlouvy je neplatné nebo pouze zdánlivé, nemá to vliv</w:t>
      </w:r>
      <w:r>
        <w:rPr>
          <w:color w:val="000000"/>
          <w:sz w:val="20"/>
          <w:szCs w:val="20"/>
        </w:rPr>
        <w:br/>
        <w:t>na ostatní obsah smlouvy, která zůstává nadále platnou, ledaže jde o ustanovení, které nelze od ostatního obsah</w:t>
      </w:r>
      <w:r>
        <w:rPr>
          <w:color w:val="000000"/>
          <w:sz w:val="20"/>
          <w:szCs w:val="20"/>
        </w:rPr>
        <w:t xml:space="preserve">u smlouvy oddělit. Smluvní strany se zavazují nahradit takové zdánlivé nebo neplatné ustanovení či jeho část ustanovením novým, které bude platné a jehož věcný obsah a ekonomický význam bude shodný nebo co nejvíce podobný nahrazovanému ustanovení tak, aby </w:t>
      </w:r>
      <w:r>
        <w:rPr>
          <w:color w:val="000000"/>
          <w:sz w:val="20"/>
          <w:szCs w:val="20"/>
        </w:rPr>
        <w:t>účel a smysl této smlouvy zůstal zachován.</w:t>
      </w:r>
    </w:p>
    <w:p w:rsidR="00646FE6" w:rsidRDefault="00646FE6">
      <w:pPr>
        <w:pStyle w:val="normal1"/>
        <w:rPr>
          <w:sz w:val="20"/>
          <w:szCs w:val="20"/>
        </w:rPr>
      </w:pPr>
    </w:p>
    <w:p w:rsidR="00646FE6" w:rsidRDefault="001E6879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Jakékoli vzdání se práva nebo nevymáhání plnění povinnosti některé ze smluvních stran podle této smlouvy nezbavuje příslušnou stranu práva domáhat se splnění této smlouvy v ostatním rozsahu a uplatnit v té souvis</w:t>
      </w:r>
      <w:r>
        <w:rPr>
          <w:color w:val="000000"/>
          <w:sz w:val="20"/>
          <w:szCs w:val="20"/>
        </w:rPr>
        <w:t>losti všechna svá práva. Ustanovení o náhradě újmy, pokutách a ta, u nichž to je ujednáno či vyplývá z jejich povahy, přetrvají zánik této smlouvy.</w:t>
      </w:r>
    </w:p>
    <w:p w:rsidR="00646FE6" w:rsidRDefault="00646FE6">
      <w:pPr>
        <w:pStyle w:val="normal1"/>
        <w:rPr>
          <w:sz w:val="20"/>
          <w:szCs w:val="20"/>
        </w:rPr>
      </w:pPr>
    </w:p>
    <w:p w:rsidR="00646FE6" w:rsidRDefault="00646FE6">
      <w:pPr>
        <w:pStyle w:val="normal1"/>
        <w:rPr>
          <w:sz w:val="20"/>
          <w:szCs w:val="20"/>
        </w:rPr>
      </w:pPr>
    </w:p>
    <w:p w:rsidR="00646FE6" w:rsidRDefault="00646FE6">
      <w:pPr>
        <w:pStyle w:val="normal1"/>
        <w:rPr>
          <w:sz w:val="20"/>
          <w:szCs w:val="20"/>
        </w:rPr>
      </w:pPr>
    </w:p>
    <w:p w:rsidR="00646FE6" w:rsidRDefault="00646FE6">
      <w:pPr>
        <w:pStyle w:val="normal1"/>
        <w:rPr>
          <w:sz w:val="20"/>
          <w:szCs w:val="20"/>
        </w:rPr>
      </w:pPr>
    </w:p>
    <w:p w:rsidR="00646FE6" w:rsidRDefault="001E6879">
      <w:pPr>
        <w:pStyle w:val="normal1"/>
        <w:rPr>
          <w:sz w:val="20"/>
          <w:szCs w:val="20"/>
        </w:rPr>
      </w:pPr>
      <w:r>
        <w:rPr>
          <w:sz w:val="20"/>
          <w:szCs w:val="20"/>
        </w:rPr>
        <w:t>V Praze dne 23.10.2024.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V Praze dne 23.10.2024</w:t>
      </w:r>
    </w:p>
    <w:p w:rsidR="00646FE6" w:rsidRDefault="00646FE6">
      <w:pPr>
        <w:pStyle w:val="normal1"/>
        <w:rPr>
          <w:sz w:val="20"/>
          <w:szCs w:val="20"/>
        </w:rPr>
      </w:pPr>
    </w:p>
    <w:p w:rsidR="00646FE6" w:rsidRDefault="00646FE6">
      <w:pPr>
        <w:pStyle w:val="normal1"/>
        <w:rPr>
          <w:sz w:val="20"/>
          <w:szCs w:val="20"/>
        </w:rPr>
      </w:pPr>
    </w:p>
    <w:p w:rsidR="00646FE6" w:rsidRDefault="00646FE6">
      <w:pPr>
        <w:pStyle w:val="normal1"/>
        <w:rPr>
          <w:sz w:val="20"/>
          <w:szCs w:val="20"/>
        </w:rPr>
      </w:pPr>
    </w:p>
    <w:p w:rsidR="00646FE6" w:rsidRDefault="00646FE6">
      <w:pPr>
        <w:pStyle w:val="normal1"/>
        <w:rPr>
          <w:sz w:val="20"/>
          <w:szCs w:val="20"/>
        </w:rPr>
      </w:pPr>
    </w:p>
    <w:p w:rsidR="00646FE6" w:rsidRDefault="00646FE6">
      <w:pPr>
        <w:pStyle w:val="normal1"/>
        <w:rPr>
          <w:sz w:val="20"/>
          <w:szCs w:val="20"/>
        </w:rPr>
      </w:pPr>
    </w:p>
    <w:p w:rsidR="00646FE6" w:rsidRDefault="001E6879">
      <w:pPr>
        <w:pStyle w:val="normal1"/>
        <w:rPr>
          <w:sz w:val="20"/>
          <w:szCs w:val="20"/>
        </w:rPr>
      </w:pPr>
      <w:r>
        <w:rPr>
          <w:sz w:val="20"/>
          <w:szCs w:val="20"/>
        </w:rPr>
        <w:t>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……………………………………..</w:t>
      </w:r>
    </w:p>
    <w:p w:rsidR="00646FE6" w:rsidRDefault="001E6879">
      <w:pPr>
        <w:pStyle w:val="normal1"/>
        <w:rPr>
          <w:sz w:val="20"/>
          <w:szCs w:val="20"/>
        </w:rPr>
      </w:pPr>
      <w:r>
        <w:rPr>
          <w:b/>
          <w:sz w:val="20"/>
          <w:szCs w:val="20"/>
        </w:rPr>
        <w:t>Muzeum Karla Zemana z.ú.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Národní filmový archiv</w:t>
      </w:r>
    </w:p>
    <w:p w:rsidR="00646FE6" w:rsidRDefault="001E6879">
      <w:pPr>
        <w:pStyle w:val="normal1"/>
        <w:rPr>
          <w:sz w:val="20"/>
          <w:szCs w:val="20"/>
        </w:rPr>
      </w:pPr>
      <w:r>
        <w:rPr>
          <w:sz w:val="20"/>
          <w:szCs w:val="20"/>
        </w:rPr>
        <w:t>Martin Hůlovec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PhDr. Michal Bregant</w:t>
      </w:r>
    </w:p>
    <w:p w:rsidR="00646FE6" w:rsidRDefault="001E6879">
      <w:pPr>
        <w:pStyle w:val="normal1"/>
        <w:rPr>
          <w:sz w:val="20"/>
          <w:szCs w:val="20"/>
        </w:rPr>
      </w:pPr>
      <w:r>
        <w:rPr>
          <w:sz w:val="20"/>
          <w:szCs w:val="20"/>
        </w:rPr>
        <w:t>ředitel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generální ředitel</w:t>
      </w:r>
    </w:p>
    <w:sectPr w:rsidR="00646FE6" w:rsidSect="00646FE6">
      <w:headerReference w:type="default" r:id="rId12"/>
      <w:footerReference w:type="default" r:id="rId13"/>
      <w:pgSz w:w="12120" w:h="16800"/>
      <w:pgMar w:top="1260" w:right="1080" w:bottom="1560" w:left="1340" w:header="0" w:footer="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879" w:rsidRDefault="001E6879" w:rsidP="00646FE6">
      <w:r>
        <w:separator/>
      </w:r>
    </w:p>
  </w:endnote>
  <w:endnote w:type="continuationSeparator" w:id="1">
    <w:p w:rsidR="001E6879" w:rsidRDefault="001E6879" w:rsidP="00646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FE6" w:rsidRDefault="00646FE6">
    <w:pPr>
      <w:pStyle w:val="normal1"/>
      <w:jc w:val="right"/>
      <w:rPr>
        <w:sz w:val="18"/>
        <w:szCs w:val="18"/>
      </w:rPr>
    </w:pPr>
    <w:r>
      <w:rPr>
        <w:sz w:val="20"/>
        <w:szCs w:val="20"/>
      </w:rPr>
      <w:fldChar w:fldCharType="begin"/>
    </w:r>
    <w:r w:rsidR="001E6879">
      <w:rPr>
        <w:sz w:val="20"/>
        <w:szCs w:val="20"/>
      </w:rPr>
      <w:instrText>PAGE</w:instrText>
    </w:r>
    <w:r w:rsidR="00E26EC1">
      <w:rPr>
        <w:sz w:val="20"/>
        <w:szCs w:val="20"/>
      </w:rPr>
      <w:fldChar w:fldCharType="separate"/>
    </w:r>
    <w:r w:rsidR="00E26EC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646FE6" w:rsidRDefault="00646FE6">
    <w:pPr>
      <w:pStyle w:val="normal1"/>
    </w:pPr>
  </w:p>
  <w:p w:rsidR="00646FE6" w:rsidRDefault="00646FE6">
    <w:pPr>
      <w:pStyle w:val="normal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879" w:rsidRDefault="001E6879" w:rsidP="00646FE6">
      <w:r>
        <w:separator/>
      </w:r>
    </w:p>
  </w:footnote>
  <w:footnote w:type="continuationSeparator" w:id="1">
    <w:p w:rsidR="001E6879" w:rsidRDefault="001E6879" w:rsidP="00646F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FE6" w:rsidRDefault="00646FE6">
    <w:pPr>
      <w:pStyle w:val="normal1"/>
    </w:pPr>
  </w:p>
  <w:p w:rsidR="00646FE6" w:rsidRDefault="00646FE6">
    <w:pPr>
      <w:pStyle w:val="normal1"/>
    </w:pPr>
  </w:p>
  <w:p w:rsidR="00646FE6" w:rsidRDefault="001E6879">
    <w:pPr>
      <w:pStyle w:val="normal1"/>
      <w:jc w:val="right"/>
      <w:rPr>
        <w:sz w:val="20"/>
        <w:szCs w:val="20"/>
      </w:rPr>
    </w:pPr>
    <w:r>
      <w:rPr>
        <w:sz w:val="20"/>
        <w:szCs w:val="20"/>
      </w:rPr>
      <w:t>POH03251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028"/>
    <w:multiLevelType w:val="multilevel"/>
    <w:tmpl w:val="603A2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6FE6"/>
    <w:rsid w:val="001E6879"/>
    <w:rsid w:val="00646FE6"/>
    <w:rsid w:val="00E26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6FE6"/>
    <w:pPr>
      <w:suppressAutoHyphens/>
    </w:pPr>
    <w:rPr>
      <w:lang w:eastAsia="en-US"/>
    </w:rPr>
  </w:style>
  <w:style w:type="paragraph" w:styleId="Nadpis1">
    <w:name w:val="heading 1"/>
    <w:basedOn w:val="Normln"/>
    <w:qFormat/>
    <w:rsid w:val="00646FE6"/>
    <w:pPr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Nadpis2">
    <w:name w:val="heading 2"/>
    <w:basedOn w:val="Normln"/>
    <w:qFormat/>
    <w:rsid w:val="00646FE6"/>
    <w:pPr>
      <w:ind w:left="259"/>
      <w:outlineLvl w:val="1"/>
    </w:pPr>
    <w:rPr>
      <w:b/>
      <w:bCs/>
      <w:sz w:val="19"/>
      <w:szCs w:val="19"/>
    </w:rPr>
  </w:style>
  <w:style w:type="paragraph" w:styleId="Nadpis3">
    <w:name w:val="heading 3"/>
    <w:basedOn w:val="normal1"/>
    <w:next w:val="normal1"/>
    <w:rsid w:val="00646FE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1"/>
    <w:next w:val="normal1"/>
    <w:rsid w:val="00646FE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1"/>
    <w:next w:val="normal1"/>
    <w:rsid w:val="00646FE6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al1"/>
    <w:next w:val="normal1"/>
    <w:rsid w:val="00646FE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646FE6"/>
  </w:style>
  <w:style w:type="table" w:customStyle="1" w:styleId="TableNormal">
    <w:name w:val="Table Normal"/>
    <w:rsid w:val="00646F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1"/>
    <w:next w:val="normal1"/>
    <w:rsid w:val="00646FE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646FE6"/>
  </w:style>
  <w:style w:type="table" w:customStyle="1" w:styleId="TableNormal1">
    <w:name w:val="Table Normal1"/>
    <w:rsid w:val="00646FE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qFormat/>
    <w:rsid w:val="00646FE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646FE6"/>
    <w:rPr>
      <w:rFonts w:ascii="Arial" w:eastAsia="Arial" w:hAnsi="Arial" w:cs="Arial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qFormat/>
    <w:rsid w:val="00646FE6"/>
    <w:rPr>
      <w:rFonts w:ascii="Arial" w:eastAsia="Arial" w:hAnsi="Arial" w:cs="Arial"/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qFormat/>
    <w:rsid w:val="00646FE6"/>
    <w:rPr>
      <w:rFonts w:ascii="Segoe UI" w:eastAsia="Arial" w:hAnsi="Segoe UI" w:cs="Segoe UI"/>
      <w:sz w:val="18"/>
      <w:szCs w:val="18"/>
    </w:rPr>
  </w:style>
  <w:style w:type="character" w:styleId="Hypertextovodkaz">
    <w:name w:val="Hyperlink"/>
    <w:basedOn w:val="Standardnpsmoodstavce"/>
    <w:rsid w:val="00646FE6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qFormat/>
    <w:rsid w:val="00646FE6"/>
    <w:rPr>
      <w:color w:val="605E5C"/>
      <w:shd w:val="clear" w:color="auto" w:fill="E1DFDD"/>
    </w:rPr>
  </w:style>
  <w:style w:type="paragraph" w:customStyle="1" w:styleId="Heading">
    <w:name w:val="Heading"/>
    <w:basedOn w:val="Normln"/>
    <w:next w:val="Zkladntext"/>
    <w:qFormat/>
    <w:rsid w:val="00646FE6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rsid w:val="00646FE6"/>
    <w:rPr>
      <w:sz w:val="19"/>
      <w:szCs w:val="19"/>
    </w:rPr>
  </w:style>
  <w:style w:type="paragraph" w:styleId="Seznam">
    <w:name w:val="List"/>
    <w:basedOn w:val="Zkladntext"/>
    <w:rsid w:val="00646FE6"/>
    <w:rPr>
      <w:rFonts w:cs="Lohit Devanagari"/>
    </w:rPr>
  </w:style>
  <w:style w:type="paragraph" w:styleId="Titulek">
    <w:name w:val="caption"/>
    <w:basedOn w:val="Normln"/>
    <w:qFormat/>
    <w:rsid w:val="00646FE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"/>
    <w:qFormat/>
    <w:rsid w:val="00646FE6"/>
    <w:pPr>
      <w:suppressLineNumbers/>
    </w:pPr>
    <w:rPr>
      <w:rFonts w:cs="Lohit Devanagari"/>
    </w:rPr>
  </w:style>
  <w:style w:type="paragraph" w:styleId="Odstavecseseznamem">
    <w:name w:val="List Paragraph"/>
    <w:basedOn w:val="Normln"/>
    <w:qFormat/>
    <w:rsid w:val="00646FE6"/>
    <w:pPr>
      <w:ind w:left="913" w:hanging="699"/>
      <w:jc w:val="both"/>
    </w:pPr>
  </w:style>
  <w:style w:type="paragraph" w:customStyle="1" w:styleId="TableParagraph">
    <w:name w:val="Table Paragraph"/>
    <w:basedOn w:val="Normln"/>
    <w:qFormat/>
    <w:rsid w:val="00646FE6"/>
  </w:style>
  <w:style w:type="paragraph" w:styleId="Textkomente">
    <w:name w:val="annotation text"/>
    <w:basedOn w:val="Normln"/>
    <w:link w:val="TextkomenteChar"/>
    <w:rsid w:val="00646F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646FE6"/>
    <w:rPr>
      <w:b/>
      <w:bCs/>
    </w:rPr>
  </w:style>
  <w:style w:type="paragraph" w:styleId="Textbubliny">
    <w:name w:val="Balloon Text"/>
    <w:basedOn w:val="Normln"/>
    <w:link w:val="TextbublinyChar"/>
    <w:qFormat/>
    <w:rsid w:val="00646FE6"/>
    <w:rPr>
      <w:rFonts w:ascii="Segoe UI" w:hAnsi="Segoe UI" w:cs="Segoe UI"/>
      <w:sz w:val="18"/>
      <w:szCs w:val="18"/>
    </w:rPr>
  </w:style>
  <w:style w:type="paragraph" w:styleId="Revize">
    <w:name w:val="Revision"/>
    <w:qFormat/>
    <w:rsid w:val="00646FE6"/>
    <w:pPr>
      <w:widowControl/>
      <w:suppressAutoHyphens/>
    </w:pPr>
    <w:rPr>
      <w:lang w:eastAsia="en-US"/>
    </w:rPr>
  </w:style>
  <w:style w:type="paragraph" w:customStyle="1" w:styleId="Prosttext1">
    <w:name w:val="Prostý text1"/>
    <w:basedOn w:val="Normln"/>
    <w:qFormat/>
    <w:rsid w:val="00646FE6"/>
    <w:pPr>
      <w:widowControl/>
    </w:pPr>
    <w:rPr>
      <w:rFonts w:ascii="Courier New" w:eastAsia="Times New Roman" w:hAnsi="Courier New" w:cs="Times New Roman"/>
      <w:sz w:val="20"/>
      <w:szCs w:val="20"/>
      <w:lang w:val="cs-CZ" w:eastAsia="cs-CZ"/>
    </w:rPr>
  </w:style>
  <w:style w:type="paragraph" w:styleId="Podtitul">
    <w:name w:val="Subtitle"/>
    <w:basedOn w:val="Normln"/>
    <w:next w:val="Normln"/>
    <w:rsid w:val="00646FE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eY69g2/Qurpcjc2Oo37IHS5Acw==">CgMxLjAyCGguZ2pkZ3hzMgloLjMwajB6bGw4AHIhMU5kWEcwR3Z2dVRYQUU1TExwTHBrNk5WeHRvZFE2TXRs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1173</Words>
  <Characters>6923</Characters>
  <Application>Microsoft Office Word</Application>
  <DocSecurity>0</DocSecurity>
  <Lines>57</Lines>
  <Paragraphs>16</Paragraphs>
  <ScaleCrop>false</ScaleCrop>
  <Company/>
  <LinksUpToDate>false</LinksUpToDate>
  <CharactersWithSpaces>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Stastna</dc:creator>
  <cp:lastModifiedBy>Stastna</cp:lastModifiedBy>
  <cp:revision>1</cp:revision>
  <dcterms:created xsi:type="dcterms:W3CDTF">2024-11-05T08:46:00Z</dcterms:created>
  <dcterms:modified xsi:type="dcterms:W3CDTF">2024-11-05T08:47:00Z</dcterms:modified>
</cp:coreProperties>
</file>