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FA15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ED9B90B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419CA46D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315CC3BD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ECDF0D7" w14:textId="77777777" w:rsidR="000C7506" w:rsidRDefault="000C7506">
      <w:pPr>
        <w:widowControl/>
        <w:rPr>
          <w:rFonts w:ascii="Arial" w:hAnsi="Arial" w:cs="Arial"/>
        </w:rPr>
      </w:pPr>
    </w:p>
    <w:p w14:paraId="4D9D5760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282DCD9A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00354A9E" w14:textId="77777777" w:rsidR="00DC5978" w:rsidRPr="00D27771" w:rsidRDefault="00DC5978">
      <w:pPr>
        <w:widowControl/>
        <w:rPr>
          <w:rFonts w:ascii="Arial" w:hAnsi="Arial" w:cs="Arial"/>
        </w:rPr>
      </w:pPr>
    </w:p>
    <w:p w14:paraId="177C2F52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2301ECE" w14:textId="77777777" w:rsidR="00AD4CDE" w:rsidRPr="00D27771" w:rsidRDefault="00AD4CDE">
      <w:pPr>
        <w:widowControl/>
        <w:rPr>
          <w:rFonts w:ascii="Arial" w:hAnsi="Arial" w:cs="Arial"/>
        </w:rPr>
      </w:pPr>
    </w:p>
    <w:p w14:paraId="5B1A87A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3D2F442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EF144D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8E9F2A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manželé </w:t>
      </w:r>
    </w:p>
    <w:p w14:paraId="020E935D" w14:textId="73EBDBF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Petera Jan</w:t>
      </w:r>
      <w:r w:rsidRPr="00D27771">
        <w:rPr>
          <w:rFonts w:ascii="Arial" w:hAnsi="Arial" w:cs="Arial"/>
        </w:rPr>
        <w:tab/>
        <w:t xml:space="preserve">r. č. </w:t>
      </w:r>
      <w:r w:rsidR="00D67D7B">
        <w:rPr>
          <w:rFonts w:ascii="Arial" w:hAnsi="Arial" w:cs="Arial"/>
        </w:rPr>
        <w:t>52xxxxxxxx</w:t>
      </w:r>
      <w:r w:rsidRPr="00D27771">
        <w:rPr>
          <w:rFonts w:ascii="Arial" w:hAnsi="Arial" w:cs="Arial"/>
        </w:rPr>
        <w:t xml:space="preserve">, trvale bytem </w:t>
      </w:r>
      <w:r w:rsidR="00D67D7B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76811 Chropyně</w:t>
      </w:r>
    </w:p>
    <w:p w14:paraId="04380E16" w14:textId="4B149DA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Peterová Jarmila</w:t>
      </w:r>
      <w:r w:rsidRPr="00D27771">
        <w:rPr>
          <w:rFonts w:ascii="Arial" w:hAnsi="Arial" w:cs="Arial"/>
        </w:rPr>
        <w:tab/>
        <w:t xml:space="preserve">r. č. </w:t>
      </w:r>
      <w:r w:rsidR="00D67D7B">
        <w:rPr>
          <w:rFonts w:ascii="Arial" w:hAnsi="Arial" w:cs="Arial"/>
        </w:rPr>
        <w:t>53xxxxxxxx</w:t>
      </w:r>
      <w:r w:rsidRPr="00D27771">
        <w:rPr>
          <w:rFonts w:ascii="Arial" w:hAnsi="Arial" w:cs="Arial"/>
        </w:rPr>
        <w:t xml:space="preserve">, trvale bytem </w:t>
      </w:r>
      <w:r w:rsidR="00D67D7B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76811 Chropyně</w:t>
      </w:r>
    </w:p>
    <w:p w14:paraId="7581176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46C41E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14:paraId="7828DD9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CA876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EB983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DFAE7E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D9FD99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  zákona č. 229/1991 Sb. ve znění pozdějších předpisů (dále jen "zákon o půdě") </w:t>
      </w:r>
    </w:p>
    <w:p w14:paraId="086B711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CDF37A9" w14:textId="77777777" w:rsidR="00AD4CDE" w:rsidRPr="00D27771" w:rsidRDefault="00AD4CDE">
      <w:pPr>
        <w:widowControl/>
        <w:rPr>
          <w:rFonts w:ascii="Arial" w:hAnsi="Arial" w:cs="Arial"/>
        </w:rPr>
      </w:pPr>
    </w:p>
    <w:p w14:paraId="3A6704DE" w14:textId="77777777" w:rsidR="00AD4CDE" w:rsidRPr="00D27771" w:rsidRDefault="00AD4CDE">
      <w:pPr>
        <w:widowControl/>
        <w:rPr>
          <w:rFonts w:ascii="Arial" w:hAnsi="Arial" w:cs="Arial"/>
        </w:rPr>
      </w:pPr>
    </w:p>
    <w:p w14:paraId="1D329483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13PR24/61</w:t>
      </w:r>
    </w:p>
    <w:p w14:paraId="3878339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660051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CAF358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8A4E8C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834D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D309484" w14:textId="5023A95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kraj, Katastrální pracoviště Kroměříž pro katastrální území Chropyně, obec Chropyně.</w:t>
      </w:r>
    </w:p>
    <w:p w14:paraId="0BBE51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společného jmění manželů následující pozemky:</w:t>
      </w:r>
    </w:p>
    <w:p w14:paraId="1F5750D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3C4515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D717AA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57A4E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1262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452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24 138,00 Kč </w:t>
      </w:r>
    </w:p>
    <w:p w14:paraId="101F809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39413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1263/4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1 029,00 Kč </w:t>
      </w:r>
    </w:p>
    <w:p w14:paraId="02C71EE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BF9F99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473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25 167,00 Kč</w:t>
      </w:r>
    </w:p>
    <w:p w14:paraId="2FE9A0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1AFBE7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E29C40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Výměrem zn.: 9503/56-Kd. ze dne 14.12.1956.</w:t>
      </w:r>
    </w:p>
    <w:p w14:paraId="6352054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E52F8A8" w14:textId="5B0D95E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D67D7B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23. 1. 2024, pod č.j. 006039/2024, podle vyhl.č. 182/1988 Sb. ve znění vyhl.č. 316/1990 Sb., celkovou částkou 25 167,00 Kč (slovy: dvacet pět tisíc jedno sto šedesát sedm korun českých). </w:t>
      </w:r>
    </w:p>
    <w:p w14:paraId="2019F65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C55904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3789B25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Petera Jan </w:t>
      </w:r>
    </w:p>
    <w:p w14:paraId="388C88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14:paraId="026FCD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163C5857" w14:textId="0D8CB84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4. 2023, ve výši </w:t>
      </w:r>
      <w:r w:rsidR="008111B7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8111B7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2415C7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7293EF7D" w14:textId="3D0AF15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8. 10. 2024, ve výši </w:t>
      </w:r>
      <w:r w:rsidR="008111B7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305774C3" w14:textId="5A33A7A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72769E">
        <w:rPr>
          <w:rFonts w:ascii="Arial" w:hAnsi="Arial" w:cs="Arial"/>
          <w:color w:val="000000"/>
        </w:rPr>
        <w:t>xxxxxxxxx</w:t>
      </w:r>
      <w:r w:rsidR="00CC5C9E" w:rsidRPr="00D27771">
        <w:rPr>
          <w:rFonts w:ascii="Arial" w:hAnsi="Arial" w:cs="Arial"/>
          <w:color w:val="000000"/>
        </w:rPr>
        <w:t xml:space="preserve"> Kč</w:t>
      </w:r>
    </w:p>
    <w:p w14:paraId="26273B7A" w14:textId="3A70FAF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8111B7">
        <w:rPr>
          <w:rFonts w:ascii="Arial" w:hAnsi="Arial" w:cs="Arial"/>
          <w:color w:val="000000"/>
        </w:rPr>
        <w:t>xxxxxxxxxxxxxxxxx</w:t>
      </w:r>
    </w:p>
    <w:p w14:paraId="4A217A9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1696A7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250,00 Kč. </w:t>
      </w:r>
    </w:p>
    <w:p w14:paraId="442749F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324DCC5F" w14:textId="6C5D35F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10. 9. 2024, ve výši </w:t>
      </w:r>
      <w:r w:rsidR="0072769E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72769E">
        <w:rPr>
          <w:rFonts w:ascii="Arial" w:hAnsi="Arial" w:cs="Arial"/>
          <w:color w:val="000000"/>
        </w:rPr>
        <w:t>xxxxxxxxxxxxxxx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6DA6219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19629557" w14:textId="5C7FB87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8. 10. 2024, ve výši </w:t>
      </w:r>
      <w:r w:rsidR="0072769E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7607E02D" w14:textId="5961E35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72769E">
        <w:rPr>
          <w:rFonts w:ascii="Arial" w:hAnsi="Arial" w:cs="Arial"/>
          <w:color w:val="000000"/>
        </w:rPr>
        <w:t>xxxxxxxxxxx</w:t>
      </w:r>
      <w:r w:rsidR="00CC5C9E" w:rsidRPr="00D27771">
        <w:rPr>
          <w:rFonts w:ascii="Arial" w:hAnsi="Arial" w:cs="Arial"/>
          <w:color w:val="000000"/>
        </w:rPr>
        <w:t xml:space="preserve"> Kč</w:t>
      </w:r>
    </w:p>
    <w:p w14:paraId="273019AE" w14:textId="36982DC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72769E">
        <w:rPr>
          <w:rFonts w:ascii="Arial" w:hAnsi="Arial" w:cs="Arial"/>
          <w:color w:val="000000"/>
        </w:rPr>
        <w:t>xxxxxxxxxxxxxxx</w:t>
      </w:r>
    </w:p>
    <w:p w14:paraId="7B56017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827F6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12 333,50 Kč. </w:t>
      </w:r>
    </w:p>
    <w:p w14:paraId="025F731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2CFABF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4054F2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Peterová Jarmila </w:t>
      </w:r>
    </w:p>
    <w:p w14:paraId="2ABA073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14:paraId="5030E40D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</w:p>
    <w:p w14:paraId="7EA9B158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4. 2023, ve výši </w:t>
      </w:r>
      <w:r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4F056904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1D9A9599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8. 10. 2024, ve výši </w:t>
      </w:r>
      <w:r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4E69CB93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Kč</w:t>
      </w:r>
    </w:p>
    <w:p w14:paraId="4BB39AB2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>
        <w:rPr>
          <w:rFonts w:ascii="Arial" w:hAnsi="Arial" w:cs="Arial"/>
          <w:color w:val="000000"/>
        </w:rPr>
        <w:t>xxxxxxxxxxxxxxxxx</w:t>
      </w:r>
    </w:p>
    <w:p w14:paraId="444285C4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</w:p>
    <w:p w14:paraId="471287A5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250,00 Kč. </w:t>
      </w:r>
    </w:p>
    <w:p w14:paraId="2CEA9DCF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3FB4D202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10. 9. 2024, ve výši </w:t>
      </w:r>
      <w:r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>
        <w:rPr>
          <w:rFonts w:ascii="Arial" w:hAnsi="Arial" w:cs="Arial"/>
          <w:color w:val="000000"/>
        </w:rPr>
        <w:t>xxxxxxxxxxxxxxx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16E97F54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16C682E0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8. 10. 2024, ve výši </w:t>
      </w:r>
      <w:r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5897782E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 Kč</w:t>
      </w:r>
    </w:p>
    <w:p w14:paraId="45EA6E61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>
        <w:rPr>
          <w:rFonts w:ascii="Arial" w:hAnsi="Arial" w:cs="Arial"/>
          <w:color w:val="000000"/>
        </w:rPr>
        <w:t>xxxxxxxxxxxxxxx</w:t>
      </w:r>
    </w:p>
    <w:p w14:paraId="4D9947C5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</w:p>
    <w:p w14:paraId="0C6323D1" w14:textId="77777777" w:rsidR="0072769E" w:rsidRPr="00D27771" w:rsidRDefault="0072769E" w:rsidP="0072769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12 333,50 Kč. </w:t>
      </w:r>
    </w:p>
    <w:p w14:paraId="78A1821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08DF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AA5B58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23178E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EF7D144" w14:textId="1C97B84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 do společného jmění manželů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424030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494446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710499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E394C7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14:paraId="63CF39E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FEC77A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KÚ Chropyně -  část parc. č. 1262 a parc. č. 1263/41jsou pronajaty.</w:t>
      </w:r>
    </w:p>
    <w:p w14:paraId="4DB738BA" w14:textId="34901261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</w:t>
      </w:r>
      <w:r w:rsidR="00CC5C9E">
        <w:rPr>
          <w:rFonts w:ascii="Arial" w:hAnsi="Arial" w:cs="Arial"/>
          <w:color w:val="000000"/>
          <w:sz w:val="20"/>
          <w:szCs w:val="20"/>
        </w:rPr>
        <w:t>ým</w:t>
      </w:r>
      <w:r>
        <w:rPr>
          <w:rFonts w:ascii="Arial" w:hAnsi="Arial" w:cs="Arial"/>
          <w:color w:val="000000"/>
          <w:sz w:val="20"/>
          <w:szCs w:val="20"/>
        </w:rPr>
        <w:t xml:space="preserve"> pozemk</w:t>
      </w:r>
      <w:r w:rsidR="00CC5C9E">
        <w:rPr>
          <w:rFonts w:ascii="Arial" w:hAnsi="Arial" w:cs="Arial"/>
          <w:color w:val="000000"/>
          <w:sz w:val="20"/>
          <w:szCs w:val="20"/>
        </w:rPr>
        <w:t>ům</w:t>
      </w:r>
      <w:r>
        <w:rPr>
          <w:rFonts w:ascii="Arial" w:hAnsi="Arial" w:cs="Arial"/>
          <w:color w:val="000000"/>
          <w:sz w:val="20"/>
          <w:szCs w:val="20"/>
        </w:rPr>
        <w:t xml:space="preserve"> je řešen nájemní smlouvou číslo 116N08/61, uzavřenou s Peterová Jarmila, jakožto nájemcem. S obsahem nájemní smlouvy byl nabyvatel seznámen před podpisem této smlouvy, což stvrzuje svým podpisem.</w:t>
      </w:r>
    </w:p>
    <w:p w14:paraId="13931BA8" w14:textId="77777777" w:rsidR="00CC5C9E" w:rsidRDefault="00CC5C9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908297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KÚ Chropyně - část parc. č. 1262, je pronajat.</w:t>
      </w:r>
    </w:p>
    <w:p w14:paraId="192B714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117N08/61, uzavřenou s Peterová Jarmila, jakožto nájemcem. S obsahem nájemní smlouvy byl nabyvatel seznámen před podpisem této smlouvy, což stvrzuje svým podpisem.</w:t>
      </w:r>
    </w:p>
    <w:p w14:paraId="32A6843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92B2BB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CCC554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5F078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53C928E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7FCF16E4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E4F652D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6E91A96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7AD988E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29C22B92" w14:textId="0D98CA8F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2D974DDD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2092D840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3C7ED53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C72B4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3BD4EDE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2B7BB5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D99EAB2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3992A679" w14:textId="77777777" w:rsidR="00CC5C9E" w:rsidRDefault="00CC5C9E">
      <w:pPr>
        <w:widowControl/>
        <w:rPr>
          <w:rFonts w:ascii="Arial" w:hAnsi="Arial" w:cs="Arial"/>
          <w:color w:val="000000"/>
        </w:rPr>
      </w:pPr>
    </w:p>
    <w:p w14:paraId="62A89A09" w14:textId="77777777" w:rsidR="00CC5C9E" w:rsidRDefault="00CC5C9E">
      <w:pPr>
        <w:widowControl/>
        <w:rPr>
          <w:rFonts w:ascii="Arial" w:hAnsi="Arial" w:cs="Arial"/>
          <w:color w:val="000000"/>
        </w:rPr>
      </w:pPr>
    </w:p>
    <w:p w14:paraId="6522C3B3" w14:textId="77777777" w:rsidR="00CC5C9E" w:rsidRPr="00D27771" w:rsidRDefault="00CC5C9E">
      <w:pPr>
        <w:widowControl/>
        <w:rPr>
          <w:rFonts w:ascii="Arial" w:hAnsi="Arial" w:cs="Arial"/>
          <w:color w:val="000000"/>
        </w:rPr>
      </w:pPr>
    </w:p>
    <w:p w14:paraId="64CD613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3618524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1A387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EF483D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573D1A8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73F1D7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B59DC0F" w14:textId="5195359F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C5C9E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60C96">
        <w:rPr>
          <w:rFonts w:ascii="Arial" w:hAnsi="Arial" w:cs="Arial"/>
          <w:color w:val="000000"/>
          <w:sz w:val="20"/>
          <w:szCs w:val="20"/>
        </w:rPr>
        <w:t>4.11.2024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460C96">
        <w:rPr>
          <w:rFonts w:ascii="Arial" w:hAnsi="Arial" w:cs="Arial"/>
          <w:color w:val="000000"/>
          <w:sz w:val="20"/>
          <w:szCs w:val="20"/>
        </w:rPr>
        <w:t>Chropyn</w:t>
      </w:r>
      <w:r w:rsidR="00E20041">
        <w:rPr>
          <w:rFonts w:ascii="Arial" w:hAnsi="Arial" w:cs="Arial"/>
          <w:color w:val="000000"/>
          <w:sz w:val="20"/>
          <w:szCs w:val="20"/>
        </w:rPr>
        <w:t>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20041">
        <w:rPr>
          <w:rFonts w:ascii="Arial" w:hAnsi="Arial" w:cs="Arial"/>
          <w:color w:val="000000"/>
          <w:sz w:val="20"/>
          <w:szCs w:val="20"/>
        </w:rPr>
        <w:t>1.11.2024</w:t>
      </w:r>
    </w:p>
    <w:p w14:paraId="515BFB19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BCCB24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E9044A" w14:textId="77777777" w:rsidR="00CC5C9E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23A752E" w14:textId="77777777" w:rsidR="00CC5C9E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643A6C" w14:textId="77777777" w:rsidR="00CC5C9E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802AA43" w14:textId="77777777" w:rsidR="00CC5C9E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93330D0" w14:textId="77777777" w:rsidR="00CC5C9E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93342D0" w14:textId="77777777" w:rsidR="00CC5C9E" w:rsidRPr="00D27771" w:rsidRDefault="00CC5C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CA14D8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48E8A78" w14:textId="33AE3CD2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B62FBEE" w14:textId="555178E2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C5C9E">
        <w:rPr>
          <w:rFonts w:ascii="Arial" w:hAnsi="Arial" w:cs="Arial"/>
          <w:color w:val="000000"/>
          <w:sz w:val="20"/>
          <w:szCs w:val="20"/>
        </w:rPr>
        <w:tab/>
      </w:r>
      <w:r w:rsidR="00CC5C9E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CC5C9E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CC5C9E" w:rsidRPr="00D27771">
        <w:rPr>
          <w:rFonts w:ascii="Arial" w:hAnsi="Arial" w:cs="Arial"/>
          <w:color w:val="000000"/>
          <w:sz w:val="20"/>
          <w:szCs w:val="20"/>
        </w:rPr>
        <w:t>Petera Jan</w:t>
      </w:r>
    </w:p>
    <w:p w14:paraId="2F67A73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36879778" w14:textId="4AB9A7D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ACA94F0" w14:textId="5350DE9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8ECFAD3" w14:textId="77777777" w:rsidR="00CC5C9E" w:rsidRDefault="00CC5C9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8DCF24A" w14:textId="77777777" w:rsidR="00CC5C9E" w:rsidRDefault="00CC5C9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...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</w:t>
      </w:r>
    </w:p>
    <w:p w14:paraId="61B5E75A" w14:textId="052ADD64" w:rsidR="00CC5C9E" w:rsidRDefault="00CC5C9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Nabyvatel</w:t>
      </w:r>
    </w:p>
    <w:p w14:paraId="2AFD8ED6" w14:textId="31975F61" w:rsidR="00CC5C9E" w:rsidRDefault="00CC5C9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Peterová Jarmila</w:t>
      </w:r>
    </w:p>
    <w:p w14:paraId="18C07376" w14:textId="1732C79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A1A392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B0F6B5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99641E6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046AE51B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3E3FA67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C0A00BC" w14:textId="11A01920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C5C9E">
        <w:rPr>
          <w:rFonts w:ascii="Arial" w:hAnsi="Arial" w:cs="Arial"/>
          <w:color w:val="000000"/>
        </w:rPr>
        <w:t xml:space="preserve"> Bc. Denisa Machů</w:t>
      </w:r>
    </w:p>
    <w:p w14:paraId="16CAF26F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2C340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178A6C1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4624CF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A2F3B3B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4100134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AF1A57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36602C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5B8459E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F79470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AA606F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7E67346F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853715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42F3F5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739CC8C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0375E9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7338D5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7FC1D99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9F21610" w14:textId="6AAB2BA9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CC5C9E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474524B3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CD1AF2A" w14:textId="7DD7FB9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8579, 23584 </w:t>
      </w:r>
      <w:r w:rsidR="00CC5C9E">
        <w:rPr>
          <w:rFonts w:ascii="Arial" w:hAnsi="Arial" w:cs="Arial"/>
          <w:color w:val="000000"/>
        </w:rPr>
        <w:t xml:space="preserve">; </w:t>
      </w:r>
      <w:r w:rsidRPr="00D27771">
        <w:rPr>
          <w:rFonts w:ascii="Arial" w:hAnsi="Arial" w:cs="Arial"/>
          <w:color w:val="000000"/>
        </w:rPr>
        <w:t>Datum tisku: 8. 10.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6A78" w14:textId="77777777" w:rsidR="001E06B7" w:rsidRDefault="001E06B7" w:rsidP="00507F8D">
      <w:r>
        <w:separator/>
      </w:r>
    </w:p>
  </w:endnote>
  <w:endnote w:type="continuationSeparator" w:id="0">
    <w:p w14:paraId="6EA6186B" w14:textId="77777777" w:rsidR="001E06B7" w:rsidRDefault="001E06B7" w:rsidP="0050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43D2" w14:textId="410CF1E0" w:rsidR="00155455" w:rsidRDefault="00155455" w:rsidP="00155455">
    <w:pPr>
      <w:pStyle w:val="Zpat"/>
      <w:tabs>
        <w:tab w:val="clear" w:pos="709"/>
      </w:tabs>
      <w:ind w:left="-993"/>
    </w:pPr>
    <w:r>
      <w:rPr>
        <w:noProof/>
      </w:rPr>
      <w:drawing>
        <wp:inline distT="0" distB="0" distL="0" distR="0" wp14:anchorId="28A7E2A3" wp14:editId="4BAE4CE6">
          <wp:extent cx="542925" cy="3810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1476" w14:textId="77777777" w:rsidR="001E06B7" w:rsidRDefault="001E06B7" w:rsidP="00507F8D">
      <w:r>
        <w:separator/>
      </w:r>
    </w:p>
  </w:footnote>
  <w:footnote w:type="continuationSeparator" w:id="0">
    <w:p w14:paraId="452AB456" w14:textId="77777777" w:rsidR="001E06B7" w:rsidRDefault="001E06B7" w:rsidP="0050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969C" w14:textId="312E61CF" w:rsidR="00507F8D" w:rsidRDefault="00507F8D" w:rsidP="00507F8D">
    <w:pPr>
      <w:pStyle w:val="Zhlav"/>
      <w:jc w:val="right"/>
    </w:pPr>
    <w:r w:rsidRPr="00507F8D">
      <w:t>SPU 401371/2024/Mach</w:t>
    </w:r>
  </w:p>
  <w:p w14:paraId="378CB864" w14:textId="49776754" w:rsidR="00507F8D" w:rsidRDefault="00507F8D" w:rsidP="00507F8D">
    <w:pPr>
      <w:pStyle w:val="Zhlav"/>
      <w:jc w:val="right"/>
    </w:pPr>
    <w:r>
      <w:t xml:space="preserve">UID: </w:t>
    </w:r>
    <w:r w:rsidRPr="00507F8D">
      <w:t>spuess920dfc4b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E7E55"/>
    <w:rsid w:val="000F61EA"/>
    <w:rsid w:val="001015DC"/>
    <w:rsid w:val="0012285A"/>
    <w:rsid w:val="00125ACF"/>
    <w:rsid w:val="00150EBF"/>
    <w:rsid w:val="00155455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06B7"/>
    <w:rsid w:val="001E5055"/>
    <w:rsid w:val="0022182F"/>
    <w:rsid w:val="00225878"/>
    <w:rsid w:val="00231BB2"/>
    <w:rsid w:val="0029774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60C96"/>
    <w:rsid w:val="00475830"/>
    <w:rsid w:val="00490EB1"/>
    <w:rsid w:val="004934BF"/>
    <w:rsid w:val="00507F8D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276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11B7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5C9E"/>
    <w:rsid w:val="00CD4C2E"/>
    <w:rsid w:val="00CF1E23"/>
    <w:rsid w:val="00D27771"/>
    <w:rsid w:val="00D67D7B"/>
    <w:rsid w:val="00D75B4F"/>
    <w:rsid w:val="00DB4679"/>
    <w:rsid w:val="00DC5978"/>
    <w:rsid w:val="00DE4537"/>
    <w:rsid w:val="00DF2443"/>
    <w:rsid w:val="00DF4838"/>
    <w:rsid w:val="00DF6D39"/>
    <w:rsid w:val="00E03B26"/>
    <w:rsid w:val="00E20041"/>
    <w:rsid w:val="00E23DFA"/>
    <w:rsid w:val="00E262FD"/>
    <w:rsid w:val="00E569A9"/>
    <w:rsid w:val="00E64305"/>
    <w:rsid w:val="00E870AA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2CA1E"/>
  <w14:defaultImageDpi w14:val="0"/>
  <w15:docId w15:val="{98083D99-94F0-42AD-9710-88C2FB9C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69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1279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7</cp:revision>
  <cp:lastPrinted>2002-01-25T14:18:00Z</cp:lastPrinted>
  <dcterms:created xsi:type="dcterms:W3CDTF">2024-11-04T10:28:00Z</dcterms:created>
  <dcterms:modified xsi:type="dcterms:W3CDTF">2024-11-04T10:32:00Z</dcterms:modified>
</cp:coreProperties>
</file>