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9A" w:rsidRDefault="00B273F5">
      <w:pPr>
        <w:spacing w:after="313"/>
        <w:ind w:left="1798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Smlouva o provedení uměleckého výkonu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13249A" w:rsidRDefault="00B273F5">
      <w:pPr>
        <w:spacing w:after="247"/>
        <w:ind w:left="75" w:right="0" w:firstLine="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5170"/>
          <w:tab w:val="center" w:pos="6373"/>
        </w:tabs>
        <w:spacing w:after="301"/>
        <w:ind w:left="-15" w:right="0" w:firstLine="0"/>
        <w:jc w:val="left"/>
      </w:pPr>
      <w:r>
        <w:rPr>
          <w:b/>
          <w:u w:val="single" w:color="000000"/>
        </w:rPr>
        <w:t>Zhotovitel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="00B33D11">
        <w:t>xxxxxxxxxxxxxxxxxxxx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</w:rPr>
        <w:t xml:space="preserve">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6135"/>
        </w:tabs>
        <w:spacing w:after="304"/>
        <w:ind w:left="-15" w:right="0" w:firstLine="0"/>
        <w:jc w:val="left"/>
      </w:pPr>
      <w:proofErr w:type="gramStart"/>
      <w:r>
        <w:rPr>
          <w:b/>
        </w:rPr>
        <w:t xml:space="preserve">Adresa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 w:rsidR="00B33D11">
        <w:rPr>
          <w:b/>
        </w:rPr>
        <w:t>xxxxxxxxxxxxxxxx</w:t>
      </w:r>
      <w:proofErr w:type="spellEnd"/>
      <w:r>
        <w:rPr>
          <w:sz w:val="20"/>
        </w:rPr>
        <w:t xml:space="preserve">, </w:t>
      </w:r>
      <w:proofErr w:type="spellStart"/>
      <w:r w:rsidR="00B33D11">
        <w:rPr>
          <w:sz w:val="20"/>
        </w:rPr>
        <w:t>xxxxxxxxxxxxxxx</w:t>
      </w:r>
      <w:proofErr w:type="spellEnd"/>
      <w:r>
        <w:rPr>
          <w:sz w:val="20"/>
        </w:rPr>
        <w:t xml:space="preserve"> – </w:t>
      </w:r>
      <w:proofErr w:type="spellStart"/>
      <w:r w:rsidR="00B33D11">
        <w:rPr>
          <w:sz w:val="20"/>
        </w:rPr>
        <w:t>vvvvvvvvv</w:t>
      </w:r>
      <w:proofErr w:type="spellEnd"/>
      <w:r>
        <w:t xml:space="preserve"> </w:t>
      </w:r>
    </w:p>
    <w:p w:rsidR="0013249A" w:rsidRDefault="00B273F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147"/>
        </w:tabs>
        <w:spacing w:after="277"/>
        <w:ind w:left="-15" w:right="0" w:firstLine="0"/>
        <w:jc w:val="left"/>
      </w:pPr>
      <w:r>
        <w:rPr>
          <w:b/>
        </w:rPr>
        <w:t>IČO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19297114, plátce DPH </w:t>
      </w:r>
    </w:p>
    <w:p w:rsidR="0013249A" w:rsidRDefault="00B273F5">
      <w:pPr>
        <w:spacing w:after="277"/>
        <w:ind w:left="-5" w:right="0"/>
        <w:jc w:val="left"/>
      </w:pPr>
      <w:r>
        <w:rPr>
          <w:b/>
          <w:sz w:val="20"/>
        </w:rPr>
        <w:t xml:space="preserve">DIČ                                                                                        </w:t>
      </w:r>
      <w:r>
        <w:rPr>
          <w:sz w:val="20"/>
        </w:rPr>
        <w:t>CZ19297114</w:t>
      </w:r>
      <w:r>
        <w:rPr>
          <w:b/>
        </w:rPr>
        <w:t xml:space="preserve"> </w:t>
      </w:r>
    </w:p>
    <w:p w:rsidR="0013249A" w:rsidRDefault="00B273F5">
      <w:pPr>
        <w:tabs>
          <w:tab w:val="center" w:pos="3541"/>
          <w:tab w:val="center" w:pos="4997"/>
        </w:tabs>
        <w:spacing w:after="295"/>
        <w:ind w:left="-15" w:right="0" w:firstLine="0"/>
        <w:jc w:val="left"/>
      </w:pPr>
      <w:r>
        <w:rPr>
          <w:b/>
        </w:rPr>
        <w:t xml:space="preserve">Bankovní spojení – číslo </w:t>
      </w:r>
      <w:proofErr w:type="gramStart"/>
      <w:r>
        <w:rPr>
          <w:b/>
        </w:rPr>
        <w:t>účtu</w:t>
      </w:r>
      <w:r>
        <w:t xml:space="preserve">  </w:t>
      </w:r>
      <w:r>
        <w:tab/>
      </w:r>
      <w:proofErr w:type="gramEnd"/>
      <w:r>
        <w:t xml:space="preserve"> </w:t>
      </w:r>
      <w:r>
        <w:tab/>
      </w:r>
      <w:proofErr w:type="spellStart"/>
      <w:r w:rsidR="00B33D11">
        <w:t>xxxxxxxxxxxxxxx</w:t>
      </w:r>
      <w:proofErr w:type="spellEnd"/>
      <w:r>
        <w:t xml:space="preserve"> </w:t>
      </w:r>
    </w:p>
    <w:p w:rsidR="0013249A" w:rsidRDefault="00B273F5">
      <w:pPr>
        <w:tabs>
          <w:tab w:val="center" w:pos="1416"/>
          <w:tab w:val="center" w:pos="2125"/>
          <w:tab w:val="center" w:pos="4692"/>
        </w:tabs>
        <w:spacing w:after="277"/>
        <w:ind w:left="-15" w:right="0" w:firstLine="0"/>
        <w:jc w:val="left"/>
      </w:pPr>
      <w:r>
        <w:rPr>
          <w:b/>
        </w:rPr>
        <w:t xml:space="preserve">E-mail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  <w:proofErr w:type="spellStart"/>
      <w:r w:rsidR="00B33D11">
        <w:t>xxxxxxxxxxxxxxxxxxxxxxxxxxx</w:t>
      </w:r>
      <w:proofErr w:type="spellEnd"/>
      <w:r>
        <w:t xml:space="preserve"> </w:t>
      </w:r>
    </w:p>
    <w:p w:rsidR="0013249A" w:rsidRDefault="00B273F5">
      <w:pPr>
        <w:spacing w:after="294"/>
        <w:ind w:left="0" w:right="0" w:firstLine="0"/>
        <w:jc w:val="left"/>
      </w:pPr>
      <w:r>
        <w:t xml:space="preserve">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4965"/>
        </w:tabs>
        <w:spacing w:after="303"/>
        <w:ind w:left="-15" w:right="0" w:firstLine="0"/>
        <w:jc w:val="left"/>
      </w:pPr>
      <w:r>
        <w:rPr>
          <w:b/>
          <w:u w:val="single" w:color="000000"/>
        </w:rPr>
        <w:t>Dopravce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="00B33D11">
        <w:t>xxxxxxxxxxxxxxxx</w:t>
      </w:r>
      <w:proofErr w:type="spellEnd"/>
      <w:r>
        <w:t xml:space="preserve">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6054"/>
        </w:tabs>
        <w:spacing w:after="302"/>
        <w:ind w:left="-15" w:right="0" w:firstLine="0"/>
        <w:jc w:val="left"/>
      </w:pPr>
      <w:r>
        <w:rPr>
          <w:b/>
        </w:rPr>
        <w:t>Adresa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="00B33D11">
        <w:t>xxxxxxxxxxxxxxxx</w:t>
      </w:r>
      <w:proofErr w:type="spellEnd"/>
      <w:r>
        <w:rPr>
          <w:sz w:val="20"/>
        </w:rPr>
        <w:t xml:space="preserve">, </w:t>
      </w:r>
      <w:proofErr w:type="spellStart"/>
      <w:r w:rsidR="00B33D11">
        <w:rPr>
          <w:sz w:val="20"/>
        </w:rPr>
        <w:t>xxxxxxxxxxxxxxxx</w:t>
      </w:r>
      <w:proofErr w:type="spellEnd"/>
      <w:r>
        <w:rPr>
          <w:sz w:val="20"/>
        </w:rPr>
        <w:t xml:space="preserve"> – </w:t>
      </w:r>
      <w:proofErr w:type="spellStart"/>
      <w:r w:rsidR="00B33D11">
        <w:rPr>
          <w:sz w:val="20"/>
        </w:rPr>
        <w:t>xxxxxxx</w:t>
      </w:r>
      <w:proofErr w:type="spellEnd"/>
    </w:p>
    <w:p w:rsidR="0013249A" w:rsidRDefault="00B273F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249"/>
        </w:tabs>
        <w:spacing w:after="277"/>
        <w:ind w:left="-15" w:right="0" w:firstLine="0"/>
        <w:jc w:val="left"/>
      </w:pPr>
      <w:r>
        <w:rPr>
          <w:b/>
        </w:rPr>
        <w:t>IČO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>64587584, neplátce DPH</w:t>
      </w:r>
      <w:r>
        <w:t xml:space="preserve"> </w:t>
      </w:r>
    </w:p>
    <w:p w:rsidR="0013249A" w:rsidRDefault="00B273F5">
      <w:pPr>
        <w:tabs>
          <w:tab w:val="center" w:pos="3541"/>
          <w:tab w:val="center" w:pos="4996"/>
        </w:tabs>
        <w:spacing w:after="295"/>
        <w:ind w:left="-15" w:right="0" w:firstLine="0"/>
        <w:jc w:val="left"/>
      </w:pPr>
      <w:r>
        <w:rPr>
          <w:b/>
        </w:rPr>
        <w:t xml:space="preserve">Bankovní spojení – číslo </w:t>
      </w:r>
      <w:proofErr w:type="gramStart"/>
      <w:r>
        <w:rPr>
          <w:b/>
        </w:rPr>
        <w:t>účtu</w:t>
      </w:r>
      <w:r>
        <w:t xml:space="preserve">  </w:t>
      </w:r>
      <w:r>
        <w:tab/>
      </w:r>
      <w:proofErr w:type="gramEnd"/>
      <w:r>
        <w:t xml:space="preserve"> </w:t>
      </w:r>
      <w:r>
        <w:tab/>
      </w:r>
      <w:proofErr w:type="spellStart"/>
      <w:r w:rsidR="00B33D11">
        <w:t>xxxxxxxxxxxxxxx</w:t>
      </w:r>
      <w:proofErr w:type="spellEnd"/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4966"/>
        </w:tabs>
        <w:spacing w:after="277"/>
        <w:ind w:left="-15" w:right="0" w:firstLine="0"/>
        <w:jc w:val="left"/>
      </w:pPr>
      <w:r>
        <w:rPr>
          <w:b/>
        </w:rPr>
        <w:t>Zastoupení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="00B33D11">
        <w:t>xxxxxxxxxxxxxxxx</w:t>
      </w:r>
      <w:proofErr w:type="spellEnd"/>
      <w:r>
        <w:t xml:space="preserve"> </w:t>
      </w:r>
    </w:p>
    <w:p w:rsidR="0013249A" w:rsidRDefault="00B273F5">
      <w:pPr>
        <w:spacing w:after="290"/>
        <w:ind w:left="0" w:right="0" w:firstLine="0"/>
        <w:jc w:val="left"/>
      </w:pPr>
      <w:r>
        <w:t xml:space="preserve"> </w:t>
      </w:r>
    </w:p>
    <w:p w:rsidR="0013249A" w:rsidRDefault="00B273F5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4830"/>
        </w:tabs>
        <w:spacing w:after="277"/>
        <w:ind w:left="-15" w:right="0" w:firstLine="0"/>
        <w:jc w:val="left"/>
      </w:pPr>
      <w:r>
        <w:rPr>
          <w:b/>
          <w:sz w:val="20"/>
          <w:u w:val="single" w:color="000000"/>
        </w:rPr>
        <w:t>Pořadatel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Město Bruntál 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5380"/>
        </w:tabs>
        <w:spacing w:after="277"/>
        <w:ind w:left="-15" w:right="0" w:firstLine="0"/>
        <w:jc w:val="left"/>
      </w:pPr>
      <w:proofErr w:type="gramStart"/>
      <w:r>
        <w:rPr>
          <w:b/>
          <w:sz w:val="20"/>
        </w:rPr>
        <w:t>Adresa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 w:rsidR="00B33D11">
        <w:rPr>
          <w:sz w:val="20"/>
        </w:rPr>
        <w:t>xxxxxxxxxxx</w:t>
      </w:r>
      <w:proofErr w:type="spellEnd"/>
      <w:r>
        <w:rPr>
          <w:sz w:val="20"/>
        </w:rPr>
        <w:t xml:space="preserve">, </w:t>
      </w:r>
      <w:proofErr w:type="spellStart"/>
      <w:r w:rsidR="00B33D11">
        <w:rPr>
          <w:sz w:val="20"/>
        </w:rPr>
        <w:t>xxxxxxxxxxxxxx</w:t>
      </w:r>
      <w:proofErr w:type="spellEnd"/>
      <w:r>
        <w:rPr>
          <w:sz w:val="20"/>
        </w:rPr>
        <w:t xml:space="preserve"> </w:t>
      </w:r>
    </w:p>
    <w:p w:rsidR="0013249A" w:rsidRDefault="00B273F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147"/>
        </w:tabs>
        <w:spacing w:after="277"/>
        <w:ind w:left="-15" w:right="0" w:firstLine="0"/>
        <w:jc w:val="left"/>
      </w:pPr>
      <w:r>
        <w:rPr>
          <w:b/>
          <w:sz w:val="20"/>
        </w:rPr>
        <w:t>IČO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00295892, plátce DPH </w:t>
      </w:r>
    </w:p>
    <w:p w:rsidR="0013249A" w:rsidRDefault="00B273F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753"/>
        </w:tabs>
        <w:spacing w:after="277"/>
        <w:ind w:left="-15" w:right="0" w:firstLine="0"/>
        <w:jc w:val="left"/>
      </w:pPr>
      <w:r>
        <w:rPr>
          <w:b/>
          <w:sz w:val="20"/>
        </w:rPr>
        <w:t>DIČ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CZ00295892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5498"/>
        </w:tabs>
        <w:spacing w:after="277"/>
        <w:ind w:left="-15" w:right="0" w:firstLine="0"/>
        <w:jc w:val="left"/>
      </w:pPr>
      <w:r>
        <w:rPr>
          <w:b/>
          <w:sz w:val="20"/>
        </w:rPr>
        <w:t>Zastoupení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 w:rsidR="00B1644B">
        <w:rPr>
          <w:sz w:val="20"/>
        </w:rPr>
        <w:t>xxxxxxxxxxxxxxx</w:t>
      </w:r>
      <w:proofErr w:type="spellEnd"/>
      <w:r>
        <w:rPr>
          <w:sz w:val="20"/>
        </w:rPr>
        <w:t xml:space="preserve">, místostarosta </w:t>
      </w:r>
    </w:p>
    <w:p w:rsidR="0013249A" w:rsidRDefault="00B273F5">
      <w:pPr>
        <w:tabs>
          <w:tab w:val="center" w:pos="2125"/>
          <w:tab w:val="center" w:pos="2833"/>
          <w:tab w:val="center" w:pos="3541"/>
          <w:tab w:val="center" w:pos="5573"/>
        </w:tabs>
        <w:spacing w:after="277"/>
        <w:ind w:left="-15" w:right="0" w:firstLine="0"/>
        <w:jc w:val="left"/>
      </w:pPr>
      <w:r>
        <w:rPr>
          <w:b/>
          <w:sz w:val="20"/>
        </w:rPr>
        <w:t xml:space="preserve">Kontaktní </w:t>
      </w:r>
      <w:proofErr w:type="gramStart"/>
      <w:r>
        <w:rPr>
          <w:b/>
          <w:sz w:val="20"/>
        </w:rPr>
        <w:t>osoba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 w:rsidR="00B1644B">
        <w:rPr>
          <w:sz w:val="20"/>
        </w:rPr>
        <w:t>xxxxxxxxxxxxxx</w:t>
      </w:r>
      <w:proofErr w:type="spellEnd"/>
      <w:r>
        <w:rPr>
          <w:sz w:val="20"/>
        </w:rPr>
        <w:t xml:space="preserve">, oddělení kultury </w:t>
      </w:r>
    </w:p>
    <w:p w:rsidR="0013249A" w:rsidRDefault="00B273F5">
      <w:pPr>
        <w:tabs>
          <w:tab w:val="center" w:pos="2125"/>
          <w:tab w:val="center" w:pos="2833"/>
          <w:tab w:val="center" w:pos="3541"/>
          <w:tab w:val="center" w:pos="4974"/>
        </w:tabs>
        <w:spacing w:after="263"/>
        <w:ind w:left="0" w:right="0" w:firstLine="0"/>
        <w:jc w:val="left"/>
      </w:pPr>
      <w:r>
        <w:rPr>
          <w:b/>
          <w:sz w:val="20"/>
        </w:rPr>
        <w:t>Telefonní spojení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+</w:t>
      </w:r>
      <w:proofErr w:type="spellStart"/>
      <w:r w:rsidR="00B1644B">
        <w:rPr>
          <w:sz w:val="20"/>
        </w:rPr>
        <w:t>xxx</w:t>
      </w:r>
      <w:proofErr w:type="spellEnd"/>
      <w:r w:rsidR="00B1644B">
        <w:rPr>
          <w:sz w:val="20"/>
        </w:rPr>
        <w:t xml:space="preserve"> </w:t>
      </w:r>
      <w:proofErr w:type="spellStart"/>
      <w:r w:rsidR="00B1644B">
        <w:rPr>
          <w:sz w:val="20"/>
        </w:rPr>
        <w:t>xxx</w:t>
      </w:r>
      <w:proofErr w:type="spellEnd"/>
      <w:r w:rsidR="00B1644B">
        <w:rPr>
          <w:sz w:val="20"/>
        </w:rPr>
        <w:t xml:space="preserve"> </w:t>
      </w:r>
      <w:proofErr w:type="spellStart"/>
      <w:r w:rsidR="00B1644B">
        <w:rPr>
          <w:sz w:val="20"/>
        </w:rPr>
        <w:t>xxx</w:t>
      </w:r>
      <w:proofErr w:type="spellEnd"/>
      <w:r w:rsidR="00B1644B">
        <w:rPr>
          <w:sz w:val="20"/>
        </w:rPr>
        <w:t xml:space="preserve"> </w:t>
      </w:r>
      <w:proofErr w:type="spellStart"/>
      <w:r w:rsidR="00B1644B">
        <w:rPr>
          <w:sz w:val="20"/>
        </w:rPr>
        <w:t>xxx</w:t>
      </w:r>
      <w:proofErr w:type="spellEnd"/>
      <w:r>
        <w:rPr>
          <w:sz w:val="20"/>
        </w:rPr>
        <w:t xml:space="preserve"> </w:t>
      </w:r>
    </w:p>
    <w:p w:rsidR="0013249A" w:rsidRDefault="00B273F5">
      <w:pPr>
        <w:spacing w:after="263"/>
        <w:ind w:left="0" w:right="0" w:firstLine="0"/>
        <w:jc w:val="left"/>
      </w:pPr>
      <w:r>
        <w:rPr>
          <w:sz w:val="20"/>
        </w:rPr>
        <w:t xml:space="preserve"> </w:t>
      </w:r>
    </w:p>
    <w:p w:rsidR="0013249A" w:rsidRDefault="00B273F5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:rsidR="0013249A" w:rsidRDefault="00B273F5">
      <w:pPr>
        <w:pStyle w:val="Nadpis1"/>
        <w:spacing w:after="284"/>
        <w:ind w:left="345" w:hanging="360"/>
      </w:pPr>
      <w:r>
        <w:lastRenderedPageBreak/>
        <w:t xml:space="preserve">Předmět a místo plnění </w:t>
      </w:r>
    </w:p>
    <w:p w:rsidR="0013249A" w:rsidRDefault="00B273F5">
      <w:pPr>
        <w:tabs>
          <w:tab w:val="center" w:pos="1416"/>
          <w:tab w:val="center" w:pos="2125"/>
          <w:tab w:val="center" w:pos="2833"/>
          <w:tab w:val="center" w:pos="3541"/>
          <w:tab w:val="center" w:pos="4491"/>
        </w:tabs>
        <w:spacing w:after="276"/>
        <w:ind w:left="-15" w:right="0" w:firstLine="0"/>
        <w:jc w:val="left"/>
      </w:pPr>
      <w:r>
        <w:t xml:space="preserve">       Titul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  <w:sz w:val="20"/>
        </w:rPr>
        <w:t>Kytice</w:t>
      </w:r>
      <w:r>
        <w:t xml:space="preserve"> </w:t>
      </w:r>
    </w:p>
    <w:p w:rsidR="0013249A" w:rsidRDefault="00B273F5">
      <w:pPr>
        <w:tabs>
          <w:tab w:val="center" w:pos="2125"/>
          <w:tab w:val="center" w:pos="2833"/>
          <w:tab w:val="center" w:pos="4867"/>
        </w:tabs>
        <w:spacing w:after="296"/>
        <w:ind w:left="0" w:right="0" w:firstLine="0"/>
        <w:jc w:val="left"/>
      </w:pPr>
      <w:r>
        <w:t xml:space="preserve">       Místo konání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  <w:r>
        <w:rPr>
          <w:i/>
          <w:sz w:val="20"/>
        </w:rPr>
        <w:t>Městské divadlo Bruntál</w:t>
      </w:r>
      <w:r>
        <w:rPr>
          <w:i/>
        </w:rPr>
        <w:t xml:space="preserve"> </w:t>
      </w:r>
    </w:p>
    <w:p w:rsidR="0013249A" w:rsidRDefault="00B273F5">
      <w:pPr>
        <w:tabs>
          <w:tab w:val="center" w:pos="2125"/>
          <w:tab w:val="center" w:pos="2833"/>
          <w:tab w:val="center" w:pos="5365"/>
        </w:tabs>
        <w:spacing w:after="276"/>
        <w:ind w:left="-15" w:right="0" w:firstLine="0"/>
        <w:jc w:val="left"/>
      </w:pPr>
      <w:r>
        <w:t xml:space="preserve">       Datum a hodina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  <w:r>
        <w:rPr>
          <w:i/>
          <w:sz w:val="20"/>
        </w:rPr>
        <w:t>7. listopadu 2024, 8:30 a 10:</w:t>
      </w:r>
      <w:proofErr w:type="gramStart"/>
      <w:r>
        <w:rPr>
          <w:i/>
          <w:sz w:val="20"/>
        </w:rPr>
        <w:t>30  hod.</w:t>
      </w:r>
      <w:proofErr w:type="gramEnd"/>
      <w:r>
        <w:rPr>
          <w:i/>
          <w:sz w:val="20"/>
        </w:rPr>
        <w:t xml:space="preserve"> </w:t>
      </w:r>
    </w:p>
    <w:p w:rsidR="0013249A" w:rsidRDefault="00B273F5">
      <w:pPr>
        <w:spacing w:after="326"/>
        <w:ind w:left="0" w:right="0" w:firstLine="0"/>
        <w:jc w:val="left"/>
      </w:pPr>
      <w:r>
        <w:t xml:space="preserve"> </w:t>
      </w:r>
    </w:p>
    <w:p w:rsidR="0013249A" w:rsidRDefault="00B273F5">
      <w:pPr>
        <w:pStyle w:val="Nadpis1"/>
        <w:ind w:left="345" w:hanging="360"/>
      </w:pPr>
      <w:r>
        <w:t xml:space="preserve">Podmínky provedení díla </w:t>
      </w:r>
    </w:p>
    <w:p w:rsidR="0013249A" w:rsidRDefault="00B273F5">
      <w:pPr>
        <w:spacing w:after="150" w:line="366" w:lineRule="auto"/>
        <w:ind w:left="345" w:right="0" w:hanging="360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Zhotovitel je vázán pokyny pořadatele ohledně bezpečnosti práce a požární ochrany v místě konání. Pořadatel poskytne maximální součinnost nutnou k úspěšnému provedení díla a umožní přístup do sálu minimálně 120 min. před začátkem. </w:t>
      </w:r>
    </w:p>
    <w:p w:rsidR="0013249A" w:rsidRDefault="00B273F5">
      <w:pPr>
        <w:spacing w:after="329"/>
        <w:ind w:left="0" w:right="0" w:firstLine="0"/>
        <w:jc w:val="left"/>
      </w:pPr>
      <w:r>
        <w:t xml:space="preserve"> </w:t>
      </w:r>
    </w:p>
    <w:p w:rsidR="0013249A" w:rsidRDefault="00B273F5">
      <w:pPr>
        <w:pStyle w:val="Nadpis1"/>
        <w:ind w:left="345" w:hanging="360"/>
      </w:pPr>
      <w:r>
        <w:t xml:space="preserve">Technické podmínky – zajistí pořadatel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přístup do hracího prostoru 120 min. před začátkem představení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parkování před místem konání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přítomnost 2 techniků na výpomoc (v rámci možností)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připojení na zvuk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klasické divadelní osvětlení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přítomnost místního osvětlovače v případě potřeby instruktáže k světelným parkům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napojení na tablet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na jevišti je třeba odposlech (v rámci možností) </w:t>
      </w:r>
    </w:p>
    <w:p w:rsidR="0013249A" w:rsidRDefault="00B273F5">
      <w:pPr>
        <w:numPr>
          <w:ilvl w:val="0"/>
          <w:numId w:val="1"/>
        </w:numPr>
        <w:ind w:right="0" w:hanging="360"/>
      </w:pPr>
      <w:r>
        <w:t xml:space="preserve">zajištění dvou samostatných uzamykatelných šaten pro umělce – páni a dámy (v rámci možností) </w:t>
      </w:r>
    </w:p>
    <w:p w:rsidR="0013249A" w:rsidRDefault="00B273F5">
      <w:pPr>
        <w:spacing w:after="328"/>
        <w:ind w:left="0" w:right="0" w:firstLine="0"/>
        <w:jc w:val="left"/>
      </w:pPr>
      <w:r>
        <w:t xml:space="preserve"> </w:t>
      </w:r>
    </w:p>
    <w:p w:rsidR="0013249A" w:rsidRDefault="00B273F5">
      <w:pPr>
        <w:pStyle w:val="Nadpis1"/>
        <w:ind w:left="345" w:hanging="360"/>
      </w:pPr>
      <w:r>
        <w:t xml:space="preserve">Platební podmínky </w:t>
      </w:r>
    </w:p>
    <w:p w:rsidR="0013249A" w:rsidRDefault="00B273F5">
      <w:pPr>
        <w:numPr>
          <w:ilvl w:val="0"/>
          <w:numId w:val="2"/>
        </w:numPr>
        <w:spacing w:after="141" w:line="363" w:lineRule="auto"/>
        <w:ind w:right="0" w:hanging="360"/>
      </w:pPr>
      <w:r>
        <w:rPr>
          <w:b/>
        </w:rPr>
        <w:t>Pořadatel</w:t>
      </w:r>
      <w:r>
        <w:t xml:space="preserve"> uhradí smluvenou částku </w:t>
      </w:r>
      <w:r>
        <w:rPr>
          <w:b/>
        </w:rPr>
        <w:t>57.000 Kč + 21% DPH</w:t>
      </w:r>
      <w:r>
        <w:t xml:space="preserve">   na </w:t>
      </w:r>
      <w:r>
        <w:rPr>
          <w:i/>
        </w:rPr>
        <w:t>účet zhotovitele</w:t>
      </w:r>
      <w:r>
        <w:t xml:space="preserve"> –</w:t>
      </w:r>
      <w:r w:rsidR="00136C5C">
        <w:t xml:space="preserve"> xxxxxxxxxxxxxxxx</w:t>
      </w:r>
      <w:bookmarkStart w:id="0" w:name="_GoBack"/>
      <w:bookmarkEnd w:id="0"/>
      <w:r>
        <w:t xml:space="preserve"> nejpozději do 15. 11. 2024 na základě faktury vystavené zhotovitelem. Současně také uhradí cestovní výlohy ve výši </w:t>
      </w:r>
      <w:r>
        <w:rPr>
          <w:b/>
        </w:rPr>
        <w:t>4.400 Kč</w:t>
      </w:r>
      <w:r>
        <w:t xml:space="preserve"> na </w:t>
      </w:r>
      <w:r>
        <w:rPr>
          <w:i/>
        </w:rPr>
        <w:t>účet dopravce</w:t>
      </w:r>
      <w:r>
        <w:t xml:space="preserve"> – </w:t>
      </w:r>
      <w:proofErr w:type="spellStart"/>
      <w:r w:rsidR="00B1644B">
        <w:t>xxxxxxxxxxxxxxx</w:t>
      </w:r>
      <w:proofErr w:type="spellEnd"/>
      <w:r>
        <w:rPr>
          <w:sz w:val="20"/>
        </w:rPr>
        <w:t xml:space="preserve"> </w:t>
      </w:r>
      <w:r>
        <w:t xml:space="preserve">na základě faktury vystavené dopravcem. </w:t>
      </w:r>
    </w:p>
    <w:p w:rsidR="0013249A" w:rsidRDefault="00B273F5">
      <w:pPr>
        <w:numPr>
          <w:ilvl w:val="0"/>
          <w:numId w:val="2"/>
        </w:numPr>
        <w:ind w:right="0" w:hanging="360"/>
      </w:pPr>
      <w:r>
        <w:rPr>
          <w:b/>
        </w:rPr>
        <w:lastRenderedPageBreak/>
        <w:t xml:space="preserve">Pořadatel </w:t>
      </w:r>
      <w:r>
        <w:t xml:space="preserve">dále zajistí ubytování celému uměleckému souboru (8 osob) z 6.11 na 7.11 </w:t>
      </w:r>
    </w:p>
    <w:p w:rsidR="0013249A" w:rsidRDefault="00B273F5">
      <w:pPr>
        <w:numPr>
          <w:ilvl w:val="0"/>
          <w:numId w:val="2"/>
        </w:numPr>
        <w:spacing w:after="137" w:line="366" w:lineRule="auto"/>
        <w:ind w:right="0" w:hanging="360"/>
      </w:pPr>
      <w:r>
        <w:rPr>
          <w:b/>
        </w:rPr>
        <w:t xml:space="preserve">Pořadatel </w:t>
      </w:r>
      <w:r>
        <w:t xml:space="preserve">dále uhradí autorovi režie inscenace „Kytice“ </w:t>
      </w:r>
      <w:proofErr w:type="spellStart"/>
      <w:r w:rsidR="00B1644B">
        <w:t>xxxxxxxxxxxxxxxxx</w:t>
      </w:r>
      <w:proofErr w:type="spellEnd"/>
      <w:r>
        <w:t xml:space="preserve"> (není plátce </w:t>
      </w:r>
      <w:proofErr w:type="gramStart"/>
      <w:r>
        <w:t xml:space="preserve">DPH)  </w:t>
      </w:r>
      <w:r>
        <w:rPr>
          <w:b/>
        </w:rPr>
        <w:t>8</w:t>
      </w:r>
      <w:proofErr w:type="gramEnd"/>
      <w:r>
        <w:rPr>
          <w:b/>
        </w:rPr>
        <w:t xml:space="preserve"> % autorských poplatků </w:t>
      </w:r>
      <w:r>
        <w:t xml:space="preserve"> z hrubého obratu z představení na účet </w:t>
      </w:r>
      <w:proofErr w:type="spellStart"/>
      <w:r w:rsidR="00B1644B">
        <w:t>xxxxxxxxxxxxxxxxxxxxxx</w:t>
      </w:r>
      <w:proofErr w:type="spellEnd"/>
      <w:r>
        <w:rPr>
          <w:b/>
        </w:rPr>
        <w:t xml:space="preserve"> </w:t>
      </w:r>
      <w:r>
        <w:t xml:space="preserve">do 7 dnů od data představení. </w:t>
      </w:r>
    </w:p>
    <w:p w:rsidR="0013249A" w:rsidRDefault="00B273F5">
      <w:pPr>
        <w:numPr>
          <w:ilvl w:val="0"/>
          <w:numId w:val="2"/>
        </w:numPr>
        <w:spacing w:after="138" w:line="365" w:lineRule="auto"/>
        <w:ind w:right="0" w:hanging="360"/>
      </w:pPr>
      <w:r>
        <w:rPr>
          <w:b/>
        </w:rPr>
        <w:t xml:space="preserve">Pořadatel </w:t>
      </w:r>
      <w:r>
        <w:t xml:space="preserve">dále uhradí choreografovi inscenace „Kytice“ </w:t>
      </w:r>
      <w:proofErr w:type="spellStart"/>
      <w:r w:rsidR="00B1644B">
        <w:t>xxxxxxxxxxxxxxxxx</w:t>
      </w:r>
      <w:proofErr w:type="spellEnd"/>
      <w:r>
        <w:t xml:space="preserve"> (není plátce </w:t>
      </w:r>
      <w:proofErr w:type="gramStart"/>
      <w:r>
        <w:t xml:space="preserve">DPH)  </w:t>
      </w:r>
      <w:r>
        <w:rPr>
          <w:b/>
        </w:rPr>
        <w:t>4</w:t>
      </w:r>
      <w:proofErr w:type="gramEnd"/>
      <w:r>
        <w:rPr>
          <w:b/>
        </w:rPr>
        <w:t xml:space="preserve"> % autorských poplatků </w:t>
      </w:r>
      <w:r>
        <w:t xml:space="preserve"> z hrubého obratu z představení na účet </w:t>
      </w:r>
      <w:proofErr w:type="spellStart"/>
      <w:r w:rsidR="00B1644B">
        <w:t>xxxxxxxxxxxxxxx</w:t>
      </w:r>
      <w:proofErr w:type="spellEnd"/>
      <w:r>
        <w:rPr>
          <w:b/>
        </w:rPr>
        <w:t xml:space="preserve"> </w:t>
      </w:r>
      <w:r>
        <w:t xml:space="preserve">do 20ti dnů od data představení. </w:t>
      </w:r>
    </w:p>
    <w:p w:rsidR="0013249A" w:rsidRDefault="00B273F5">
      <w:pPr>
        <w:numPr>
          <w:ilvl w:val="0"/>
          <w:numId w:val="2"/>
        </w:numPr>
        <w:ind w:right="0" w:hanging="360"/>
      </w:pPr>
      <w:r>
        <w:rPr>
          <w:b/>
        </w:rPr>
        <w:t xml:space="preserve">Zhotovitel </w:t>
      </w:r>
      <w:r>
        <w:t xml:space="preserve">zajistí služby dopravce. Uhradí honoráře umělcům a technickému štábu v plné výši.  </w:t>
      </w:r>
    </w:p>
    <w:p w:rsidR="0013249A" w:rsidRDefault="00B273F5">
      <w:pPr>
        <w:numPr>
          <w:ilvl w:val="0"/>
          <w:numId w:val="2"/>
        </w:numPr>
        <w:spacing w:after="131" w:line="371" w:lineRule="auto"/>
        <w:ind w:right="0" w:hanging="360"/>
      </w:pPr>
      <w:r>
        <w:rPr>
          <w:b/>
        </w:rPr>
        <w:t xml:space="preserve">Dopravce </w:t>
      </w:r>
      <w:r>
        <w:t xml:space="preserve">zajistí dopravu účinkujících, osvětlovače, zvukaře, technika, scény, rekvizit a technického vybavení. </w:t>
      </w:r>
    </w:p>
    <w:p w:rsidR="0013249A" w:rsidRDefault="00B273F5">
      <w:pPr>
        <w:numPr>
          <w:ilvl w:val="0"/>
          <w:numId w:val="2"/>
        </w:numPr>
        <w:spacing w:after="49"/>
        <w:ind w:right="0" w:hanging="360"/>
      </w:pPr>
      <w:r>
        <w:rPr>
          <w:b/>
        </w:rPr>
        <w:t>Storno podmínky – zrušení představení ze strany pořadatele:</w:t>
      </w:r>
      <w:r>
        <w:t xml:space="preserve"> </w:t>
      </w:r>
    </w:p>
    <w:p w:rsidR="0013249A" w:rsidRDefault="00B273F5">
      <w:pPr>
        <w:spacing w:after="53" w:line="359" w:lineRule="auto"/>
        <w:ind w:left="360" w:right="1573" w:firstLine="0"/>
        <w:jc w:val="left"/>
      </w:pPr>
      <w:r>
        <w:t xml:space="preserve">více jak 30 dnů před představením – storno poplatek </w:t>
      </w:r>
      <w:proofErr w:type="gramStart"/>
      <w:r>
        <w:t>0%</w:t>
      </w:r>
      <w:proofErr w:type="gramEnd"/>
      <w:r>
        <w:t xml:space="preserve"> z ceny představení více jak 15 dnů, ale méně než 30 dnů – storno poplatek 50% z ceny představení méně jak 15 dnů – storno poplatek ve výši 75% z ceny představení </w:t>
      </w:r>
    </w:p>
    <w:p w:rsidR="0013249A" w:rsidRDefault="00B273F5">
      <w:pPr>
        <w:pStyle w:val="Nadpis1"/>
        <w:spacing w:after="140"/>
        <w:ind w:left="345" w:hanging="360"/>
      </w:pPr>
      <w:r>
        <w:t xml:space="preserve">Závěrečná ustanovení </w:t>
      </w:r>
    </w:p>
    <w:p w:rsidR="0013249A" w:rsidRDefault="00B273F5">
      <w:pPr>
        <w:numPr>
          <w:ilvl w:val="0"/>
          <w:numId w:val="3"/>
        </w:numPr>
        <w:spacing w:after="35" w:line="358" w:lineRule="auto"/>
        <w:ind w:right="0" w:hanging="360"/>
      </w:pPr>
      <w:r>
        <w:t xml:space="preserve">Smluvní strany se zavazují vyvinout maximální úsilí k dosažení účelu smlouvy. Práva a povinnosti smluvních stran nedefinovaných touto smlouvou se řeší v souladu s ustanoveními občanského zákoníku. </w:t>
      </w:r>
    </w:p>
    <w:p w:rsidR="0013249A" w:rsidRDefault="00B273F5">
      <w:pPr>
        <w:numPr>
          <w:ilvl w:val="0"/>
          <w:numId w:val="3"/>
        </w:numPr>
        <w:spacing w:after="34" w:line="359" w:lineRule="auto"/>
        <w:ind w:right="0" w:hanging="360"/>
      </w:pPr>
      <w:r>
        <w:t xml:space="preserve">V případě nepředvídatelné události na straně umělce (vážné onemocnění, úmrtí v rodině, úraz apod.) nevzniká stranám nárok na odškodnění. Vždy je však povinností agentury s touto skutečností pořadatele seznámit a následně ji doložit. </w:t>
      </w:r>
    </w:p>
    <w:p w:rsidR="0013249A" w:rsidRDefault="00B273F5">
      <w:pPr>
        <w:numPr>
          <w:ilvl w:val="0"/>
          <w:numId w:val="3"/>
        </w:numPr>
        <w:spacing w:after="163" w:line="357" w:lineRule="auto"/>
        <w:ind w:right="0" w:hanging="360"/>
      </w:pPr>
      <w:r>
        <w:t xml:space="preserve">Jestliže nedojde k uskutečnění pořadu či dojde k jeho nedokončení (vyjma bodu 5.b), jsou obě strany povinny si bezodkladně vyúčtovat a uhradit již vynaložené náklady a pohledávky. </w:t>
      </w:r>
    </w:p>
    <w:p w:rsidR="00EF05EB" w:rsidRDefault="00EF05EB" w:rsidP="00B1644B">
      <w:pPr>
        <w:tabs>
          <w:tab w:val="center" w:pos="4249"/>
          <w:tab w:val="center" w:pos="4957"/>
          <w:tab w:val="center" w:pos="6881"/>
        </w:tabs>
        <w:spacing w:after="0"/>
        <w:ind w:left="0" w:right="0" w:firstLine="0"/>
        <w:jc w:val="left"/>
      </w:pPr>
    </w:p>
    <w:p w:rsidR="00B1644B" w:rsidRDefault="00B1644B" w:rsidP="00B1644B">
      <w:pPr>
        <w:tabs>
          <w:tab w:val="center" w:pos="4249"/>
          <w:tab w:val="center" w:pos="4957"/>
          <w:tab w:val="center" w:pos="6881"/>
        </w:tabs>
        <w:spacing w:after="0"/>
        <w:ind w:left="0" w:right="0" w:firstLine="0"/>
        <w:jc w:val="left"/>
      </w:pPr>
    </w:p>
    <w:p w:rsidR="0013249A" w:rsidRDefault="00B273F5">
      <w:pPr>
        <w:tabs>
          <w:tab w:val="center" w:pos="4249"/>
          <w:tab w:val="center" w:pos="4957"/>
          <w:tab w:val="center" w:pos="6881"/>
        </w:tabs>
        <w:spacing w:after="0"/>
        <w:ind w:left="-248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:rsidR="0013249A" w:rsidRDefault="00B273F5">
      <w:pPr>
        <w:tabs>
          <w:tab w:val="center" w:pos="2833"/>
          <w:tab w:val="center" w:pos="3541"/>
          <w:tab w:val="center" w:pos="4249"/>
          <w:tab w:val="center" w:pos="4957"/>
          <w:tab w:val="center" w:pos="6906"/>
        </w:tabs>
        <w:spacing w:after="271"/>
        <w:ind w:left="-15" w:right="0" w:firstLine="0"/>
        <w:jc w:val="left"/>
      </w:pPr>
      <w:r>
        <w:t xml:space="preserve">Razítko a podpis zhotovitele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Razítko a podpis pořadatele </w:t>
      </w:r>
    </w:p>
    <w:p w:rsidR="00B1644B" w:rsidRDefault="00B273F5" w:rsidP="00B1644B">
      <w:pPr>
        <w:spacing w:after="273"/>
        <w:ind w:left="0" w:right="0" w:firstLine="0"/>
        <w:jc w:val="left"/>
      </w:pPr>
      <w:r>
        <w:t xml:space="preserve">     </w:t>
      </w:r>
    </w:p>
    <w:p w:rsidR="0013249A" w:rsidRDefault="00B273F5" w:rsidP="00B1644B">
      <w:pPr>
        <w:spacing w:after="273"/>
        <w:ind w:left="0" w:right="0" w:firstLine="0"/>
        <w:jc w:val="left"/>
      </w:pPr>
      <w:r>
        <w:t xml:space="preserve">Podpis dopravce                                                                                           V Praze dne  </w:t>
      </w:r>
    </w:p>
    <w:sectPr w:rsidR="0013249A" w:rsidSect="00B1644B">
      <w:pgSz w:w="11906" w:h="16838"/>
      <w:pgMar w:top="1463" w:right="1412" w:bottom="14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4731"/>
    <w:multiLevelType w:val="hybridMultilevel"/>
    <w:tmpl w:val="BF1E8E20"/>
    <w:lvl w:ilvl="0" w:tplc="C5224C2C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6E6D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00E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F0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47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C4A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E2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AF1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449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45E93"/>
    <w:multiLevelType w:val="hybridMultilevel"/>
    <w:tmpl w:val="0DB2C298"/>
    <w:lvl w:ilvl="0" w:tplc="BD9A3CB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8E9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AD4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664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DB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4FF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689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630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E57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BB0433"/>
    <w:multiLevelType w:val="hybridMultilevel"/>
    <w:tmpl w:val="79F2A986"/>
    <w:lvl w:ilvl="0" w:tplc="1B68BE62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478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82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233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82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06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BF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8C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420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EB2D42"/>
    <w:multiLevelType w:val="hybridMultilevel"/>
    <w:tmpl w:val="F96EB24A"/>
    <w:lvl w:ilvl="0" w:tplc="64E665A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A45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619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A82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C67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E7F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E3C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4AC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0A6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9A"/>
    <w:rsid w:val="0013249A"/>
    <w:rsid w:val="00136C5C"/>
    <w:rsid w:val="00B1644B"/>
    <w:rsid w:val="00B273F5"/>
    <w:rsid w:val="00B33D11"/>
    <w:rsid w:val="00E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1461"/>
  <w15:docId w15:val="{98C2E733-70C9-4F07-80BF-B7A5C36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92"/>
      <w:ind w:left="10" w:right="6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24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dasir@outlook.cz</dc:creator>
  <cp:keywords/>
  <cp:lastModifiedBy>Sedláčková Zdeňka</cp:lastModifiedBy>
  <cp:revision>2</cp:revision>
  <cp:lastPrinted>2024-10-10T08:01:00Z</cp:lastPrinted>
  <dcterms:created xsi:type="dcterms:W3CDTF">2024-10-15T08:23:00Z</dcterms:created>
  <dcterms:modified xsi:type="dcterms:W3CDTF">2024-10-15T08:23:00Z</dcterms:modified>
</cp:coreProperties>
</file>