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0D" w:rsidRDefault="00CA6210">
      <w:pPr>
        <w:pStyle w:val="Style6"/>
        <w:shd w:val="clear" w:color="auto" w:fill="auto"/>
      </w:pPr>
      <w:r>
        <w:t>S M L O U V A O D Í L O</w:t>
      </w:r>
    </w:p>
    <w:p w:rsidR="00202F0D" w:rsidRDefault="00CA6210">
      <w:pPr>
        <w:pStyle w:val="Style2"/>
        <w:shd w:val="clear" w:color="auto" w:fill="auto"/>
        <w:spacing w:after="440" w:line="204" w:lineRule="auto"/>
        <w:jc w:val="center"/>
      </w:pPr>
      <w:r>
        <w:rPr>
          <w:b/>
          <w:bCs/>
        </w:rPr>
        <w:t>č. smlouvy objednatele: 1178/2024</w:t>
      </w:r>
    </w:p>
    <w:p w:rsidR="00202F0D" w:rsidRDefault="00CA6210">
      <w:pPr>
        <w:pStyle w:val="Style2"/>
        <w:shd w:val="clear" w:color="auto" w:fill="auto"/>
        <w:spacing w:after="0"/>
        <w:jc w:val="center"/>
      </w:pPr>
      <w:r>
        <w:rPr>
          <w:b/>
          <w:bCs/>
        </w:rPr>
        <w:t>Název díla:</w:t>
      </w:r>
    </w:p>
    <w:p w:rsidR="00202F0D" w:rsidRDefault="00CA6210">
      <w:pPr>
        <w:pStyle w:val="Style2"/>
        <w:shd w:val="clear" w:color="auto" w:fill="auto"/>
        <w:spacing w:after="30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„VD </w:t>
      </w:r>
      <w:proofErr w:type="gramStart"/>
      <w:r>
        <w:rPr>
          <w:b/>
          <w:bCs/>
          <w:sz w:val="24"/>
          <w:szCs w:val="24"/>
        </w:rPr>
        <w:t>Nechranice - monitoring</w:t>
      </w:r>
      <w:proofErr w:type="gramEnd"/>
      <w:r>
        <w:rPr>
          <w:b/>
          <w:bCs/>
          <w:sz w:val="24"/>
          <w:szCs w:val="24"/>
        </w:rPr>
        <w:t xml:space="preserve"> 2025_ abraze LB (Oáza - III. etapa)“</w:t>
      </w:r>
    </w:p>
    <w:p w:rsidR="00202F0D" w:rsidRDefault="00CA6210">
      <w:pPr>
        <w:pStyle w:val="Style2"/>
        <w:shd w:val="clear" w:color="auto" w:fill="auto"/>
        <w:spacing w:after="300"/>
      </w:pPr>
      <w:r>
        <w:t xml:space="preserve">Tato smlouva je uzavřena dle </w:t>
      </w:r>
      <w:proofErr w:type="spellStart"/>
      <w:r>
        <w:t>ust</w:t>
      </w:r>
      <w:proofErr w:type="spellEnd"/>
      <w:r>
        <w:t xml:space="preserve">. § 2586 a násl. zákona 89/2012 Sb., občanského zákoníku, ve znění pozdějších předpisů </w:t>
      </w:r>
      <w:r>
        <w:t>(dále „OZ“).</w:t>
      </w:r>
    </w:p>
    <w:p w:rsidR="00202F0D" w:rsidRDefault="00CA6210">
      <w:pPr>
        <w:pStyle w:val="Style2"/>
        <w:shd w:val="clear" w:color="auto" w:fill="auto"/>
        <w:spacing w:after="300"/>
        <w:jc w:val="center"/>
      </w:pPr>
      <w:r>
        <w:rPr>
          <w:b/>
          <w:bCs/>
        </w:rPr>
        <w:t>Čl. I. SMLUVNÍ STRANY</w:t>
      </w:r>
    </w:p>
    <w:p w:rsidR="00202F0D" w:rsidRDefault="00CA6210">
      <w:pPr>
        <w:pStyle w:val="Style2"/>
        <w:shd w:val="clear" w:color="auto" w:fill="auto"/>
        <w:spacing w:after="0"/>
      </w:pPr>
      <w:r>
        <w:t>Tato smlouva byla uzavřena mezi:</w:t>
      </w:r>
    </w:p>
    <w:p w:rsidR="00202F0D" w:rsidRDefault="00CA6210">
      <w:pPr>
        <w:spacing w:line="1" w:lineRule="exact"/>
        <w:sectPr w:rsidR="00202F0D">
          <w:footerReference w:type="default" r:id="rId7"/>
          <w:footerReference w:type="first" r:id="rId8"/>
          <w:pgSz w:w="11909" w:h="16838"/>
          <w:pgMar w:top="1061" w:right="818" w:bottom="679" w:left="828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25400" distB="640080" distL="0" distR="0" simplePos="0" relativeHeight="125829378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25400</wp:posOffset>
                </wp:positionV>
                <wp:extent cx="2237105" cy="15328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105" cy="1532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Objednatel:</w:t>
                            </w:r>
                          </w:p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IČO:</w:t>
                            </w:r>
                          </w:p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DIČ:</w:t>
                            </w:r>
                          </w:p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Statutární orgán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</w:rPr>
                              <w:t>zástupce ve věcech smluvních: zástupce ve věcech technických:</w:t>
                            </w:r>
                          </w:p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technický dozor investora: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1.3pt;margin-top:2pt;width:176.15pt;height:120.7pt;z-index:125829378;visibility:visible;mso-wrap-style:square;mso-wrap-distance-left:0;mso-wrap-distance-top:2pt;mso-wrap-distance-right:0;mso-wrap-distance-bottom:50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" filled="f" stroked="f">
                <v:textbox inset="0,0,0,0">
                  <w:txbxContent>
                    <w:p w:rsidR="00202F0D" w:rsidRDefault="00CA6210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Objednatel:</w:t>
                      </w:r>
                    </w:p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IČO:</w:t>
                      </w:r>
                    </w:p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DIČ:</w:t>
                      </w:r>
                    </w:p>
                    <w:p w:rsidR="00202F0D" w:rsidRDefault="00CA6210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Statutární orgán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b/>
                          <w:bCs/>
                        </w:rPr>
                        <w:t>zástupce ve věcech smluvních: zástupce ve věcech technických:</w:t>
                      </w:r>
                    </w:p>
                    <w:p w:rsidR="00202F0D" w:rsidRDefault="00CA6210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technický dozor investora: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" distB="969010" distL="0" distR="0" simplePos="0" relativeHeight="125829380" behindDoc="0" locked="0" layoutInCell="1" allowOverlap="1">
                <wp:simplePos x="0" y="0"/>
                <wp:positionH relativeFrom="page">
                  <wp:posOffset>2954020</wp:posOffset>
                </wp:positionH>
                <wp:positionV relativeFrom="paragraph">
                  <wp:posOffset>25400</wp:posOffset>
                </wp:positionV>
                <wp:extent cx="2233930" cy="12039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1203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Povodí Ohře, státní podnik</w:t>
                            </w:r>
                          </w:p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Bezručova 4219, 430 03 Chomutov 70889988</w:t>
                            </w:r>
                          </w:p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 xml:space="preserve">CZ 70889988 generální ředitel </w:t>
                            </w:r>
                            <w:proofErr w:type="spellStart"/>
                            <w:r>
                              <w:t>ředitel</w:t>
                            </w:r>
                            <w:proofErr w:type="spellEnd"/>
                            <w:r>
                              <w:t xml:space="preserve"> závodu vedoucí technické skupiny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232.6pt;margin-top:2pt;width:175.9pt;height:94.8pt;z-index:125829380;visibility:visible;mso-wrap-style:square;mso-wrap-distance-left:0;mso-wrap-distance-top:2pt;mso-wrap-distance-right:0;mso-wrap-distance-bottom:76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" filled="f" stroked="f">
                <v:textbox inset="0,0,0,0">
                  <w:txbxContent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Povodí Ohře, státní podnik</w:t>
                      </w:r>
                    </w:p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Bezručova 4219, 430 03 Chomutov 70889988</w:t>
                      </w:r>
                    </w:p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 xml:space="preserve">CZ 70889988 generální ředitel </w:t>
                      </w:r>
                      <w:proofErr w:type="spellStart"/>
                      <w:r>
                        <w:t>ředitel</w:t>
                      </w:r>
                      <w:proofErr w:type="spellEnd"/>
                      <w:r>
                        <w:t xml:space="preserve"> závodu vedoucí technické skupiny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02130" distB="0" distL="0" distR="0" simplePos="0" relativeHeight="125829382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1802130</wp:posOffset>
                </wp:positionV>
                <wp:extent cx="1240790" cy="39624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Bankovní spojení: čísl</w:t>
                            </w:r>
                            <w:r>
                              <w:rPr>
                                <w:b/>
                                <w:bCs/>
                              </w:rPr>
                              <w:t>o účtu: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41.3pt;margin-top:141.9pt;width:97.7pt;height:31.2pt;z-index:125829382;visibility:visible;mso-wrap-style:square;mso-wrap-distance-left:0;mso-wrap-distance-top:141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" filled="f" stroked="f">
                <v:textbox inset="0,0,0,0">
                  <w:txbxContent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Bankovní spojení: čísl</w:t>
                      </w:r>
                      <w:r>
                        <w:rPr>
                          <w:b/>
                          <w:bCs/>
                        </w:rPr>
                        <w:t>o účtu: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82090" distB="8890" distL="0" distR="0" simplePos="0" relativeHeight="125829384" behindDoc="0" locked="0" layoutInCell="1" allowOverlap="1">
                <wp:simplePos x="0" y="0"/>
                <wp:positionH relativeFrom="page">
                  <wp:posOffset>2954020</wp:posOffset>
                </wp:positionH>
                <wp:positionV relativeFrom="paragraph">
                  <wp:posOffset>1482090</wp:posOffset>
                </wp:positionV>
                <wp:extent cx="2648585" cy="7073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58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tel:</w:t>
                            </w:r>
                          </w:p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e-mail:</w:t>
                            </w:r>
                          </w:p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Komerční banka, a.s., pobočka Chomutov</w:t>
                            </w:r>
                          </w:p>
                          <w:p w:rsidR="00202F0D" w:rsidRDefault="00202F0D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232.6pt;margin-top:116.7pt;width:208.55pt;height:55.7pt;z-index:125829384;visibility:visible;mso-wrap-style:square;mso-wrap-distance-left:0;mso-wrap-distance-top:116.7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" filled="f" stroked="f">
                <v:textbox inset="0,0,0,0">
                  <w:txbxContent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tel:</w:t>
                      </w:r>
                    </w:p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e-mail:</w:t>
                      </w:r>
                    </w:p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Komerční banka, a.s., pobočka Chomutov</w:t>
                      </w:r>
                    </w:p>
                    <w:p w:rsidR="00202F0D" w:rsidRDefault="00202F0D">
                      <w:pPr>
                        <w:pStyle w:val="Style2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2F0D" w:rsidRDefault="00202F0D">
      <w:pPr>
        <w:spacing w:line="123" w:lineRule="exact"/>
        <w:rPr>
          <w:sz w:val="10"/>
          <w:szCs w:val="10"/>
        </w:rPr>
      </w:pPr>
    </w:p>
    <w:p w:rsidR="00202F0D" w:rsidRDefault="00202F0D">
      <w:pPr>
        <w:spacing w:line="1" w:lineRule="exact"/>
        <w:sectPr w:rsidR="00202F0D">
          <w:type w:val="continuous"/>
          <w:pgSz w:w="11909" w:h="16838"/>
          <w:pgMar w:top="544" w:right="0" w:bottom="1196" w:left="0" w:header="0" w:footer="3" w:gutter="0"/>
          <w:cols w:space="720"/>
          <w:noEndnote/>
          <w:docGrid w:linePitch="360"/>
        </w:sectPr>
      </w:pPr>
    </w:p>
    <w:p w:rsidR="00202F0D" w:rsidRDefault="00CA6210">
      <w:pPr>
        <w:pStyle w:val="Style2"/>
        <w:shd w:val="clear" w:color="auto" w:fill="auto"/>
        <w:spacing w:after="200"/>
      </w:pPr>
      <w:r>
        <w:t>Povodí Ohře, státní podnik je zapsán v obchodním rejstříku Krajského soudu v Ústí nad Labem v oddílu A, vložce č. 13052.</w:t>
      </w:r>
    </w:p>
    <w:p w:rsidR="00202F0D" w:rsidRDefault="00CA6210">
      <w:pPr>
        <w:pStyle w:val="Style2"/>
        <w:shd w:val="clear" w:color="auto" w:fill="auto"/>
        <w:spacing w:after="0"/>
      </w:pPr>
      <w:r>
        <w:t xml:space="preserve">(dále jen „objednatel“) na </w:t>
      </w:r>
      <w:r>
        <w:t>straně jedné a</w:t>
      </w:r>
    </w:p>
    <w:p w:rsidR="00202F0D" w:rsidRDefault="00CA6210">
      <w:pPr>
        <w:spacing w:line="1" w:lineRule="exact"/>
      </w:pPr>
      <w:r>
        <w:rPr>
          <w:noProof/>
        </w:rPr>
        <mc:AlternateContent>
          <mc:Choice Requires="wps">
            <w:drawing>
              <wp:anchor distT="177800" distB="792480" distL="0" distR="0" simplePos="0" relativeHeight="125829386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177800</wp:posOffset>
                </wp:positionV>
                <wp:extent cx="2237105" cy="11976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105" cy="1197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Zhotovitel:</w:t>
                            </w:r>
                          </w:p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IČO:</w:t>
                            </w:r>
                          </w:p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DIČ:</w:t>
                            </w:r>
                          </w:p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zastoupený:</w:t>
                            </w:r>
                          </w:p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zástupce ve věcech smluvních: zástupce ve věcech technických: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41.3pt;margin-top:14pt;width:176.15pt;height:94.3pt;z-index:125829386;visibility:visible;mso-wrap-style:square;mso-wrap-distance-left:0;mso-wrap-distance-top:14pt;mso-wrap-distance-right:0;mso-wrap-distance-bottom:6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" filled="f" stroked="f">
                <v:textbox inset="0,0,0,0">
                  <w:txbxContent>
                    <w:p w:rsidR="00202F0D" w:rsidRDefault="00CA6210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Zhotovitel:</w:t>
                      </w:r>
                    </w:p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IČO:</w:t>
                      </w:r>
                    </w:p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DIČ:</w:t>
                      </w:r>
                    </w:p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zastoupený:</w:t>
                      </w:r>
                    </w:p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zástupce ve věcech smluvních: zástupce ve věcech technických: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7800" distB="1121410" distL="0" distR="0" simplePos="0" relativeHeight="125829388" behindDoc="0" locked="0" layoutInCell="1" allowOverlap="1">
                <wp:simplePos x="0" y="0"/>
                <wp:positionH relativeFrom="page">
                  <wp:posOffset>3039110</wp:posOffset>
                </wp:positionH>
                <wp:positionV relativeFrom="paragraph">
                  <wp:posOffset>177800</wp:posOffset>
                </wp:positionV>
                <wp:extent cx="2164080" cy="86868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868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SG Geotechnika a.s.</w:t>
                            </w:r>
                          </w:p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Geologická 988/4, 152 00 Praha 5</w:t>
                            </w:r>
                          </w:p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41192168</w:t>
                            </w:r>
                          </w:p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CZ41192168</w:t>
                            </w:r>
                          </w:p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členem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239.3pt;margin-top:14pt;width:170.4pt;height:68.4pt;z-index:125829388;visibility:visible;mso-wrap-style:square;mso-wrap-distance-left:0;mso-wrap-distance-top:14pt;mso-wrap-distance-right:0;mso-wrap-distance-bottom:88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" filled="f" stroked="f">
                <v:textbox inset="0,0,0,0">
                  <w:txbxContent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SG Geotechnika a.s.</w:t>
                      </w:r>
                    </w:p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Geologická 988/4, 152 00 Praha 5</w:t>
                      </w:r>
                    </w:p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41192168</w:t>
                      </w:r>
                    </w:p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CZ41192168</w:t>
                      </w:r>
                    </w:p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členem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81175" distB="0" distL="0" distR="0" simplePos="0" relativeHeight="125829390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1781175</wp:posOffset>
                </wp:positionV>
                <wp:extent cx="1134110" cy="3873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bankovní spojení: číslo účtu: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41.3pt;margin-top:140.25pt;width:89.3pt;height:30.5pt;z-index:125829390;visibility:visible;mso-wrap-style:square;mso-wrap-distance-left:0;mso-wrap-distance-top:140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" filled="f" stroked="f">
                <v:textbox inset="0,0,0,0">
                  <w:txbxContent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bankovní spojení: číslo účtu: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99210" distB="0" distL="0" distR="0" simplePos="0" relativeHeight="125829392" behindDoc="0" locked="0" layoutInCell="1" allowOverlap="1">
                <wp:simplePos x="0" y="0"/>
                <wp:positionH relativeFrom="page">
                  <wp:posOffset>3039110</wp:posOffset>
                </wp:positionH>
                <wp:positionV relativeFrom="paragraph">
                  <wp:posOffset>1299210</wp:posOffset>
                </wp:positionV>
                <wp:extent cx="1362710" cy="86868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868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t>tel.:,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>e-mail:</w:t>
                            </w:r>
                          </w:p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t>tel.:,</w:t>
                            </w:r>
                            <w:proofErr w:type="gramEnd"/>
                            <w:r>
                              <w:t xml:space="preserve"> e-mail:</w:t>
                            </w:r>
                          </w:p>
                          <w:p w:rsidR="00F60939" w:rsidRDefault="00F60939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</w:p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Komerční banka, a.s.</w:t>
                            </w:r>
                          </w:p>
                          <w:p w:rsidR="00202F0D" w:rsidRDefault="00202F0D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margin-left:239.3pt;margin-top:102.3pt;width:107.3pt;height:68.4pt;z-index:125829392;visibility:visible;mso-wrap-style:square;mso-wrap-distance-left:0;mso-wrap-distance-top:102.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" filled="f" stroked="f">
                <v:textbox inset="0,0,0,0">
                  <w:txbxContent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proofErr w:type="gramStart"/>
                      <w:r>
                        <w:t>tel.:,</w:t>
                      </w:r>
                      <w:proofErr w:type="gramEnd"/>
                      <w:r>
                        <w:t xml:space="preserve"> </w:t>
                      </w:r>
                      <w:r>
                        <w:t>e-mail:</w:t>
                      </w:r>
                    </w:p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proofErr w:type="gramStart"/>
                      <w:r>
                        <w:t>tel.:,</w:t>
                      </w:r>
                      <w:proofErr w:type="gramEnd"/>
                      <w:r>
                        <w:t xml:space="preserve"> e-mail:</w:t>
                      </w:r>
                    </w:p>
                    <w:p w:rsidR="00F60939" w:rsidRDefault="00F60939">
                      <w:pPr>
                        <w:pStyle w:val="Style2"/>
                        <w:shd w:val="clear" w:color="auto" w:fill="auto"/>
                        <w:spacing w:after="0"/>
                      </w:pPr>
                    </w:p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Komerční banka, a.s.</w:t>
                      </w:r>
                    </w:p>
                    <w:p w:rsidR="00202F0D" w:rsidRDefault="00202F0D">
                      <w:pPr>
                        <w:pStyle w:val="Style2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2F0D" w:rsidRDefault="00CA6210">
      <w:pPr>
        <w:pStyle w:val="Style2"/>
        <w:shd w:val="clear" w:color="auto" w:fill="auto"/>
        <w:spacing w:after="320"/>
        <w:jc w:val="both"/>
      </w:pPr>
      <w:r>
        <w:t>Zhotovitel je zapsán v obchodním rejstříku u Městského soudu v Praze, oddíl B, vložka 992 (dále jen „zhotovitel“) na straně druhé.</w:t>
      </w:r>
    </w:p>
    <w:p w:rsidR="00202F0D" w:rsidRDefault="00CA6210">
      <w:pPr>
        <w:pStyle w:val="Style2"/>
        <w:shd w:val="clear" w:color="auto" w:fill="auto"/>
        <w:spacing w:after="440" w:line="276" w:lineRule="auto"/>
        <w:jc w:val="both"/>
      </w:pPr>
      <w:r>
        <w:t>Smluvní strany berou na vědomí, že Povodí Ohře, státní podnik,</w:t>
      </w:r>
      <w:r>
        <w:t xml:space="preserve"> je povinen zveřejnit obraz smlouvy a jejích případných změn (dodatků) a dalších dokumentů od této smlouvy odvozených včetně </w:t>
      </w:r>
      <w:proofErr w:type="spellStart"/>
      <w:r>
        <w:t>metadat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Stránka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r>
        <w:t xml:space="preserve">požadovaných k uveřejnění dle zákona č. 340/2015 Sb. o registru smluv. Zveřejnění smlouvy a </w:t>
      </w:r>
      <w:proofErr w:type="spellStart"/>
      <w:r>
        <w:t>metadat</w:t>
      </w:r>
      <w:proofErr w:type="spellEnd"/>
      <w:r>
        <w:t xml:space="preserve"> v registr</w:t>
      </w:r>
      <w:r>
        <w:t>u smluv zajistí Povodí Ohře, státní podnik, který má právo tuto smlouvu zveřejnit rovněž v pochybnostech o tom, zda tato smlouva zveřejnění podléhá či nikoliv.</w:t>
      </w:r>
    </w:p>
    <w:p w:rsidR="00202F0D" w:rsidRDefault="00CA6210">
      <w:pPr>
        <w:pStyle w:val="Style2"/>
        <w:shd w:val="clear" w:color="auto" w:fill="auto"/>
        <w:spacing w:after="200"/>
        <w:jc w:val="center"/>
      </w:pPr>
      <w:r>
        <w:rPr>
          <w:b/>
          <w:bCs/>
        </w:rPr>
        <w:t>Čl. II. PŘEDMĚT DÍLA</w:t>
      </w:r>
    </w:p>
    <w:p w:rsidR="00202F0D" w:rsidRDefault="00CA6210">
      <w:pPr>
        <w:pStyle w:val="Style2"/>
        <w:numPr>
          <w:ilvl w:val="0"/>
          <w:numId w:val="1"/>
        </w:numPr>
        <w:shd w:val="clear" w:color="auto" w:fill="auto"/>
        <w:tabs>
          <w:tab w:val="left" w:pos="762"/>
        </w:tabs>
        <w:spacing w:after="200"/>
        <w:ind w:left="740" w:hanging="360"/>
        <w:jc w:val="both"/>
      </w:pPr>
      <w:bookmarkStart w:id="0" w:name="bookmark0"/>
      <w:bookmarkEnd w:id="0"/>
      <w:r>
        <w:rPr>
          <w:sz w:val="24"/>
          <w:szCs w:val="24"/>
        </w:rPr>
        <w:t>Tato smlouva je uzavřena na základě předložené cenové nabídky zhotovitele n</w:t>
      </w:r>
      <w:r>
        <w:rPr>
          <w:sz w:val="24"/>
          <w:szCs w:val="24"/>
        </w:rPr>
        <w:t xml:space="preserve">a zakázku </w:t>
      </w:r>
      <w:r>
        <w:rPr>
          <w:sz w:val="24"/>
          <w:szCs w:val="24"/>
        </w:rPr>
        <w:lastRenderedPageBreak/>
        <w:t>s názvem „</w:t>
      </w:r>
      <w:r>
        <w:t xml:space="preserve">VD </w:t>
      </w:r>
      <w:proofErr w:type="gramStart"/>
      <w:r>
        <w:t>Nechranice - monitoring</w:t>
      </w:r>
      <w:proofErr w:type="gramEnd"/>
      <w:r>
        <w:t xml:space="preserve"> 2025_ abraze LB (Oáza - III. etapa)“.</w:t>
      </w:r>
    </w:p>
    <w:p w:rsidR="00202F0D" w:rsidRDefault="00CA6210">
      <w:pPr>
        <w:pStyle w:val="Style2"/>
        <w:numPr>
          <w:ilvl w:val="0"/>
          <w:numId w:val="1"/>
        </w:numPr>
        <w:shd w:val="clear" w:color="auto" w:fill="auto"/>
        <w:tabs>
          <w:tab w:val="left" w:pos="762"/>
        </w:tabs>
        <w:spacing w:after="200" w:line="230" w:lineRule="auto"/>
        <w:ind w:left="740" w:hanging="360"/>
        <w:jc w:val="both"/>
      </w:pPr>
      <w:bookmarkStart w:id="1" w:name="bookmark1"/>
      <w:bookmarkEnd w:id="1"/>
      <w:r>
        <w:rPr>
          <w:sz w:val="24"/>
          <w:szCs w:val="24"/>
        </w:rPr>
        <w:t xml:space="preserve">Předmětem zakázky je provádění monitoringu 2x ročně v roce 2025 na stávajících </w:t>
      </w:r>
      <w:r>
        <w:t>vystrojených vrtech a pevných bodech na levém břehu VD Nechranice (lokalita Oáza) v rozsahu:</w:t>
      </w:r>
    </w:p>
    <w:p w:rsidR="00202F0D" w:rsidRDefault="00CA6210">
      <w:pPr>
        <w:pStyle w:val="Style2"/>
        <w:shd w:val="clear" w:color="auto" w:fill="auto"/>
        <w:spacing w:after="0"/>
        <w:ind w:firstLine="740"/>
        <w:jc w:val="both"/>
      </w:pPr>
      <w:r>
        <w:rPr>
          <w:b/>
          <w:bCs/>
        </w:rPr>
        <w:t>geotechnický monitoring:</w:t>
      </w:r>
    </w:p>
    <w:p w:rsidR="00202F0D" w:rsidRDefault="00CA6210">
      <w:pPr>
        <w:pStyle w:val="Style2"/>
        <w:shd w:val="clear" w:color="auto" w:fill="auto"/>
        <w:spacing w:after="0" w:line="221" w:lineRule="auto"/>
        <w:ind w:left="218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^ </w:t>
      </w:r>
      <w:r>
        <w:t>měření velikosti svahových deformací</w:t>
      </w:r>
    </w:p>
    <w:p w:rsidR="00202F0D" w:rsidRDefault="00CA6210">
      <w:pPr>
        <w:pStyle w:val="Style2"/>
        <w:shd w:val="clear" w:color="auto" w:fill="auto"/>
        <w:spacing w:after="0" w:line="221" w:lineRule="auto"/>
        <w:ind w:left="218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^ </w:t>
      </w:r>
      <w:r>
        <w:t>měření kolísání úrovně hladiny podzemní vody ve vystrojených vrtech</w:t>
      </w:r>
    </w:p>
    <w:p w:rsidR="00202F0D" w:rsidRDefault="00CA6210">
      <w:pPr>
        <w:pStyle w:val="Style2"/>
        <w:shd w:val="clear" w:color="auto" w:fill="auto"/>
        <w:spacing w:after="0" w:line="221" w:lineRule="auto"/>
        <w:ind w:left="218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^ </w:t>
      </w:r>
      <w:r>
        <w:t>měření velikosti pórových tlaků v blízkosti smykové plochy sesuvu č. 3</w:t>
      </w:r>
    </w:p>
    <w:p w:rsidR="00202F0D" w:rsidRDefault="00CA6210">
      <w:pPr>
        <w:pStyle w:val="Style2"/>
        <w:shd w:val="clear" w:color="auto" w:fill="auto"/>
        <w:spacing w:after="0" w:line="221" w:lineRule="auto"/>
        <w:ind w:left="218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^ </w:t>
      </w:r>
      <w:r>
        <w:t xml:space="preserve">sledování vývoje deformací ve stěnách </w:t>
      </w:r>
      <w:r>
        <w:t>abrazních srubů</w:t>
      </w:r>
    </w:p>
    <w:p w:rsidR="00202F0D" w:rsidRDefault="00CA6210">
      <w:pPr>
        <w:pStyle w:val="Style2"/>
        <w:shd w:val="clear" w:color="auto" w:fill="auto"/>
        <w:spacing w:after="200"/>
        <w:ind w:left="218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^ </w:t>
      </w:r>
      <w:r>
        <w:t>sledování a vyhodnocování klimatologických a hydrologických dat (minimálně v rozsahu: množství srážek, hladina vody v nádrži) – tyto data jsou na VD Nechranice měřena v rámci TBD a budou získána od POH, státní podnik.</w:t>
      </w:r>
    </w:p>
    <w:p w:rsidR="00202F0D" w:rsidRDefault="00CA6210">
      <w:pPr>
        <w:pStyle w:val="Style2"/>
        <w:shd w:val="clear" w:color="auto" w:fill="auto"/>
        <w:spacing w:after="0"/>
        <w:ind w:firstLine="740"/>
        <w:jc w:val="both"/>
      </w:pPr>
      <w:r>
        <w:rPr>
          <w:b/>
          <w:bCs/>
        </w:rPr>
        <w:t xml:space="preserve">sledování svahových </w:t>
      </w:r>
      <w:r>
        <w:rPr>
          <w:b/>
          <w:bCs/>
        </w:rPr>
        <w:t>deformací:</w:t>
      </w:r>
    </w:p>
    <w:p w:rsidR="00202F0D" w:rsidRDefault="00CA6210">
      <w:pPr>
        <w:pStyle w:val="Style2"/>
        <w:shd w:val="clear" w:color="auto" w:fill="auto"/>
        <w:spacing w:after="0" w:line="221" w:lineRule="auto"/>
        <w:ind w:left="11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^ </w:t>
      </w:r>
      <w:r>
        <w:t>inklinometrické měření ve vrtech – celkem 8 vrtů vystrojených v rámci IGP</w:t>
      </w:r>
    </w:p>
    <w:p w:rsidR="00202F0D" w:rsidRDefault="00CA6210">
      <w:pPr>
        <w:pStyle w:val="Style2"/>
        <w:shd w:val="clear" w:color="auto" w:fill="auto"/>
        <w:spacing w:after="0"/>
        <w:ind w:left="5060"/>
        <w:jc w:val="both"/>
      </w:pPr>
      <w:r>
        <w:t>– četnost měření v základním intervalu 1x / pololetí</w:t>
      </w:r>
    </w:p>
    <w:p w:rsidR="00202F0D" w:rsidRDefault="00CA6210">
      <w:pPr>
        <w:pStyle w:val="Style2"/>
        <w:shd w:val="clear" w:color="auto" w:fill="auto"/>
        <w:spacing w:after="0" w:line="221" w:lineRule="auto"/>
        <w:ind w:left="11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^ </w:t>
      </w:r>
      <w:r>
        <w:t>geodetické měření pevných bodů – celkem 24 bodů u chatové osady</w:t>
      </w:r>
    </w:p>
    <w:p w:rsidR="00202F0D" w:rsidRDefault="00CA6210">
      <w:pPr>
        <w:pStyle w:val="Style2"/>
        <w:shd w:val="clear" w:color="auto" w:fill="auto"/>
        <w:spacing w:after="0"/>
        <w:ind w:left="5060"/>
        <w:jc w:val="both"/>
      </w:pPr>
      <w:r>
        <w:t>- celkem 6 bodů u trhlina</w:t>
      </w:r>
    </w:p>
    <w:p w:rsidR="00202F0D" w:rsidRDefault="00CA6210">
      <w:pPr>
        <w:pStyle w:val="Style2"/>
        <w:shd w:val="clear" w:color="auto" w:fill="auto"/>
        <w:spacing w:after="0"/>
        <w:ind w:left="5060"/>
        <w:jc w:val="both"/>
      </w:pPr>
      <w:r>
        <w:t>– četnost měření v zákla</w:t>
      </w:r>
      <w:r>
        <w:t>dním intervalu 1x / pololetí</w:t>
      </w:r>
    </w:p>
    <w:p w:rsidR="00202F0D" w:rsidRDefault="00CA6210">
      <w:pPr>
        <w:pStyle w:val="Style2"/>
        <w:shd w:val="clear" w:color="auto" w:fill="auto"/>
        <w:spacing w:after="0"/>
        <w:ind w:firstLine="740"/>
        <w:jc w:val="both"/>
      </w:pPr>
      <w:r>
        <w:rPr>
          <w:b/>
          <w:bCs/>
        </w:rPr>
        <w:t>Měření úrovně hladiny podzemní vody</w:t>
      </w:r>
      <w:r>
        <w:t>:</w:t>
      </w:r>
    </w:p>
    <w:p w:rsidR="00202F0D" w:rsidRDefault="00CA6210">
      <w:pPr>
        <w:pStyle w:val="Style2"/>
        <w:shd w:val="clear" w:color="auto" w:fill="auto"/>
        <w:spacing w:after="0" w:line="230" w:lineRule="auto"/>
        <w:ind w:left="146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^ </w:t>
      </w:r>
      <w:r>
        <w:t xml:space="preserve">ve vystrojených vrtech HV 17/12 a HJ 3/71, instalace </w:t>
      </w:r>
      <w:proofErr w:type="spellStart"/>
      <w:r>
        <w:t>dataloggerů</w:t>
      </w:r>
      <w:proofErr w:type="spellEnd"/>
      <w:r>
        <w:t xml:space="preserve"> s periodickým odečtem dat v intervalu do 3 h, dálkový přenos dat s možností on-line přístupu k datům.</w:t>
      </w:r>
    </w:p>
    <w:p w:rsidR="00202F0D" w:rsidRDefault="00CA6210">
      <w:pPr>
        <w:pStyle w:val="Style2"/>
        <w:shd w:val="clear" w:color="auto" w:fill="auto"/>
        <w:spacing w:after="200" w:line="226" w:lineRule="auto"/>
        <w:ind w:left="1460" w:hanging="360"/>
        <w:jc w:val="both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^ </w:t>
      </w:r>
      <w:r>
        <w:t xml:space="preserve">1x pololetí bude </w:t>
      </w:r>
      <w:r>
        <w:t xml:space="preserve">provedena kontrola </w:t>
      </w:r>
      <w:proofErr w:type="spellStart"/>
      <w:r>
        <w:t>dataloggeru</w:t>
      </w:r>
      <w:proofErr w:type="spellEnd"/>
      <w:r>
        <w:t xml:space="preserve"> a kontrolní měření </w:t>
      </w:r>
      <w:proofErr w:type="spellStart"/>
      <w:r>
        <w:t>elektrokontaktním</w:t>
      </w:r>
      <w:proofErr w:type="spellEnd"/>
      <w:r>
        <w:t xml:space="preserve"> hladinoměrem.</w:t>
      </w:r>
    </w:p>
    <w:p w:rsidR="00202F0D" w:rsidRDefault="00CA6210">
      <w:pPr>
        <w:pStyle w:val="Style2"/>
        <w:shd w:val="clear" w:color="auto" w:fill="auto"/>
        <w:spacing w:after="0"/>
        <w:ind w:firstLine="740"/>
        <w:jc w:val="both"/>
      </w:pPr>
      <w:r>
        <w:rPr>
          <w:b/>
          <w:bCs/>
        </w:rPr>
        <w:t>Měření pórových tlaků v blízkosti smykové plochy sesuvu č. 3:</w:t>
      </w:r>
    </w:p>
    <w:p w:rsidR="00202F0D" w:rsidRDefault="00CA6210">
      <w:pPr>
        <w:pStyle w:val="Style2"/>
        <w:shd w:val="clear" w:color="auto" w:fill="auto"/>
        <w:spacing w:after="200"/>
        <w:ind w:left="740"/>
        <w:jc w:val="both"/>
      </w:pPr>
      <w:r>
        <w:t>Zhotovitel provede odečet na vystrojených vrtech JV-MPT 17/6 a JV-MPT 17/10, kde jsou osazeny automatické snímač</w:t>
      </w:r>
      <w:r>
        <w:t>e s možností kontinuálního snímání hodnot pórového tlaku. Data budou 1x za pololetí manuálně stahována.</w:t>
      </w:r>
    </w:p>
    <w:p w:rsidR="00202F0D" w:rsidRDefault="00CA6210">
      <w:pPr>
        <w:pStyle w:val="Style2"/>
        <w:shd w:val="clear" w:color="auto" w:fill="auto"/>
        <w:spacing w:after="0"/>
        <w:ind w:firstLine="740"/>
        <w:jc w:val="both"/>
      </w:pPr>
      <w:r>
        <w:rPr>
          <w:b/>
          <w:bCs/>
        </w:rPr>
        <w:t>Prohlídka abrazních srubů:</w:t>
      </w:r>
    </w:p>
    <w:p w:rsidR="00202F0D" w:rsidRDefault="00CA6210">
      <w:pPr>
        <w:pStyle w:val="Style2"/>
        <w:shd w:val="clear" w:color="auto" w:fill="auto"/>
        <w:spacing w:after="200"/>
        <w:ind w:left="740"/>
        <w:jc w:val="both"/>
      </w:pPr>
      <w:r>
        <w:t xml:space="preserve">Zhotovitel provede 1x za pololetí. </w:t>
      </w:r>
      <w:proofErr w:type="spellStart"/>
      <w:r>
        <w:t>Vizuelně</w:t>
      </w:r>
      <w:proofErr w:type="spellEnd"/>
      <w:r>
        <w:t xml:space="preserve"> budou hodnoceny deformace ve stěnách abrazních srubů a bude hodnocen jejich vývoj</w:t>
      </w:r>
      <w:r>
        <w:t xml:space="preserve"> v čase. Každá prohlídka bude vyhodnocena v pololetní (roční) zprávě monitoringu s popisem zjištěných deformací a s jejich fotodokumentací a celkovým zhodnocením vývoje deformací ve stěnách.</w:t>
      </w:r>
    </w:p>
    <w:p w:rsidR="00202F0D" w:rsidRDefault="00CA6210">
      <w:pPr>
        <w:pStyle w:val="Style2"/>
        <w:shd w:val="clear" w:color="auto" w:fill="auto"/>
        <w:spacing w:after="0"/>
        <w:ind w:firstLine="740"/>
        <w:jc w:val="both"/>
      </w:pPr>
      <w:r>
        <w:rPr>
          <w:b/>
          <w:bCs/>
        </w:rPr>
        <w:t>Vyhodnocování monitoringu:</w:t>
      </w:r>
    </w:p>
    <w:p w:rsidR="00202F0D" w:rsidRDefault="00CA6210">
      <w:pPr>
        <w:pStyle w:val="Style2"/>
        <w:shd w:val="clear" w:color="auto" w:fill="auto"/>
        <w:spacing w:after="0"/>
        <w:ind w:left="740"/>
        <w:jc w:val="both"/>
      </w:pPr>
      <w:r>
        <w:t>Měřená data bude zhotovitel průběžně v</w:t>
      </w:r>
      <w:r>
        <w:t>yhodnocovat v pololetních zprávách, které budou zahrnovat i vyhodnocení klimatologických a hydrologických dat (srážky, hladina v nádrži), při významných deformacích i dalších veličin sledovaných v rámci TBD na VD Nechranice.</w:t>
      </w:r>
    </w:p>
    <w:p w:rsidR="00202F0D" w:rsidRDefault="00CA6210">
      <w:pPr>
        <w:pStyle w:val="Style2"/>
        <w:shd w:val="clear" w:color="auto" w:fill="auto"/>
        <w:spacing w:after="200"/>
        <w:ind w:left="740"/>
        <w:jc w:val="both"/>
      </w:pPr>
      <w:r>
        <w:t>V případě zjištění známek význa</w:t>
      </w:r>
      <w:r>
        <w:t>mnějších pohybů, bude četnost po dohodě s objednatelem adekvátně upravena.</w:t>
      </w:r>
    </w:p>
    <w:p w:rsidR="00202F0D" w:rsidRDefault="00CA6210">
      <w:pPr>
        <w:pStyle w:val="Style2"/>
        <w:shd w:val="clear" w:color="auto" w:fill="auto"/>
        <w:spacing w:after="200"/>
        <w:ind w:left="740"/>
        <w:jc w:val="both"/>
      </w:pPr>
      <w:r>
        <w:t>Výsledky prací bude zhotovitel publikovat v pololetní a v roční zprávě monitoringu včetně zhodnocení. Zprávy budou vydávány vždy do 21. dne měsíce následujícího po skončení příslušn</w:t>
      </w:r>
      <w:r>
        <w:t>ého pololetí. Na základě získávaných výsledků bude doporučen další režim monitoringu.</w:t>
      </w:r>
    </w:p>
    <w:p w:rsidR="00202F0D" w:rsidRDefault="00CA6210">
      <w:pPr>
        <w:pStyle w:val="Style2"/>
        <w:shd w:val="clear" w:color="auto" w:fill="auto"/>
        <w:spacing w:after="0"/>
        <w:ind w:left="720" w:firstLine="20"/>
        <w:jc w:val="both"/>
      </w:pPr>
      <w:r>
        <w:rPr>
          <w:b/>
          <w:bCs/>
          <w:i/>
          <w:iCs/>
        </w:rPr>
        <w:t>Před odevzdáním závěrečné zprávy každého roku bude zhotovitel výsledky měření prezentovat objednateli.</w:t>
      </w:r>
    </w:p>
    <w:p w:rsidR="00202F0D" w:rsidRDefault="00CA6210">
      <w:pPr>
        <w:pStyle w:val="Style2"/>
        <w:shd w:val="clear" w:color="auto" w:fill="auto"/>
        <w:spacing w:after="440"/>
        <w:ind w:left="720" w:firstLine="20"/>
        <w:jc w:val="both"/>
      </w:pPr>
      <w:r>
        <w:rPr>
          <w:i/>
          <w:iCs/>
        </w:rPr>
        <w:t xml:space="preserve">V případě výrazných odchylek v měření – zjištění významných pohybů </w:t>
      </w:r>
      <w:r>
        <w:rPr>
          <w:i/>
          <w:iCs/>
        </w:rPr>
        <w:t>– bude neprodleně svoláno společné jednání (prostřednictvím TDI) a stanoven další postup.</w:t>
      </w:r>
    </w:p>
    <w:p w:rsidR="00202F0D" w:rsidRDefault="00CA6210">
      <w:pPr>
        <w:pStyle w:val="Style19"/>
        <w:keepNext/>
        <w:keepLines/>
        <w:numPr>
          <w:ilvl w:val="0"/>
          <w:numId w:val="1"/>
        </w:numPr>
        <w:shd w:val="clear" w:color="auto" w:fill="auto"/>
        <w:tabs>
          <w:tab w:val="left" w:pos="822"/>
        </w:tabs>
        <w:ind w:left="720" w:hanging="280"/>
        <w:jc w:val="both"/>
      </w:pPr>
      <w:bookmarkStart w:id="2" w:name="bookmark4"/>
      <w:bookmarkStart w:id="3" w:name="bookmark2"/>
      <w:bookmarkStart w:id="4" w:name="bookmark3"/>
      <w:bookmarkStart w:id="5" w:name="bookmark5"/>
      <w:bookmarkEnd w:id="2"/>
      <w:r>
        <w:t>Zhotovitel se zavazuje provést výše uvedené dílo v rozsahu nabídky GT monitoring 2025_VDN Oáza, která je přílohou č. 1 této smlouvy.</w:t>
      </w:r>
      <w:bookmarkEnd w:id="3"/>
      <w:bookmarkEnd w:id="4"/>
      <w:bookmarkEnd w:id="5"/>
    </w:p>
    <w:p w:rsidR="00202F0D" w:rsidRDefault="00CA6210">
      <w:pPr>
        <w:pStyle w:val="Style2"/>
        <w:shd w:val="clear" w:color="auto" w:fill="auto"/>
        <w:spacing w:after="0"/>
        <w:ind w:firstLine="720"/>
        <w:jc w:val="both"/>
      </w:pPr>
      <w:r>
        <w:t>Místo provádění díla:</w:t>
      </w:r>
    </w:p>
    <w:p w:rsidR="00202F0D" w:rsidRDefault="00CA6210">
      <w:pPr>
        <w:pStyle w:val="Style2"/>
        <w:shd w:val="clear" w:color="auto" w:fill="auto"/>
        <w:spacing w:after="140"/>
        <w:ind w:firstLine="720"/>
        <w:jc w:val="both"/>
      </w:pPr>
      <w:r>
        <w:t xml:space="preserve">VD </w:t>
      </w:r>
      <w:r>
        <w:t>Nechranice levý břeh lokalita abrazí Oáza, kraj Ústecký</w:t>
      </w:r>
    </w:p>
    <w:p w:rsidR="00202F0D" w:rsidRDefault="00CA6210">
      <w:pPr>
        <w:pStyle w:val="Style19"/>
        <w:keepNext/>
        <w:keepLines/>
        <w:numPr>
          <w:ilvl w:val="0"/>
          <w:numId w:val="1"/>
        </w:numPr>
        <w:shd w:val="clear" w:color="auto" w:fill="auto"/>
        <w:tabs>
          <w:tab w:val="left" w:pos="762"/>
        </w:tabs>
        <w:ind w:left="0" w:firstLine="380"/>
        <w:jc w:val="both"/>
      </w:pPr>
      <w:bookmarkStart w:id="6" w:name="bookmark8"/>
      <w:bookmarkStart w:id="7" w:name="bookmark6"/>
      <w:bookmarkStart w:id="8" w:name="bookmark7"/>
      <w:bookmarkStart w:id="9" w:name="bookmark9"/>
      <w:bookmarkEnd w:id="6"/>
      <w:r>
        <w:lastRenderedPageBreak/>
        <w:t>Za předmět díla se dále považuje:</w:t>
      </w:r>
      <w:bookmarkEnd w:id="7"/>
      <w:bookmarkEnd w:id="8"/>
      <w:bookmarkEnd w:id="9"/>
    </w:p>
    <w:p w:rsidR="00202F0D" w:rsidRDefault="00CA6210">
      <w:pPr>
        <w:pStyle w:val="Style19"/>
        <w:keepNext/>
        <w:keepLines/>
        <w:numPr>
          <w:ilvl w:val="0"/>
          <w:numId w:val="2"/>
        </w:numPr>
        <w:shd w:val="clear" w:color="auto" w:fill="auto"/>
        <w:tabs>
          <w:tab w:val="left" w:pos="832"/>
        </w:tabs>
        <w:ind w:left="720" w:hanging="280"/>
        <w:jc w:val="both"/>
      </w:pPr>
      <w:bookmarkStart w:id="10" w:name="bookmark12"/>
      <w:bookmarkStart w:id="11" w:name="bookmark10"/>
      <w:bookmarkStart w:id="12" w:name="bookmark11"/>
      <w:bookmarkStart w:id="13" w:name="bookmark13"/>
      <w:bookmarkEnd w:id="10"/>
      <w:r>
        <w:t>zajištění přístupů pro plnění zakázky, přes pozemky, na které objednatel nemá právo hospodařit,</w:t>
      </w:r>
      <w:bookmarkEnd w:id="11"/>
      <w:bookmarkEnd w:id="12"/>
      <w:bookmarkEnd w:id="13"/>
    </w:p>
    <w:p w:rsidR="00202F0D" w:rsidRDefault="00CA6210">
      <w:pPr>
        <w:pStyle w:val="Style19"/>
        <w:keepNext/>
        <w:keepLines/>
        <w:numPr>
          <w:ilvl w:val="0"/>
          <w:numId w:val="2"/>
        </w:numPr>
        <w:shd w:val="clear" w:color="auto" w:fill="auto"/>
        <w:tabs>
          <w:tab w:val="left" w:pos="832"/>
        </w:tabs>
        <w:ind w:left="720" w:hanging="280"/>
        <w:jc w:val="both"/>
      </w:pPr>
      <w:bookmarkStart w:id="14" w:name="bookmark16"/>
      <w:bookmarkStart w:id="15" w:name="bookmark14"/>
      <w:bookmarkStart w:id="16" w:name="bookmark15"/>
      <w:bookmarkStart w:id="17" w:name="bookmark17"/>
      <w:bookmarkEnd w:id="14"/>
      <w:r>
        <w:t>likvidace přebytečného materiálu odpovídajícím zákonným způsobem, zaji</w:t>
      </w:r>
      <w:r>
        <w:t xml:space="preserve">štění skládek a </w:t>
      </w:r>
      <w:proofErr w:type="spellStart"/>
      <w:r>
        <w:t>deponií</w:t>
      </w:r>
      <w:proofErr w:type="spellEnd"/>
      <w:r>
        <w:t>, vč. vedení evidence o vzniklých odpadech a předání dokladů o jejich likvidaci objednateli při předání a převzetí díla,</w:t>
      </w:r>
      <w:bookmarkEnd w:id="15"/>
      <w:bookmarkEnd w:id="16"/>
      <w:bookmarkEnd w:id="17"/>
    </w:p>
    <w:p w:rsidR="00202F0D" w:rsidRDefault="00CA6210">
      <w:pPr>
        <w:pStyle w:val="Style19"/>
        <w:keepNext/>
        <w:keepLines/>
        <w:numPr>
          <w:ilvl w:val="0"/>
          <w:numId w:val="2"/>
        </w:numPr>
        <w:shd w:val="clear" w:color="auto" w:fill="auto"/>
        <w:tabs>
          <w:tab w:val="left" w:pos="1054"/>
        </w:tabs>
        <w:ind w:left="1020" w:hanging="580"/>
        <w:jc w:val="both"/>
      </w:pPr>
      <w:bookmarkStart w:id="18" w:name="bookmark20"/>
      <w:bookmarkStart w:id="19" w:name="bookmark18"/>
      <w:bookmarkStart w:id="20" w:name="bookmark19"/>
      <w:bookmarkStart w:id="21" w:name="bookmark21"/>
      <w:bookmarkEnd w:id="18"/>
      <w:r>
        <w:t>zajištění bezpečnosti a ochrany zdraví při práci, požární ochrany, ochrany životního prostředí, péče o nepředané</w:t>
      </w:r>
      <w:r>
        <w:t xml:space="preserve"> objekty a konstrukce stavby, zařízení a ostraha pracoviště,</w:t>
      </w:r>
      <w:bookmarkEnd w:id="19"/>
      <w:bookmarkEnd w:id="20"/>
      <w:bookmarkEnd w:id="21"/>
    </w:p>
    <w:p w:rsidR="00202F0D" w:rsidRDefault="00CA6210">
      <w:pPr>
        <w:pStyle w:val="Style19"/>
        <w:keepNext/>
        <w:keepLines/>
        <w:numPr>
          <w:ilvl w:val="0"/>
          <w:numId w:val="2"/>
        </w:numPr>
        <w:shd w:val="clear" w:color="auto" w:fill="auto"/>
        <w:tabs>
          <w:tab w:val="left" w:pos="1054"/>
        </w:tabs>
        <w:ind w:left="1020" w:hanging="580"/>
        <w:jc w:val="both"/>
      </w:pPr>
      <w:bookmarkStart w:id="22" w:name="bookmark24"/>
      <w:bookmarkStart w:id="23" w:name="bookmark22"/>
      <w:bookmarkStart w:id="24" w:name="bookmark23"/>
      <w:bookmarkStart w:id="25" w:name="bookmark25"/>
      <w:bookmarkEnd w:id="22"/>
      <w:r>
        <w:t>publikace výsledků v pololetní zprávě a roční zprávě včetně zhodnocení. Zprávy budou vydávány vždy do 21. dne měsíce následujícího po skončení příslušného pololetí. Na základě získávaných výsledk</w:t>
      </w:r>
      <w:r>
        <w:t>ů bude doporučen další režim monitoringu,</w:t>
      </w:r>
      <w:bookmarkEnd w:id="23"/>
      <w:bookmarkEnd w:id="24"/>
      <w:bookmarkEnd w:id="25"/>
    </w:p>
    <w:p w:rsidR="00202F0D" w:rsidRDefault="00CA6210">
      <w:pPr>
        <w:pStyle w:val="Style19"/>
        <w:keepNext/>
        <w:keepLines/>
        <w:numPr>
          <w:ilvl w:val="0"/>
          <w:numId w:val="2"/>
        </w:numPr>
        <w:shd w:val="clear" w:color="auto" w:fill="auto"/>
        <w:tabs>
          <w:tab w:val="left" w:pos="772"/>
        </w:tabs>
        <w:spacing w:after="440"/>
        <w:ind w:left="0" w:firstLine="380"/>
        <w:jc w:val="both"/>
      </w:pPr>
      <w:bookmarkStart w:id="26" w:name="bookmark28"/>
      <w:bookmarkStart w:id="27" w:name="bookmark26"/>
      <w:bookmarkStart w:id="28" w:name="bookmark27"/>
      <w:bookmarkStart w:id="29" w:name="bookmark29"/>
      <w:bookmarkEnd w:id="26"/>
      <w:r>
        <w:t>zajištění fotodokumentace z prováděného monitoringu.</w:t>
      </w:r>
      <w:bookmarkEnd w:id="27"/>
      <w:bookmarkEnd w:id="28"/>
      <w:bookmarkEnd w:id="29"/>
    </w:p>
    <w:p w:rsidR="00202F0D" w:rsidRDefault="00CA6210">
      <w:pPr>
        <w:pStyle w:val="Style2"/>
        <w:shd w:val="clear" w:color="auto" w:fill="auto"/>
        <w:ind w:left="580"/>
        <w:jc w:val="both"/>
      </w:pPr>
      <w:r>
        <w:t xml:space="preserve">Práce, které jsou předmětem plnění, musí být provedeny kvalitně kvalifikovanými pracovníky a v souladu s příslušnými technickými normami. Po ukončení prací se </w:t>
      </w:r>
      <w:r>
        <w:t>požaduje předání díla bez vad a nedodělků. Pozemek, který byl k realizaci využíván, bude uklizen a vyčištěn od všech odpadů.</w:t>
      </w:r>
    </w:p>
    <w:p w:rsidR="00202F0D" w:rsidRDefault="00CA6210">
      <w:pPr>
        <w:pStyle w:val="Style2"/>
        <w:numPr>
          <w:ilvl w:val="0"/>
          <w:numId w:val="1"/>
        </w:numPr>
        <w:shd w:val="clear" w:color="auto" w:fill="auto"/>
        <w:tabs>
          <w:tab w:val="left" w:pos="822"/>
        </w:tabs>
        <w:spacing w:after="140"/>
        <w:ind w:left="720" w:hanging="280"/>
        <w:jc w:val="both"/>
      </w:pPr>
      <w:bookmarkStart w:id="30" w:name="bookmark30"/>
      <w:bookmarkEnd w:id="30"/>
      <w:r>
        <w:t xml:space="preserve">Zhotovitel prohlašuje, že dílo provede řádně a s odbornou péčí podle platných právních předpisů vztahujících se k předmětné </w:t>
      </w:r>
      <w:r>
        <w:t>činnosti. V případě, že využije k provádění díla nebo jeho části externího zhotovitele, nese odpovědnost za provedené práce stejně jako by je prováděl dílo sám.</w:t>
      </w:r>
    </w:p>
    <w:p w:rsidR="00202F0D" w:rsidRDefault="00CA6210">
      <w:pPr>
        <w:pStyle w:val="Style2"/>
        <w:numPr>
          <w:ilvl w:val="0"/>
          <w:numId w:val="1"/>
        </w:numPr>
        <w:shd w:val="clear" w:color="auto" w:fill="auto"/>
        <w:tabs>
          <w:tab w:val="left" w:pos="822"/>
        </w:tabs>
        <w:ind w:left="720" w:hanging="280"/>
        <w:jc w:val="both"/>
      </w:pPr>
      <w:bookmarkStart w:id="31" w:name="bookmark31"/>
      <w:bookmarkEnd w:id="31"/>
      <w:r>
        <w:t>Zhotovitel prohlašuje, že si pečlivě prostudoval veškeré zadávací podklady a seznámil se s budo</w:t>
      </w:r>
      <w:r>
        <w:t>ucím pracovištěm tak, aby mohlo být dílo řádně provedeno podle ustanovení této smlouvy, není třeba žádných změn nebo úprav zadání.</w:t>
      </w:r>
    </w:p>
    <w:p w:rsidR="00202F0D" w:rsidRDefault="00CA6210">
      <w:pPr>
        <w:pStyle w:val="Style2"/>
        <w:numPr>
          <w:ilvl w:val="0"/>
          <w:numId w:val="1"/>
        </w:numPr>
        <w:shd w:val="clear" w:color="auto" w:fill="auto"/>
        <w:tabs>
          <w:tab w:val="left" w:pos="762"/>
        </w:tabs>
        <w:spacing w:after="0"/>
        <w:ind w:firstLine="380"/>
        <w:jc w:val="both"/>
      </w:pPr>
      <w:bookmarkStart w:id="32" w:name="bookmark32"/>
      <w:bookmarkEnd w:id="32"/>
      <w:r>
        <w:t>Objednatel předá zhotoviteli pracoviště (nebo jeho ucelenou část) prosté práv třetích osob.</w:t>
      </w:r>
    </w:p>
    <w:p w:rsidR="00202F0D" w:rsidRDefault="00CA6210">
      <w:pPr>
        <w:pStyle w:val="Style2"/>
        <w:shd w:val="clear" w:color="auto" w:fill="auto"/>
        <w:spacing w:after="940"/>
        <w:ind w:left="720" w:firstLine="20"/>
        <w:jc w:val="both"/>
      </w:pPr>
      <w:r>
        <w:t>Předání pracoviště zhotoviteli bu</w:t>
      </w:r>
      <w:r>
        <w:t>de objednatelem provedeno až po splnění a prokazatelném doložení, všech potřebných legislativních povinností zhotovitele, nutných k zajištění před předáním pracoviště.</w:t>
      </w:r>
    </w:p>
    <w:p w:rsidR="00202F0D" w:rsidRDefault="00CA6210">
      <w:pPr>
        <w:pStyle w:val="Style2"/>
        <w:shd w:val="clear" w:color="auto" w:fill="auto"/>
        <w:jc w:val="center"/>
      </w:pPr>
      <w:r>
        <w:rPr>
          <w:b/>
          <w:bCs/>
        </w:rPr>
        <w:t>Čl. III. TERMÍN PLNĚNÍ</w:t>
      </w:r>
    </w:p>
    <w:p w:rsidR="00202F0D" w:rsidRDefault="00CA6210">
      <w:pPr>
        <w:pStyle w:val="Style2"/>
        <w:numPr>
          <w:ilvl w:val="0"/>
          <w:numId w:val="3"/>
        </w:numPr>
        <w:shd w:val="clear" w:color="auto" w:fill="auto"/>
        <w:tabs>
          <w:tab w:val="left" w:pos="762"/>
        </w:tabs>
        <w:ind w:firstLine="380"/>
        <w:jc w:val="both"/>
      </w:pPr>
      <w:bookmarkStart w:id="33" w:name="bookmark33"/>
      <w:bookmarkEnd w:id="33"/>
      <w:r>
        <w:t xml:space="preserve">Smluvní strany se dohodly na následujících lhůtách a podmínkách </w:t>
      </w:r>
      <w:r>
        <w:t>pro realizaci díla.</w:t>
      </w:r>
    </w:p>
    <w:p w:rsidR="00202F0D" w:rsidRDefault="00CA6210">
      <w:pPr>
        <w:pStyle w:val="Style2"/>
        <w:shd w:val="clear" w:color="auto" w:fill="auto"/>
        <w:ind w:firstLine="380"/>
        <w:jc w:val="both"/>
      </w:pPr>
      <w:r>
        <w:t>Zhotovitel se zavazuje provést dílo v následujících termínech:</w:t>
      </w:r>
    </w:p>
    <w:p w:rsidR="00202F0D" w:rsidRDefault="00CA6210">
      <w:pPr>
        <w:pStyle w:val="Style2"/>
        <w:numPr>
          <w:ilvl w:val="0"/>
          <w:numId w:val="4"/>
        </w:numPr>
        <w:shd w:val="clear" w:color="auto" w:fill="auto"/>
        <w:tabs>
          <w:tab w:val="left" w:pos="777"/>
        </w:tabs>
        <w:spacing w:after="0"/>
        <w:ind w:firstLine="380"/>
        <w:jc w:val="both"/>
      </w:pPr>
      <w:bookmarkStart w:id="34" w:name="bookmark34"/>
      <w:bookmarkEnd w:id="34"/>
      <w:r>
        <w:rPr>
          <w:b/>
          <w:bCs/>
        </w:rPr>
        <w:t>převzetí pracoviště:</w:t>
      </w:r>
    </w:p>
    <w:p w:rsidR="00202F0D" w:rsidRDefault="00CA6210">
      <w:pPr>
        <w:pStyle w:val="Style2"/>
        <w:shd w:val="clear" w:color="auto" w:fill="auto"/>
        <w:ind w:firstLine="720"/>
        <w:jc w:val="both"/>
      </w:pPr>
      <w:r>
        <w:t>Zhotovitel se zavazuje převzít pracoviště do 60 dnů od podpisu této smlouvy</w:t>
      </w:r>
    </w:p>
    <w:p w:rsidR="00202F0D" w:rsidRDefault="00CA6210">
      <w:pPr>
        <w:pStyle w:val="Style2"/>
        <w:numPr>
          <w:ilvl w:val="0"/>
          <w:numId w:val="4"/>
        </w:numPr>
        <w:shd w:val="clear" w:color="auto" w:fill="auto"/>
        <w:tabs>
          <w:tab w:val="left" w:pos="777"/>
        </w:tabs>
        <w:spacing w:after="0"/>
        <w:ind w:firstLine="380"/>
        <w:jc w:val="both"/>
      </w:pPr>
      <w:bookmarkStart w:id="35" w:name="bookmark35"/>
      <w:bookmarkEnd w:id="35"/>
      <w:r>
        <w:rPr>
          <w:b/>
          <w:bCs/>
        </w:rPr>
        <w:t>zahájení monitoringu</w:t>
      </w:r>
      <w:r>
        <w:t>:</w:t>
      </w:r>
    </w:p>
    <w:p w:rsidR="00202F0D" w:rsidRDefault="00CA6210">
      <w:pPr>
        <w:pStyle w:val="Style2"/>
        <w:shd w:val="clear" w:color="auto" w:fill="auto"/>
        <w:ind w:firstLine="720"/>
        <w:jc w:val="both"/>
      </w:pPr>
      <w:r>
        <w:rPr>
          <w:b/>
          <w:bCs/>
        </w:rPr>
        <w:t>1.1.2025</w:t>
      </w:r>
    </w:p>
    <w:p w:rsidR="00202F0D" w:rsidRDefault="00CA6210">
      <w:pPr>
        <w:pStyle w:val="Style2"/>
        <w:numPr>
          <w:ilvl w:val="0"/>
          <w:numId w:val="4"/>
        </w:numPr>
        <w:shd w:val="clear" w:color="auto" w:fill="auto"/>
        <w:tabs>
          <w:tab w:val="left" w:pos="777"/>
        </w:tabs>
        <w:spacing w:after="0"/>
        <w:ind w:firstLine="380"/>
        <w:jc w:val="both"/>
      </w:pPr>
      <w:bookmarkStart w:id="36" w:name="bookmark36"/>
      <w:bookmarkEnd w:id="36"/>
      <w:r>
        <w:rPr>
          <w:b/>
          <w:bCs/>
        </w:rPr>
        <w:t>Dílčí plnění – 1. pololetí roku 2025:</w:t>
      </w:r>
    </w:p>
    <w:p w:rsidR="00202F0D" w:rsidRDefault="00CA6210">
      <w:pPr>
        <w:pStyle w:val="Style2"/>
        <w:shd w:val="clear" w:color="auto" w:fill="auto"/>
        <w:ind w:firstLine="720"/>
        <w:jc w:val="both"/>
      </w:pPr>
      <w:r>
        <w:t>po odev</w:t>
      </w:r>
      <w:r>
        <w:t>zdání zprávy o výsledcích měření = nejpozději 21. 7.2025</w:t>
      </w:r>
    </w:p>
    <w:p w:rsidR="00202F0D" w:rsidRDefault="00CA6210">
      <w:pPr>
        <w:pStyle w:val="Style2"/>
        <w:numPr>
          <w:ilvl w:val="0"/>
          <w:numId w:val="4"/>
        </w:numPr>
        <w:shd w:val="clear" w:color="auto" w:fill="auto"/>
        <w:tabs>
          <w:tab w:val="left" w:pos="777"/>
        </w:tabs>
        <w:spacing w:after="0"/>
        <w:ind w:firstLine="380"/>
        <w:jc w:val="both"/>
      </w:pPr>
      <w:bookmarkStart w:id="37" w:name="bookmark37"/>
      <w:bookmarkEnd w:id="37"/>
      <w:r>
        <w:rPr>
          <w:b/>
          <w:bCs/>
        </w:rPr>
        <w:t>dokončení monitoringu</w:t>
      </w:r>
      <w:r>
        <w:t>:</w:t>
      </w:r>
    </w:p>
    <w:p w:rsidR="00202F0D" w:rsidRDefault="00CA6210">
      <w:pPr>
        <w:pStyle w:val="Style2"/>
        <w:shd w:val="clear" w:color="auto" w:fill="auto"/>
        <w:spacing w:after="0"/>
        <w:ind w:firstLine="720"/>
        <w:jc w:val="both"/>
      </w:pPr>
      <w:r>
        <w:t>odevzdání závěrečné zprávy za rok 2025 = nejpozději 21. 1.2026</w:t>
      </w:r>
    </w:p>
    <w:p w:rsidR="00202F0D" w:rsidRDefault="00CA6210">
      <w:pPr>
        <w:pStyle w:val="Style19"/>
        <w:keepNext/>
        <w:keepLines/>
        <w:numPr>
          <w:ilvl w:val="0"/>
          <w:numId w:val="4"/>
        </w:numPr>
        <w:shd w:val="clear" w:color="auto" w:fill="auto"/>
        <w:tabs>
          <w:tab w:val="left" w:pos="777"/>
        </w:tabs>
        <w:spacing w:after="320"/>
        <w:ind w:left="0" w:firstLine="380"/>
      </w:pPr>
      <w:bookmarkStart w:id="38" w:name="bookmark40"/>
      <w:bookmarkStart w:id="39" w:name="bookmark38"/>
      <w:bookmarkStart w:id="40" w:name="bookmark39"/>
      <w:bookmarkStart w:id="41" w:name="bookmark41"/>
      <w:bookmarkEnd w:id="38"/>
      <w:r>
        <w:rPr>
          <w:b/>
          <w:bCs/>
        </w:rPr>
        <w:t xml:space="preserve">Konečné plnění: </w:t>
      </w:r>
      <w:r>
        <w:t xml:space="preserve">Po </w:t>
      </w:r>
      <w:proofErr w:type="spellStart"/>
      <w:r>
        <w:t>odprezentování</w:t>
      </w:r>
      <w:proofErr w:type="spellEnd"/>
      <w:r>
        <w:t xml:space="preserve"> výsledků měření za rok 2025 = Nejpozději do </w:t>
      </w:r>
      <w:r>
        <w:rPr>
          <w:b/>
          <w:bCs/>
        </w:rPr>
        <w:t>27. 1. 2026</w:t>
      </w:r>
      <w:r>
        <w:t>.</w:t>
      </w:r>
      <w:bookmarkEnd w:id="39"/>
      <w:bookmarkEnd w:id="40"/>
      <w:bookmarkEnd w:id="41"/>
    </w:p>
    <w:p w:rsidR="00202F0D" w:rsidRDefault="00CA6210">
      <w:pPr>
        <w:pStyle w:val="Style2"/>
        <w:shd w:val="clear" w:color="auto" w:fill="auto"/>
        <w:ind w:left="380"/>
        <w:jc w:val="both"/>
      </w:pPr>
      <w:r>
        <w:t xml:space="preserve">Monitoring a zprávy </w:t>
      </w:r>
      <w:r>
        <w:t>budou dokončeny zhotovitelem a předány objednateli písemně na základě zápisu o předání a převzetí.</w:t>
      </w:r>
    </w:p>
    <w:p w:rsidR="00202F0D" w:rsidRDefault="00CA6210">
      <w:pPr>
        <w:pStyle w:val="Style19"/>
        <w:keepNext/>
        <w:keepLines/>
        <w:numPr>
          <w:ilvl w:val="0"/>
          <w:numId w:val="3"/>
        </w:numPr>
        <w:shd w:val="clear" w:color="auto" w:fill="auto"/>
        <w:tabs>
          <w:tab w:val="left" w:pos="382"/>
        </w:tabs>
        <w:spacing w:after="140"/>
        <w:jc w:val="both"/>
      </w:pPr>
      <w:bookmarkStart w:id="42" w:name="bookmark44"/>
      <w:bookmarkStart w:id="43" w:name="bookmark42"/>
      <w:bookmarkStart w:id="44" w:name="bookmark43"/>
      <w:bookmarkStart w:id="45" w:name="bookmark45"/>
      <w:bookmarkEnd w:id="42"/>
      <w:r>
        <w:lastRenderedPageBreak/>
        <w:t>Veškeré termíny mohou být po dohodě přiměřeně prodlouženy v důsledku mimořádných nepředvídatelných a nepřekonatelných překážek vzniklých nezávisle na vůli st</w:t>
      </w:r>
      <w:r>
        <w:t>ran smlouvy dle § 2913 odst. 2 OZ, a to o dobu trvání takových překážek. Takovým prodloužením nesmí dojít ke změně celkové povahy závazku z této smlouvy ve smyslu § 222 ZZVZ.</w:t>
      </w:r>
      <w:bookmarkEnd w:id="43"/>
      <w:bookmarkEnd w:id="44"/>
      <w:bookmarkEnd w:id="45"/>
    </w:p>
    <w:p w:rsidR="00202F0D" w:rsidRDefault="00CA6210">
      <w:pPr>
        <w:pStyle w:val="Style19"/>
        <w:keepNext/>
        <w:keepLines/>
        <w:numPr>
          <w:ilvl w:val="0"/>
          <w:numId w:val="3"/>
        </w:numPr>
        <w:shd w:val="clear" w:color="auto" w:fill="auto"/>
        <w:tabs>
          <w:tab w:val="left" w:pos="382"/>
        </w:tabs>
        <w:spacing w:after="140"/>
        <w:jc w:val="both"/>
      </w:pPr>
      <w:bookmarkStart w:id="46" w:name="bookmark48"/>
      <w:bookmarkStart w:id="47" w:name="bookmark46"/>
      <w:bookmarkStart w:id="48" w:name="bookmark47"/>
      <w:bookmarkStart w:id="49" w:name="bookmark49"/>
      <w:bookmarkEnd w:id="46"/>
      <w:r>
        <w:t>Dohoda smluvních stran o prodloužení termínu dokončení díla musí mít formu písemn</w:t>
      </w:r>
      <w:r>
        <w:t>ého dodatku k této smlouvě.</w:t>
      </w:r>
      <w:bookmarkEnd w:id="47"/>
      <w:bookmarkEnd w:id="48"/>
      <w:bookmarkEnd w:id="49"/>
    </w:p>
    <w:p w:rsidR="00202F0D" w:rsidRDefault="00CA6210">
      <w:pPr>
        <w:pStyle w:val="Style19"/>
        <w:keepNext/>
        <w:keepLines/>
        <w:numPr>
          <w:ilvl w:val="0"/>
          <w:numId w:val="5"/>
        </w:numPr>
        <w:shd w:val="clear" w:color="auto" w:fill="auto"/>
        <w:tabs>
          <w:tab w:val="left" w:pos="382"/>
        </w:tabs>
        <w:spacing w:after="360"/>
        <w:jc w:val="both"/>
      </w:pPr>
      <w:bookmarkStart w:id="50" w:name="bookmark52"/>
      <w:bookmarkStart w:id="51" w:name="bookmark50"/>
      <w:bookmarkStart w:id="52" w:name="bookmark51"/>
      <w:bookmarkStart w:id="53" w:name="bookmark53"/>
      <w:bookmarkEnd w:id="50"/>
      <w:r>
        <w:t>Dílo bude dokončeno zhotovitelem a předáno objednateli písemně na základě odsouhlaseného soupisu prováděných prací.</w:t>
      </w:r>
      <w:bookmarkEnd w:id="51"/>
      <w:bookmarkEnd w:id="52"/>
      <w:bookmarkEnd w:id="53"/>
    </w:p>
    <w:p w:rsidR="00202F0D" w:rsidRDefault="00CA6210">
      <w:pPr>
        <w:pStyle w:val="Style2"/>
        <w:shd w:val="clear" w:color="auto" w:fill="auto"/>
        <w:jc w:val="center"/>
      </w:pPr>
      <w:r>
        <w:rPr>
          <w:b/>
          <w:bCs/>
        </w:rPr>
        <w:t>Čl. IV. CENA</w:t>
      </w:r>
    </w:p>
    <w:p w:rsidR="00202F0D" w:rsidRDefault="00CA6210">
      <w:pPr>
        <w:pStyle w:val="Style2"/>
        <w:numPr>
          <w:ilvl w:val="0"/>
          <w:numId w:val="6"/>
        </w:numPr>
        <w:shd w:val="clear" w:color="auto" w:fill="auto"/>
        <w:tabs>
          <w:tab w:val="left" w:pos="382"/>
        </w:tabs>
        <w:spacing w:after="60"/>
        <w:ind w:left="380" w:hanging="380"/>
        <w:jc w:val="both"/>
      </w:pPr>
      <w:bookmarkStart w:id="54" w:name="bookmark54"/>
      <w:bookmarkEnd w:id="54"/>
      <w:r>
        <w:t xml:space="preserve">Cena za dílo je stanovená jako nejvýše přípustná smluvní cena v souladu s platným zněním zákona č. </w:t>
      </w:r>
      <w:r>
        <w:t xml:space="preserve">526/1990 Sb., platná po dobu realizace díla, </w:t>
      </w:r>
      <w:proofErr w:type="gramStart"/>
      <w:r>
        <w:t>t.j.</w:t>
      </w:r>
      <w:proofErr w:type="gramEnd"/>
      <w:r>
        <w:t xml:space="preserve"> až do doby protokolárního předání a převzetí řádně provedeného díla.</w:t>
      </w:r>
    </w:p>
    <w:p w:rsidR="00202F0D" w:rsidRDefault="00CA6210">
      <w:pPr>
        <w:pStyle w:val="Style2"/>
        <w:shd w:val="clear" w:color="auto" w:fill="auto"/>
        <w:spacing w:after="140"/>
        <w:ind w:left="380"/>
        <w:jc w:val="both"/>
      </w:pPr>
      <w:r>
        <w:t>Cena za dílo zahrnuje veškeré náklady zhotovitele související s realizací díla a předáním objednateli.</w:t>
      </w:r>
    </w:p>
    <w:p w:rsidR="00202F0D" w:rsidRDefault="00CA6210">
      <w:pPr>
        <w:pStyle w:val="Style2"/>
        <w:numPr>
          <w:ilvl w:val="0"/>
          <w:numId w:val="6"/>
        </w:numPr>
        <w:shd w:val="clear" w:color="auto" w:fill="auto"/>
        <w:tabs>
          <w:tab w:val="left" w:pos="382"/>
        </w:tabs>
        <w:spacing w:after="140"/>
        <w:ind w:left="380" w:hanging="380"/>
        <w:jc w:val="both"/>
      </w:pPr>
      <w:bookmarkStart w:id="55" w:name="bookmark55"/>
      <w:bookmarkEnd w:id="55"/>
      <w:r>
        <w:t>Výše ceny díla může být změněna po</w:t>
      </w:r>
      <w:r>
        <w:t>uze a jen na podkladě skutečností, které se vyskytly v průběhu provádění monitoringu, přičemž jejich zajištění je podmínkou pro řádné dokončení díla. Odůvodněné změny budou po projednání oprávněnosti předloženy zhotovitelem formou návrhu dodatku ke smlouvě</w:t>
      </w:r>
      <w:r>
        <w:t xml:space="preserve"> o dílo.</w:t>
      </w:r>
    </w:p>
    <w:p w:rsidR="00202F0D" w:rsidRDefault="00CA6210">
      <w:pPr>
        <w:pStyle w:val="Style2"/>
        <w:numPr>
          <w:ilvl w:val="0"/>
          <w:numId w:val="3"/>
        </w:numPr>
        <w:shd w:val="clear" w:color="auto" w:fill="auto"/>
        <w:tabs>
          <w:tab w:val="left" w:pos="382"/>
        </w:tabs>
        <w:spacing w:after="60"/>
        <w:ind w:left="380" w:hanging="380"/>
        <w:jc w:val="both"/>
      </w:pPr>
      <w:bookmarkStart w:id="56" w:name="bookmark56"/>
      <w:bookmarkEnd w:id="56"/>
      <w:r>
        <w:t>Objednatel souhlasí s tím, že proplatí zhotoviteli jako protihodnotu za provedení a dokončení díla částku:</w:t>
      </w:r>
    </w:p>
    <w:p w:rsidR="00202F0D" w:rsidRDefault="00CA6210">
      <w:pPr>
        <w:pStyle w:val="Style2"/>
        <w:shd w:val="clear" w:color="auto" w:fill="auto"/>
        <w:tabs>
          <w:tab w:val="left" w:pos="6495"/>
          <w:tab w:val="left" w:pos="8655"/>
        </w:tabs>
        <w:ind w:firstLine="380"/>
        <w:jc w:val="both"/>
      </w:pPr>
      <w:r>
        <w:rPr>
          <w:b/>
          <w:bCs/>
        </w:rPr>
        <w:t>Celková smluvní cena za monitoring v roce 2025</w:t>
      </w:r>
      <w:r>
        <w:rPr>
          <w:b/>
          <w:bCs/>
        </w:rPr>
        <w:tab/>
      </w:r>
      <w:r>
        <w:t>bez DPH</w:t>
      </w:r>
      <w:r>
        <w:tab/>
      </w:r>
      <w:r>
        <w:rPr>
          <w:b/>
          <w:bCs/>
        </w:rPr>
        <w:t>276 000,- Kč</w:t>
      </w:r>
    </w:p>
    <w:p w:rsidR="00202F0D" w:rsidRDefault="00CA6210">
      <w:pPr>
        <w:pStyle w:val="Style2"/>
        <w:shd w:val="clear" w:color="auto" w:fill="auto"/>
        <w:spacing w:after="0"/>
        <w:ind w:firstLine="380"/>
        <w:jc w:val="both"/>
      </w:pPr>
      <w:r>
        <w:t xml:space="preserve">Slovy: </w:t>
      </w:r>
      <w:proofErr w:type="spellStart"/>
      <w:r>
        <w:t>dvěstěsedmdesátšesttisíckorunčeských</w:t>
      </w:r>
      <w:proofErr w:type="spellEnd"/>
      <w:r>
        <w:t>.</w:t>
      </w:r>
    </w:p>
    <w:p w:rsidR="00202F0D" w:rsidRDefault="00CA6210">
      <w:pPr>
        <w:pStyle w:val="Style2"/>
        <w:shd w:val="clear" w:color="auto" w:fill="auto"/>
        <w:ind w:firstLine="380"/>
        <w:jc w:val="both"/>
      </w:pPr>
      <w:r>
        <w:t xml:space="preserve">Cena je pevná celková a </w:t>
      </w:r>
      <w:r>
        <w:t>konečná.</w:t>
      </w:r>
    </w:p>
    <w:p w:rsidR="00202F0D" w:rsidRDefault="00CA6210">
      <w:pPr>
        <w:pStyle w:val="Style2"/>
        <w:numPr>
          <w:ilvl w:val="0"/>
          <w:numId w:val="3"/>
        </w:numPr>
        <w:shd w:val="clear" w:color="auto" w:fill="auto"/>
        <w:tabs>
          <w:tab w:val="left" w:pos="382"/>
        </w:tabs>
        <w:spacing w:after="0"/>
        <w:ind w:left="380" w:hanging="380"/>
        <w:jc w:val="both"/>
      </w:pPr>
      <w:bookmarkStart w:id="57" w:name="bookmark57"/>
      <w:bookmarkEnd w:id="57"/>
      <w:r>
        <w:t>Smluvní strany výslovně prohlašují, že touto smlouvou sjednaná cena za provedení díla není považována za skutečnost tvořící obchodní tajemství ve smyslu ustanovení § 504 zákona č. 89/2012 Sb. občanského zákoníku v platném znění.</w:t>
      </w:r>
    </w:p>
    <w:p w:rsidR="00202F0D" w:rsidRDefault="00CA6210">
      <w:pPr>
        <w:pStyle w:val="Style2"/>
        <w:shd w:val="clear" w:color="auto" w:fill="auto"/>
        <w:jc w:val="center"/>
      </w:pPr>
      <w:r>
        <w:rPr>
          <w:b/>
          <w:bCs/>
        </w:rPr>
        <w:t>Čl. V. PLATEBNÍ PO</w:t>
      </w:r>
      <w:r>
        <w:rPr>
          <w:b/>
          <w:bCs/>
        </w:rPr>
        <w:t>DMÍNKY</w:t>
      </w:r>
    </w:p>
    <w:p w:rsidR="00202F0D" w:rsidRDefault="00CA6210">
      <w:pPr>
        <w:pStyle w:val="Style2"/>
        <w:numPr>
          <w:ilvl w:val="0"/>
          <w:numId w:val="7"/>
        </w:numPr>
        <w:shd w:val="clear" w:color="auto" w:fill="auto"/>
        <w:tabs>
          <w:tab w:val="left" w:pos="382"/>
        </w:tabs>
        <w:jc w:val="both"/>
      </w:pPr>
      <w:bookmarkStart w:id="58" w:name="bookmark58"/>
      <w:bookmarkEnd w:id="58"/>
      <w:r>
        <w:t>Objednatel neposkytne zhotoviteli zálohu.</w:t>
      </w:r>
    </w:p>
    <w:p w:rsidR="00202F0D" w:rsidRDefault="00CA6210">
      <w:pPr>
        <w:pStyle w:val="Style2"/>
        <w:numPr>
          <w:ilvl w:val="0"/>
          <w:numId w:val="7"/>
        </w:numPr>
        <w:shd w:val="clear" w:color="auto" w:fill="auto"/>
        <w:tabs>
          <w:tab w:val="left" w:pos="382"/>
        </w:tabs>
        <w:ind w:left="380" w:hanging="380"/>
        <w:jc w:val="both"/>
      </w:pPr>
      <w:bookmarkStart w:id="59" w:name="bookmark59"/>
      <w:bookmarkEnd w:id="59"/>
      <w:r>
        <w:t xml:space="preserve">Cena díla bude hrazena po dokončení, předání a převzetí jednotlivých dílčích plnění bez vad a nedodělků. Fakturu je zhotovitel povinen prokazatelně doručit objednateli nejpozději do </w:t>
      </w:r>
      <w:r>
        <w:rPr>
          <w:b/>
          <w:bCs/>
        </w:rPr>
        <w:t xml:space="preserve">7 pracovních dnů ode dne </w:t>
      </w:r>
      <w:r>
        <w:rPr>
          <w:b/>
          <w:bCs/>
        </w:rPr>
        <w:t>uskutečnění plnění včetně potvrzeného soupisu provedených prací.</w:t>
      </w:r>
    </w:p>
    <w:p w:rsidR="00202F0D" w:rsidRDefault="00CA6210">
      <w:pPr>
        <w:pStyle w:val="Style2"/>
        <w:numPr>
          <w:ilvl w:val="0"/>
          <w:numId w:val="7"/>
        </w:numPr>
        <w:shd w:val="clear" w:color="auto" w:fill="auto"/>
        <w:tabs>
          <w:tab w:val="left" w:pos="372"/>
        </w:tabs>
        <w:ind w:left="380" w:hanging="380"/>
        <w:jc w:val="both"/>
      </w:pPr>
      <w:bookmarkStart w:id="60" w:name="bookmark60"/>
      <w:bookmarkEnd w:id="60"/>
      <w:r>
        <w:t xml:space="preserve">Datem uskutečnění zdanitelného plnění bude den předání a převzetí každého samostatného dílčího plnění uceleně provedených a objednatelem odsouhlasených prací a po dokončení díla dnem předání </w:t>
      </w:r>
      <w:r>
        <w:t>a převzetí díla bez nedodělků. Rozsah prací bude uveden v soupisu provedených prací, který bude nedílnou součástí konečného daňového dokladu. Konečná faktura musí obsahovat celkovou smluvní cenu dokončeného díla a dále vyúčtování dílčího plnění, které zhot</w:t>
      </w:r>
      <w:r>
        <w:t>ovitel fakturoval.</w:t>
      </w:r>
    </w:p>
    <w:p w:rsidR="00202F0D" w:rsidRDefault="00CA6210">
      <w:pPr>
        <w:pStyle w:val="Style2"/>
        <w:numPr>
          <w:ilvl w:val="0"/>
          <w:numId w:val="7"/>
        </w:numPr>
        <w:shd w:val="clear" w:color="auto" w:fill="auto"/>
        <w:tabs>
          <w:tab w:val="left" w:pos="372"/>
        </w:tabs>
        <w:ind w:left="380" w:hanging="380"/>
        <w:jc w:val="both"/>
      </w:pPr>
      <w:bookmarkStart w:id="61" w:name="bookmark61"/>
      <w:bookmarkEnd w:id="61"/>
      <w:r>
        <w:t>Při dílčím plnění zhotovitel předloží objednateli soupis provedených prací za uplynulé kalendářní pololetí.</w:t>
      </w:r>
    </w:p>
    <w:p w:rsidR="00202F0D" w:rsidRDefault="00CA6210">
      <w:pPr>
        <w:pStyle w:val="Style2"/>
        <w:numPr>
          <w:ilvl w:val="0"/>
          <w:numId w:val="7"/>
        </w:numPr>
        <w:shd w:val="clear" w:color="auto" w:fill="auto"/>
        <w:tabs>
          <w:tab w:val="left" w:pos="372"/>
        </w:tabs>
        <w:spacing w:after="0"/>
        <w:ind w:left="380" w:hanging="380"/>
        <w:jc w:val="both"/>
      </w:pPr>
      <w:bookmarkStart w:id="62" w:name="bookmark62"/>
      <w:bookmarkEnd w:id="62"/>
      <w:r>
        <w:t>Faktura musí splňovat náležitosti ve smyslu daňových a účetních předpisů platných na území České republiky, zejména zákona č. 563</w:t>
      </w:r>
      <w:r>
        <w:t>/1991 Sb., o účetnictví a zákona 235/2004 Sb., o DPH v platném znění a dále náležitosti stanovené smlouvou a těmito obchodními podmínkami. V případě chybějících nebo chybných náležitostí vrátí objednatel zhotoviteli fakturu k opravě. Lhůta pro zaplacení pa</w:t>
      </w:r>
      <w:r>
        <w:t>k počíná běžet od doby vrácení opravené faktury.</w:t>
      </w:r>
    </w:p>
    <w:p w:rsidR="00202F0D" w:rsidRDefault="00CA6210">
      <w:pPr>
        <w:pStyle w:val="Style2"/>
        <w:shd w:val="clear" w:color="auto" w:fill="auto"/>
        <w:ind w:firstLine="380"/>
        <w:jc w:val="both"/>
      </w:pPr>
      <w:r>
        <w:t xml:space="preserve">Předat faktury lze i elektronicky na adresu: </w:t>
      </w:r>
      <w:hyperlink r:id="rId9" w:history="1">
        <w:r>
          <w:rPr>
            <w:b/>
            <w:bCs/>
            <w:color w:val="0000FF"/>
          </w:rPr>
          <w:t>faktury-zcv@poh.cz</w:t>
        </w:r>
      </w:hyperlink>
      <w:r>
        <w:rPr>
          <w:b/>
          <w:bCs/>
        </w:rPr>
        <w:t>.</w:t>
      </w:r>
    </w:p>
    <w:p w:rsidR="00202F0D" w:rsidRDefault="00CA6210">
      <w:pPr>
        <w:pStyle w:val="Style2"/>
        <w:numPr>
          <w:ilvl w:val="0"/>
          <w:numId w:val="7"/>
        </w:numPr>
        <w:shd w:val="clear" w:color="auto" w:fill="auto"/>
        <w:tabs>
          <w:tab w:val="left" w:pos="372"/>
        </w:tabs>
        <w:ind w:left="380" w:hanging="380"/>
        <w:jc w:val="both"/>
      </w:pPr>
      <w:bookmarkStart w:id="63" w:name="bookmark63"/>
      <w:bookmarkEnd w:id="63"/>
      <w:r>
        <w:t xml:space="preserve">Pokud zhotovitel prací nedodrží správný postup fakturace, zejména ustanovení zákona č. 235/2004 Sb. o </w:t>
      </w:r>
      <w:r>
        <w:t xml:space="preserve">DPH v platném znění, v důsledku čehož dojde u objednatele k chybnému vypořádání DPH, zavazuje se zhotovitel zaplatit objednateli smluvní pokutu ve výši </w:t>
      </w:r>
      <w:proofErr w:type="gramStart"/>
      <w:r>
        <w:t>1,5 násobku</w:t>
      </w:r>
      <w:proofErr w:type="gramEnd"/>
      <w:r>
        <w:t xml:space="preserve"> částky, která bude správcem daně vyměřena objednateli jako sankce.</w:t>
      </w:r>
    </w:p>
    <w:p w:rsidR="00202F0D" w:rsidRDefault="00CA6210">
      <w:pPr>
        <w:pStyle w:val="Style2"/>
        <w:numPr>
          <w:ilvl w:val="0"/>
          <w:numId w:val="7"/>
        </w:numPr>
        <w:shd w:val="clear" w:color="auto" w:fill="auto"/>
        <w:tabs>
          <w:tab w:val="left" w:pos="372"/>
        </w:tabs>
        <w:jc w:val="both"/>
      </w:pPr>
      <w:bookmarkStart w:id="64" w:name="bookmark64"/>
      <w:bookmarkEnd w:id="64"/>
      <w:r>
        <w:t xml:space="preserve">Splatnost faktury je </w:t>
      </w:r>
      <w:r>
        <w:rPr>
          <w:b/>
          <w:bCs/>
        </w:rPr>
        <w:t>30 d</w:t>
      </w:r>
      <w:r>
        <w:rPr>
          <w:b/>
          <w:bCs/>
        </w:rPr>
        <w:t xml:space="preserve">nů </w:t>
      </w:r>
      <w:r>
        <w:t>od data doručení faktury objednateli.</w:t>
      </w:r>
    </w:p>
    <w:p w:rsidR="00202F0D" w:rsidRDefault="00CA6210">
      <w:pPr>
        <w:pStyle w:val="Style2"/>
        <w:numPr>
          <w:ilvl w:val="0"/>
          <w:numId w:val="7"/>
        </w:numPr>
        <w:shd w:val="clear" w:color="auto" w:fill="auto"/>
        <w:tabs>
          <w:tab w:val="left" w:pos="372"/>
        </w:tabs>
        <w:spacing w:after="420"/>
        <w:ind w:left="380" w:hanging="380"/>
        <w:jc w:val="both"/>
      </w:pPr>
      <w:bookmarkStart w:id="65" w:name="bookmark65"/>
      <w:bookmarkEnd w:id="65"/>
      <w:r>
        <w:lastRenderedPageBreak/>
        <w:t>Peněžitý závazek (dluh) objednatele se považuje za splněný v den, kdy je dlužná částka připsána na účet zhotovitele.</w:t>
      </w:r>
    </w:p>
    <w:p w:rsidR="00202F0D" w:rsidRDefault="00CA6210">
      <w:pPr>
        <w:pStyle w:val="Style2"/>
        <w:shd w:val="clear" w:color="auto" w:fill="auto"/>
        <w:jc w:val="center"/>
      </w:pPr>
      <w:r>
        <w:rPr>
          <w:b/>
          <w:bCs/>
        </w:rPr>
        <w:t>Čl. VI. SANKCE</w:t>
      </w:r>
    </w:p>
    <w:p w:rsidR="00202F0D" w:rsidRDefault="00CA6210">
      <w:pPr>
        <w:pStyle w:val="Style2"/>
        <w:numPr>
          <w:ilvl w:val="0"/>
          <w:numId w:val="8"/>
        </w:numPr>
        <w:shd w:val="clear" w:color="auto" w:fill="auto"/>
        <w:tabs>
          <w:tab w:val="left" w:pos="372"/>
        </w:tabs>
        <w:ind w:left="380" w:hanging="380"/>
        <w:jc w:val="both"/>
      </w:pPr>
      <w:bookmarkStart w:id="66" w:name="bookmark66"/>
      <w:bookmarkEnd w:id="66"/>
      <w:r>
        <w:t>Pokud bude zhotovitel v prodlení proti termínu 1. dílčího plnění sjednaného dle čl.</w:t>
      </w:r>
      <w:r>
        <w:t xml:space="preserve"> II. odst. 1. písm. c) této smlouvy, odevzdání závěrečné zprávy sjednaného dle čl. II. odst. 1. písm. d) této smlouvy a předání a převzetí dokončeného díla sjednaného dle čl. II. odst. 1. písm. e) této smlouvy, je povinen zaplatit objednateli smluvní pokut</w:t>
      </w:r>
      <w:r>
        <w:t>u ve výši 0,2 % z ceny díla bez DPH dle čl. III. této smlouvy za každý i započatý kalendářní den prodlení, až do dne podpisu zápisu o předání a převzetí dokončeného díla</w:t>
      </w:r>
    </w:p>
    <w:p w:rsidR="00202F0D" w:rsidRDefault="00CA6210">
      <w:pPr>
        <w:pStyle w:val="Style2"/>
        <w:numPr>
          <w:ilvl w:val="0"/>
          <w:numId w:val="8"/>
        </w:numPr>
        <w:shd w:val="clear" w:color="auto" w:fill="auto"/>
        <w:tabs>
          <w:tab w:val="left" w:pos="372"/>
        </w:tabs>
        <w:ind w:left="380" w:hanging="380"/>
        <w:jc w:val="both"/>
      </w:pPr>
      <w:bookmarkStart w:id="67" w:name="bookmark67"/>
      <w:bookmarkEnd w:id="67"/>
      <w:r>
        <w:t>Pokud bude objednatel v prodlení s úhradou faktury proti sjednanému termínu je povinen</w:t>
      </w:r>
      <w:r>
        <w:t xml:space="preserve"> zaplatit zhotoviteli úrok z prodlení ve výši 0,3 % z dlužné částky za každý i započatý den prodlení.</w:t>
      </w:r>
    </w:p>
    <w:p w:rsidR="00202F0D" w:rsidRDefault="00CA6210">
      <w:pPr>
        <w:pStyle w:val="Style2"/>
        <w:numPr>
          <w:ilvl w:val="0"/>
          <w:numId w:val="8"/>
        </w:numPr>
        <w:shd w:val="clear" w:color="auto" w:fill="auto"/>
        <w:tabs>
          <w:tab w:val="left" w:pos="372"/>
        </w:tabs>
        <w:spacing w:after="0"/>
        <w:jc w:val="both"/>
      </w:pPr>
      <w:bookmarkStart w:id="68" w:name="bookmark68"/>
      <w:bookmarkEnd w:id="68"/>
      <w:r>
        <w:t>Sankce za porušení předpisů BOZP.</w:t>
      </w:r>
    </w:p>
    <w:p w:rsidR="00202F0D" w:rsidRDefault="00CA6210">
      <w:pPr>
        <w:pStyle w:val="Style2"/>
        <w:shd w:val="clear" w:color="auto" w:fill="auto"/>
        <w:spacing w:after="420"/>
        <w:ind w:left="380" w:firstLine="20"/>
        <w:jc w:val="both"/>
      </w:pPr>
      <w:r>
        <w:t>Smluvní pokuta pro případ závažného a opakovaného porušení bezpečnostních předpisů při realizaci díla činí 10 000,- Kč z</w:t>
      </w:r>
      <w:r>
        <w:t>a každý případ.</w:t>
      </w:r>
    </w:p>
    <w:p w:rsidR="00202F0D" w:rsidRDefault="00CA6210">
      <w:pPr>
        <w:pStyle w:val="Style2"/>
        <w:numPr>
          <w:ilvl w:val="0"/>
          <w:numId w:val="8"/>
        </w:numPr>
        <w:shd w:val="clear" w:color="auto" w:fill="auto"/>
        <w:tabs>
          <w:tab w:val="left" w:pos="372"/>
        </w:tabs>
        <w:ind w:left="380" w:hanging="380"/>
        <w:jc w:val="both"/>
      </w:pPr>
      <w:bookmarkStart w:id="69" w:name="bookmark69"/>
      <w:bookmarkEnd w:id="69"/>
      <w:r>
        <w:t>Smluvní pokuty mohou být kombinovány a to znamená, že uplatnění jedné smluvní pokuty nevylučuje souběžné uplatnění jakékoliv jiné smluvní pokuty.</w:t>
      </w:r>
    </w:p>
    <w:p w:rsidR="00202F0D" w:rsidRDefault="00CA6210">
      <w:pPr>
        <w:pStyle w:val="Style2"/>
        <w:numPr>
          <w:ilvl w:val="0"/>
          <w:numId w:val="8"/>
        </w:numPr>
        <w:shd w:val="clear" w:color="auto" w:fill="auto"/>
        <w:tabs>
          <w:tab w:val="left" w:pos="372"/>
        </w:tabs>
        <w:ind w:left="380" w:hanging="380"/>
        <w:jc w:val="both"/>
      </w:pPr>
      <w:bookmarkStart w:id="70" w:name="bookmark70"/>
      <w:bookmarkEnd w:id="70"/>
      <w:r>
        <w:t>Sankci vyúčtuje oprávněná strana straně povinné písemnou formou. Ve vyúčtování musí být uveden</w:t>
      </w:r>
      <w:r>
        <w:t>o to ustanovení smlouvy, které k vyúčtování sankce opravňuje a způsob výpočtu celkové výše sankce.</w:t>
      </w:r>
    </w:p>
    <w:p w:rsidR="00202F0D" w:rsidRDefault="00CA6210">
      <w:pPr>
        <w:pStyle w:val="Style2"/>
        <w:numPr>
          <w:ilvl w:val="0"/>
          <w:numId w:val="8"/>
        </w:numPr>
        <w:shd w:val="clear" w:color="auto" w:fill="auto"/>
        <w:tabs>
          <w:tab w:val="left" w:pos="360"/>
        </w:tabs>
        <w:ind w:left="380" w:hanging="380"/>
        <w:jc w:val="both"/>
      </w:pPr>
      <w:bookmarkStart w:id="71" w:name="bookmark71"/>
      <w:bookmarkEnd w:id="71"/>
      <w:r>
        <w:t xml:space="preserve">Pro zajištění úhrady oprávněně vyúčtovaných sankcí je objednatel oprávněn provést zápočet vyúčtované sankce proti jakékoliv oprávněné pohledávce, kterou má, </w:t>
      </w:r>
      <w:r>
        <w:t>nebo bude mít, zhotovitel za objednatelem.</w:t>
      </w:r>
    </w:p>
    <w:p w:rsidR="00202F0D" w:rsidRDefault="00CA6210">
      <w:pPr>
        <w:pStyle w:val="Style2"/>
        <w:numPr>
          <w:ilvl w:val="0"/>
          <w:numId w:val="8"/>
        </w:numPr>
        <w:shd w:val="clear" w:color="auto" w:fill="auto"/>
        <w:tabs>
          <w:tab w:val="left" w:pos="360"/>
        </w:tabs>
        <w:ind w:left="380" w:hanging="380"/>
        <w:jc w:val="both"/>
      </w:pPr>
      <w:bookmarkStart w:id="72" w:name="bookmark72"/>
      <w:bookmarkEnd w:id="72"/>
      <w:r>
        <w:t>Strana povinná je povinna uhradit vyúčtované sankce nejpozději do 30 dnů od dne obdržení příslušného vyúčtování.</w:t>
      </w:r>
    </w:p>
    <w:p w:rsidR="00202F0D" w:rsidRDefault="00CA6210">
      <w:pPr>
        <w:pStyle w:val="Style2"/>
        <w:numPr>
          <w:ilvl w:val="0"/>
          <w:numId w:val="8"/>
        </w:numPr>
        <w:shd w:val="clear" w:color="auto" w:fill="auto"/>
        <w:tabs>
          <w:tab w:val="left" w:pos="360"/>
        </w:tabs>
        <w:spacing w:after="440"/>
        <w:ind w:left="380" w:hanging="380"/>
        <w:jc w:val="both"/>
      </w:pPr>
      <w:bookmarkStart w:id="73" w:name="bookmark73"/>
      <w:bookmarkEnd w:id="73"/>
      <w:r>
        <w:t>Zaplacením sankce není dotčen nárok objednatele na náhradu škody způsobené mu porušením povinnosti z</w:t>
      </w:r>
      <w:r>
        <w:t>hotovitele, na niž se sankce vztahuje.</w:t>
      </w:r>
    </w:p>
    <w:p w:rsidR="00202F0D" w:rsidRDefault="00CA6210">
      <w:pPr>
        <w:pStyle w:val="Style2"/>
        <w:shd w:val="clear" w:color="auto" w:fill="auto"/>
        <w:jc w:val="center"/>
      </w:pPr>
      <w:r>
        <w:rPr>
          <w:b/>
          <w:bCs/>
        </w:rPr>
        <w:t>Čl. VII. ZAJIŠTĚNÍ ZÁVAZKU, ZÁRUKA</w:t>
      </w:r>
    </w:p>
    <w:p w:rsidR="00202F0D" w:rsidRDefault="00CA6210">
      <w:pPr>
        <w:pStyle w:val="Style2"/>
        <w:numPr>
          <w:ilvl w:val="0"/>
          <w:numId w:val="9"/>
        </w:numPr>
        <w:shd w:val="clear" w:color="auto" w:fill="auto"/>
        <w:tabs>
          <w:tab w:val="left" w:pos="360"/>
        </w:tabs>
        <w:spacing w:after="440"/>
        <w:jc w:val="both"/>
      </w:pPr>
      <w:bookmarkStart w:id="74" w:name="bookmark74"/>
      <w:bookmarkEnd w:id="74"/>
      <w:r>
        <w:t>Záruční doba se nesjednává.</w:t>
      </w:r>
    </w:p>
    <w:p w:rsidR="00202F0D" w:rsidRDefault="00CA6210">
      <w:pPr>
        <w:pStyle w:val="Style2"/>
        <w:shd w:val="clear" w:color="auto" w:fill="auto"/>
        <w:jc w:val="center"/>
      </w:pPr>
      <w:r>
        <w:rPr>
          <w:b/>
          <w:bCs/>
        </w:rPr>
        <w:t>Čl. VIII. NÁHRADA ŠKODY</w:t>
      </w:r>
    </w:p>
    <w:p w:rsidR="00202F0D" w:rsidRDefault="00CA6210">
      <w:pPr>
        <w:pStyle w:val="Style2"/>
        <w:numPr>
          <w:ilvl w:val="0"/>
          <w:numId w:val="10"/>
        </w:numPr>
        <w:shd w:val="clear" w:color="auto" w:fill="auto"/>
        <w:tabs>
          <w:tab w:val="left" w:pos="360"/>
        </w:tabs>
        <w:ind w:left="380" w:hanging="380"/>
        <w:jc w:val="both"/>
      </w:pPr>
      <w:bookmarkStart w:id="75" w:name="bookmark75"/>
      <w:bookmarkEnd w:id="75"/>
      <w:r>
        <w:t xml:space="preserve">Zhotovitel odpovídá za škody na díle, dalším majetku objednatele a majetku třetích osob, vzniklé v souvislosti s plněním díla dle </w:t>
      </w:r>
      <w:r>
        <w:t>ustanovení této smlouvy.</w:t>
      </w:r>
    </w:p>
    <w:p w:rsidR="00202F0D" w:rsidRDefault="00CA6210">
      <w:pPr>
        <w:pStyle w:val="Style19"/>
        <w:keepNext/>
        <w:keepLines/>
        <w:numPr>
          <w:ilvl w:val="0"/>
          <w:numId w:val="10"/>
        </w:numPr>
        <w:shd w:val="clear" w:color="auto" w:fill="auto"/>
        <w:tabs>
          <w:tab w:val="left" w:pos="360"/>
        </w:tabs>
        <w:spacing w:after="440"/>
        <w:jc w:val="both"/>
      </w:pPr>
      <w:bookmarkStart w:id="76" w:name="bookmark78"/>
      <w:bookmarkStart w:id="77" w:name="bookmark76"/>
      <w:bookmarkStart w:id="78" w:name="bookmark77"/>
      <w:bookmarkStart w:id="79" w:name="bookmark79"/>
      <w:bookmarkEnd w:id="76"/>
      <w:r>
        <w:t>Uplatněním nároku na zaplacení smluvní pokuty ani jejím skutečným uhrazením nezaniká povinnost smluvní strany splnit povinnost, jejíž plnění bylo smluvní pokutou zajištěno. Úhradou smluvní pokuty není dotčeno právo objednatele na n</w:t>
      </w:r>
      <w:r>
        <w:t>áhradu škody způsobené porušením povinností zhotovitele, na kterou se smluvní pokuta vztahuje a náhrada škody se tedy hradí v plné výši vedle smluvní pokuty.</w:t>
      </w:r>
      <w:bookmarkEnd w:id="77"/>
      <w:bookmarkEnd w:id="78"/>
      <w:bookmarkEnd w:id="79"/>
    </w:p>
    <w:p w:rsidR="00202F0D" w:rsidRDefault="00CA6210">
      <w:pPr>
        <w:pStyle w:val="Style2"/>
        <w:shd w:val="clear" w:color="auto" w:fill="auto"/>
        <w:jc w:val="center"/>
      </w:pPr>
      <w:r>
        <w:rPr>
          <w:b/>
          <w:bCs/>
        </w:rPr>
        <w:t>Čl. IX. OSTATNÍ USTANOVENÍ</w:t>
      </w:r>
    </w:p>
    <w:p w:rsidR="00202F0D" w:rsidRDefault="00CA6210">
      <w:pPr>
        <w:pStyle w:val="Style2"/>
        <w:numPr>
          <w:ilvl w:val="0"/>
          <w:numId w:val="11"/>
        </w:numPr>
        <w:shd w:val="clear" w:color="auto" w:fill="auto"/>
        <w:tabs>
          <w:tab w:val="left" w:pos="360"/>
        </w:tabs>
        <w:ind w:left="380" w:hanging="380"/>
        <w:jc w:val="both"/>
      </w:pPr>
      <w:bookmarkStart w:id="80" w:name="bookmark80"/>
      <w:bookmarkEnd w:id="80"/>
      <w:r>
        <w:t xml:space="preserve">Zhotovitel provede dílo samostatně, na svůj náklad a na své nebezpečí. </w:t>
      </w:r>
      <w:r>
        <w:t>Bez zbytečných odkladů oznámí zjištění překážek, které znemožňují provedení díla.</w:t>
      </w:r>
    </w:p>
    <w:p w:rsidR="00202F0D" w:rsidRDefault="00CA6210">
      <w:pPr>
        <w:pStyle w:val="Style2"/>
        <w:numPr>
          <w:ilvl w:val="0"/>
          <w:numId w:val="11"/>
        </w:numPr>
        <w:shd w:val="clear" w:color="auto" w:fill="auto"/>
        <w:tabs>
          <w:tab w:val="left" w:pos="360"/>
        </w:tabs>
        <w:ind w:left="380" w:hanging="380"/>
        <w:jc w:val="both"/>
      </w:pPr>
      <w:bookmarkStart w:id="81" w:name="bookmark81"/>
      <w:bookmarkEnd w:id="81"/>
      <w:r>
        <w:t xml:space="preserve">Zhotovitel provede dohodnutou činnost na své nebezpečí a je povinen dodržovat všechny předpisy bezpečnosti a ochrany zdraví při práci (BOZP), požární ochrany (PO) a zákoníku </w:t>
      </w:r>
      <w:r>
        <w:t>práce (vše v platném znění), a to jak obecně platnými, tak souvisejícími s prováděnou činností v prostorách objednatele. Je odpovědný za škody vzniklé v důsledku nedodržování těchto předpisů.</w:t>
      </w:r>
    </w:p>
    <w:p w:rsidR="00202F0D" w:rsidRDefault="00CA6210">
      <w:pPr>
        <w:pStyle w:val="Style2"/>
        <w:numPr>
          <w:ilvl w:val="0"/>
          <w:numId w:val="11"/>
        </w:numPr>
        <w:shd w:val="clear" w:color="auto" w:fill="auto"/>
        <w:tabs>
          <w:tab w:val="left" w:pos="360"/>
        </w:tabs>
        <w:spacing w:after="440"/>
        <w:ind w:left="380" w:hanging="380"/>
        <w:jc w:val="both"/>
      </w:pPr>
      <w:bookmarkStart w:id="82" w:name="bookmark82"/>
      <w:bookmarkEnd w:id="82"/>
      <w:r>
        <w:t>Zhotovitel při provádění dohodnuté činnosti bude dodržovat hygie</w:t>
      </w:r>
      <w:r>
        <w:t xml:space="preserve">nické a ekologické předpisy na </w:t>
      </w:r>
      <w:r>
        <w:lastRenderedPageBreak/>
        <w:t>předaném pracovišti-staveništi objednatele a bude provádět opatření proti úniku nebezpečných látek a látek závadných vodám, zvláště ropných látek ze strojů a zařízení. Je odpovědný za správné uložení těchto látek dle příslušn</w:t>
      </w:r>
      <w:r>
        <w:t>ých předpisů. Dojde-li přesto k úniku nebezpečných látek, zhotovitel je povinen na vlastní náklady provádět opatření, aby nedošlo k znečištění povrchových a podzemních vod. V případě znečištění vod je povinen neprodleně zahájit činnost k omezení škodlivých</w:t>
      </w:r>
      <w:r>
        <w:t xml:space="preserve">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</w:t>
      </w:r>
      <w:bookmarkStart w:id="83" w:name="_GoBack"/>
      <w:bookmarkEnd w:id="83"/>
      <w:r>
        <w:t>.</w:t>
      </w:r>
    </w:p>
    <w:p w:rsidR="00202F0D" w:rsidRDefault="00CA6210">
      <w:pPr>
        <w:pStyle w:val="Style19"/>
        <w:keepNext/>
        <w:keepLines/>
        <w:shd w:val="clear" w:color="auto" w:fill="auto"/>
        <w:spacing w:after="300"/>
        <w:ind w:left="0" w:firstLine="0"/>
        <w:jc w:val="center"/>
      </w:pPr>
      <w:bookmarkStart w:id="84" w:name="bookmark83"/>
      <w:bookmarkStart w:id="85" w:name="bookmark84"/>
      <w:bookmarkStart w:id="86" w:name="bookmark85"/>
      <w:r>
        <w:rPr>
          <w:b/>
          <w:bCs/>
        </w:rPr>
        <w:t>Čl. X. ZÁVĚREČNÁ USTANOVENÍ</w:t>
      </w:r>
      <w:bookmarkEnd w:id="84"/>
      <w:bookmarkEnd w:id="85"/>
      <w:bookmarkEnd w:id="86"/>
    </w:p>
    <w:p w:rsidR="00202F0D" w:rsidRDefault="00CA6210">
      <w:pPr>
        <w:pStyle w:val="Style2"/>
        <w:numPr>
          <w:ilvl w:val="0"/>
          <w:numId w:val="12"/>
        </w:numPr>
        <w:shd w:val="clear" w:color="auto" w:fill="auto"/>
        <w:tabs>
          <w:tab w:val="left" w:pos="360"/>
        </w:tabs>
        <w:ind w:left="380" w:hanging="380"/>
        <w:jc w:val="both"/>
      </w:pPr>
      <w:bookmarkStart w:id="87" w:name="bookmark86"/>
      <w:bookmarkEnd w:id="87"/>
      <w:r>
        <w:t>Pokud není ve smlouvě uvedeno jinak, řídí se všechny vztahy mezi smluvními stranami ustanoveními občanského zákoníku. Veškeré změny a dodatky této smlouvy musí být sepsány písemně formou číslovaných dodatků, podepsaných oběma</w:t>
      </w:r>
      <w:r>
        <w:t xml:space="preserve"> smluvními stranami.</w:t>
      </w:r>
    </w:p>
    <w:p w:rsidR="00202F0D" w:rsidRDefault="00CA6210">
      <w:pPr>
        <w:pStyle w:val="Style2"/>
        <w:numPr>
          <w:ilvl w:val="0"/>
          <w:numId w:val="12"/>
        </w:numPr>
        <w:shd w:val="clear" w:color="auto" w:fill="auto"/>
        <w:tabs>
          <w:tab w:val="left" w:pos="360"/>
        </w:tabs>
        <w:ind w:left="380" w:hanging="380"/>
        <w:jc w:val="both"/>
      </w:pPr>
      <w:bookmarkStart w:id="88" w:name="bookmark87"/>
      <w:bookmarkEnd w:id="88"/>
      <w:r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202F0D" w:rsidRDefault="00CA6210">
      <w:pPr>
        <w:pStyle w:val="Style2"/>
        <w:numPr>
          <w:ilvl w:val="0"/>
          <w:numId w:val="12"/>
        </w:numPr>
        <w:shd w:val="clear" w:color="auto" w:fill="auto"/>
        <w:tabs>
          <w:tab w:val="left" w:pos="359"/>
        </w:tabs>
        <w:spacing w:after="60"/>
        <w:ind w:left="380" w:hanging="380"/>
        <w:jc w:val="both"/>
      </w:pPr>
      <w:bookmarkStart w:id="89" w:name="bookmark88"/>
      <w:bookmarkEnd w:id="89"/>
      <w:r>
        <w:t>Objed</w:t>
      </w:r>
      <w:r>
        <w:t>natel je oprávněn odstoupit od smlouvy při podstatném porušení smlouvy zhotovitelem, a to zejména při:</w:t>
      </w:r>
    </w:p>
    <w:p w:rsidR="00202F0D" w:rsidRDefault="00CA6210">
      <w:pPr>
        <w:pStyle w:val="Style19"/>
        <w:keepNext/>
        <w:keepLines/>
        <w:numPr>
          <w:ilvl w:val="0"/>
          <w:numId w:val="13"/>
        </w:numPr>
        <w:shd w:val="clear" w:color="auto" w:fill="auto"/>
        <w:tabs>
          <w:tab w:val="left" w:pos="1177"/>
        </w:tabs>
        <w:spacing w:after="0"/>
        <w:ind w:left="1160" w:hanging="360"/>
        <w:jc w:val="both"/>
      </w:pPr>
      <w:bookmarkStart w:id="90" w:name="bookmark91"/>
      <w:bookmarkStart w:id="91" w:name="bookmark89"/>
      <w:bookmarkStart w:id="92" w:name="bookmark90"/>
      <w:bookmarkStart w:id="93" w:name="bookmark92"/>
      <w:bookmarkEnd w:id="90"/>
      <w:r>
        <w:t>prodlení zhotovitele o více než 30 kalendářních dnů oproti lhůtám a termínům ujednaných v čl. II. odst.1 této smlouvy,</w:t>
      </w:r>
      <w:bookmarkEnd w:id="91"/>
      <w:bookmarkEnd w:id="92"/>
      <w:bookmarkEnd w:id="93"/>
    </w:p>
    <w:p w:rsidR="00202F0D" w:rsidRDefault="00CA6210">
      <w:pPr>
        <w:pStyle w:val="Style19"/>
        <w:keepNext/>
        <w:keepLines/>
        <w:numPr>
          <w:ilvl w:val="0"/>
          <w:numId w:val="13"/>
        </w:numPr>
        <w:shd w:val="clear" w:color="auto" w:fill="auto"/>
        <w:tabs>
          <w:tab w:val="left" w:pos="1177"/>
        </w:tabs>
        <w:spacing w:after="60"/>
        <w:ind w:left="0" w:firstLine="800"/>
        <w:jc w:val="both"/>
      </w:pPr>
      <w:bookmarkStart w:id="94" w:name="bookmark95"/>
      <w:bookmarkStart w:id="95" w:name="bookmark93"/>
      <w:bookmarkStart w:id="96" w:name="bookmark94"/>
      <w:bookmarkStart w:id="97" w:name="bookmark96"/>
      <w:bookmarkEnd w:id="94"/>
      <w:r>
        <w:t>bezdůvodném přerušení prací zhotov</w:t>
      </w:r>
      <w:r>
        <w:t>itelem, které trvá více než 30 dnů,</w:t>
      </w:r>
      <w:bookmarkEnd w:id="95"/>
      <w:bookmarkEnd w:id="96"/>
      <w:bookmarkEnd w:id="97"/>
    </w:p>
    <w:p w:rsidR="00202F0D" w:rsidRDefault="00CA6210">
      <w:pPr>
        <w:pStyle w:val="Style19"/>
        <w:keepNext/>
        <w:keepLines/>
        <w:numPr>
          <w:ilvl w:val="0"/>
          <w:numId w:val="12"/>
        </w:numPr>
        <w:shd w:val="clear" w:color="auto" w:fill="auto"/>
        <w:tabs>
          <w:tab w:val="left" w:pos="359"/>
        </w:tabs>
        <w:jc w:val="both"/>
      </w:pPr>
      <w:bookmarkStart w:id="98" w:name="bookmark99"/>
      <w:bookmarkStart w:id="99" w:name="bookmark100"/>
      <w:bookmarkStart w:id="100" w:name="bookmark97"/>
      <w:bookmarkStart w:id="101" w:name="bookmark98"/>
      <w:bookmarkEnd w:id="98"/>
      <w:r>
        <w:t>Práce nad rámec zadání, budou oboustranně odsouhlaseny a budou předmětem dodatku k této smlouvě.</w:t>
      </w:r>
      <w:bookmarkEnd w:id="99"/>
      <w:bookmarkEnd w:id="100"/>
      <w:bookmarkEnd w:id="101"/>
    </w:p>
    <w:p w:rsidR="00202F0D" w:rsidRDefault="00CA6210">
      <w:pPr>
        <w:pStyle w:val="Style2"/>
        <w:numPr>
          <w:ilvl w:val="0"/>
          <w:numId w:val="12"/>
        </w:numPr>
        <w:shd w:val="clear" w:color="auto" w:fill="auto"/>
        <w:tabs>
          <w:tab w:val="left" w:pos="359"/>
        </w:tabs>
        <w:spacing w:after="60"/>
        <w:ind w:left="380" w:hanging="380"/>
        <w:jc w:val="both"/>
      </w:pPr>
      <w:bookmarkStart w:id="102" w:name="bookmark101"/>
      <w:bookmarkEnd w:id="102"/>
      <w:r>
        <w:t xml:space="preserve">Smluvní strany prohlašují, že se s obsahem smlouvy a přílohami seznámily, s ním souhlasí, neboť tento odpovídá jejich </w:t>
      </w:r>
      <w:r>
        <w:t>projevené vůli a na důkaz připojují svoje podpisy.</w:t>
      </w:r>
    </w:p>
    <w:p w:rsidR="00202F0D" w:rsidRDefault="00CA6210">
      <w:pPr>
        <w:pStyle w:val="Style2"/>
        <w:numPr>
          <w:ilvl w:val="0"/>
          <w:numId w:val="12"/>
        </w:numPr>
        <w:shd w:val="clear" w:color="auto" w:fill="auto"/>
        <w:tabs>
          <w:tab w:val="left" w:pos="359"/>
        </w:tabs>
        <w:spacing w:after="60"/>
        <w:ind w:left="380" w:hanging="380"/>
        <w:jc w:val="both"/>
      </w:pPr>
      <w:bookmarkStart w:id="103" w:name="bookmark102"/>
      <w:bookmarkEnd w:id="103"/>
      <w:r>
        <w:t xml:space="preserve">Smlouva nabývá platnosti dnem jejího podpisu poslední ze smluvních stran a účinnosti zveřejněním v Registru smluv, pokud této účinnosti dle příslušných ustanovení smlouvy nenabude později. Plnění předmětu </w:t>
      </w:r>
      <w:r>
        <w:t>této smlouvy před účinností této smlouvy se považuje za plnění podle této smlouvy a práva a povinnosti z něj vzniklé se řídí touto smlouvou.</w:t>
      </w:r>
    </w:p>
    <w:p w:rsidR="00202F0D" w:rsidRDefault="00CA6210">
      <w:pPr>
        <w:pStyle w:val="Style2"/>
        <w:numPr>
          <w:ilvl w:val="0"/>
          <w:numId w:val="12"/>
        </w:numPr>
        <w:shd w:val="clear" w:color="auto" w:fill="auto"/>
        <w:tabs>
          <w:tab w:val="left" w:pos="359"/>
        </w:tabs>
        <w:ind w:left="380" w:hanging="380"/>
        <w:jc w:val="both"/>
      </w:pPr>
      <w:bookmarkStart w:id="104" w:name="bookmark103"/>
      <w:bookmarkEnd w:id="104"/>
      <w:r>
        <w:t>Smluvní strany níže svým podpisem stvrzují, že v průběhu vyjednávání o této Smlouvě vždy jednaly a postupovaly čest</w:t>
      </w:r>
      <w:r>
        <w:t>ně a transparentně, a současně se zavazují, že takto budou jednat i při plnění této Smlouvy a veškerých činností s ní souvisejících.</w:t>
      </w:r>
    </w:p>
    <w:p w:rsidR="00202F0D" w:rsidRDefault="00CA6210">
      <w:pPr>
        <w:pStyle w:val="Style2"/>
        <w:numPr>
          <w:ilvl w:val="0"/>
          <w:numId w:val="12"/>
        </w:numPr>
        <w:shd w:val="clear" w:color="auto" w:fill="auto"/>
        <w:tabs>
          <w:tab w:val="left" w:pos="359"/>
        </w:tabs>
        <w:ind w:left="380" w:hanging="380"/>
        <w:jc w:val="both"/>
      </w:pPr>
      <w:bookmarkStart w:id="105" w:name="bookmark104"/>
      <w:bookmarkEnd w:id="105"/>
      <w:r>
        <w:t>Smluvní strany se dále zavazují vždy jednat tak a přijmout taková opatření, aby nedošlo ke vzniku důvodného podezření na sp</w:t>
      </w:r>
      <w:r>
        <w:t xml:space="preserve">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</w:t>
      </w:r>
      <w:r>
        <w:t>nevznikla trestní odpovědnost fyzických osob (včetně zaměstnanců) podle trestního zákoníku, případně aby nebylo zahájeno trestní stíhání proti kterékoli ze smluvních stran, včetně jejích zaměstnanců podle platných právních předpisů.</w:t>
      </w:r>
    </w:p>
    <w:p w:rsidR="00202F0D" w:rsidRDefault="00CA6210">
      <w:pPr>
        <w:pStyle w:val="Style2"/>
        <w:numPr>
          <w:ilvl w:val="0"/>
          <w:numId w:val="12"/>
        </w:numPr>
        <w:shd w:val="clear" w:color="auto" w:fill="auto"/>
        <w:tabs>
          <w:tab w:val="left" w:pos="359"/>
        </w:tabs>
        <w:ind w:left="380" w:hanging="380"/>
        <w:jc w:val="both"/>
      </w:pPr>
      <w:bookmarkStart w:id="106" w:name="bookmark105"/>
      <w:bookmarkEnd w:id="106"/>
      <w:r>
        <w:t xml:space="preserve">Zhotovitel prohlašuje, </w:t>
      </w:r>
      <w:r>
        <w:t xml:space="preserve">že se seznámil se zásadami, hodnotami a cíli </w:t>
      </w:r>
      <w:proofErr w:type="spellStart"/>
      <w:r>
        <w:t>Compliance</w:t>
      </w:r>
      <w:proofErr w:type="spellEnd"/>
      <w:r>
        <w:t xml:space="preserve"> programu Povodí Ohře, </w:t>
      </w:r>
      <w:proofErr w:type="spellStart"/>
      <w:r>
        <w:t>s.p</w:t>
      </w:r>
      <w:proofErr w:type="spellEnd"/>
      <w:r>
        <w:t xml:space="preserve">. (viz </w:t>
      </w:r>
      <w:hyperlink r:id="rId10" w:history="1">
        <w:r>
          <w:t>http://www.poh.cz/protikorupcni-a-compliance-program/d-1346/p1=1458</w:t>
        </w:r>
      </w:hyperlink>
      <w:r>
        <w:t>), dále s Etickým k</w:t>
      </w:r>
      <w:r>
        <w:t>odexem Povodí Ohře, státní podnik a Protikorupčním programem Povodí Ohře, státní podnik. Zhotovitel se při plnění této Smlouvy zavazuje po celou dobu jejího trvání dodržovat zásady a hodnoty obsažené v uvedených dokumentech, pokud to jejich povaha umožňuje</w:t>
      </w:r>
      <w:r>
        <w:t>.</w:t>
      </w:r>
    </w:p>
    <w:p w:rsidR="00202F0D" w:rsidRDefault="00CA6210">
      <w:pPr>
        <w:pStyle w:val="Style2"/>
        <w:numPr>
          <w:ilvl w:val="0"/>
          <w:numId w:val="12"/>
        </w:numPr>
        <w:shd w:val="clear" w:color="auto" w:fill="auto"/>
        <w:tabs>
          <w:tab w:val="left" w:pos="442"/>
        </w:tabs>
        <w:spacing w:after="60"/>
        <w:ind w:left="380" w:hanging="380"/>
        <w:jc w:val="both"/>
      </w:pPr>
      <w:bookmarkStart w:id="107" w:name="bookmark106"/>
      <w:bookmarkEnd w:id="107"/>
      <w:r>
        <w:t>Smluvní strany se dále zavazují navzájem si neprodleně oznámit důvodné podezření ohledně možného naplnění skutkové podstaty jakéhokoli z trestných činů v souvislosti s touto smlouvou, zejména trestného činu korupční povahy, a to bez ohledu a nad rámec př</w:t>
      </w:r>
      <w:r>
        <w:t xml:space="preserve">ípadné zákonné oznamovací povinnosti; obdobné platí ve vztahu k jednání, které je v rozporu se zásadami vyjádřenými v tomto </w:t>
      </w:r>
      <w:proofErr w:type="gramStart"/>
      <w:r>
        <w:t>článku..</w:t>
      </w:r>
      <w:proofErr w:type="gramEnd"/>
    </w:p>
    <w:p w:rsidR="00202F0D" w:rsidRDefault="00CA6210">
      <w:pPr>
        <w:pStyle w:val="Style2"/>
        <w:numPr>
          <w:ilvl w:val="0"/>
          <w:numId w:val="12"/>
        </w:numPr>
        <w:shd w:val="clear" w:color="auto" w:fill="auto"/>
        <w:tabs>
          <w:tab w:val="left" w:pos="442"/>
        </w:tabs>
        <w:ind w:left="380" w:hanging="380"/>
        <w:jc w:val="both"/>
      </w:pPr>
      <w:bookmarkStart w:id="108" w:name="bookmark107"/>
      <w:bookmarkEnd w:id="108"/>
      <w:r>
        <w:t>V případě, že v souvislosti s touto smlouvou dochází ke zpracovávání osobních údajů, jsou tyto zpracovávány v souladu s pla</w:t>
      </w:r>
      <w:r>
        <w:t xml:space="preserve">tnými právními předpisy, které upravují ochranu a zpracování osobních údajů, zejména s nařízením Evropského parlamentu a Rady (EU) č. 2016/679 ze dne 27. 4. 2016 o </w:t>
      </w:r>
      <w:r>
        <w:lastRenderedPageBreak/>
        <w:t xml:space="preserve">ochraně fyzických osob v souvislosti se zpracováním osobních údajů a o volném pohybu těchto </w:t>
      </w:r>
      <w:r>
        <w:t xml:space="preserve">údajů a o zrušení směrnice 95/46/ES (obecné nařízení o ochraně osobních údajů). Informace o zpracování osobních údajů, včetně účelu a důvodu zpracování, naleznete na </w:t>
      </w:r>
      <w:hyperlink r:id="rId11" w:history="1">
        <w:r>
          <w:t>http://w</w:t>
        </w:r>
        <w:r>
          <w:t>ww.poh.cz/informace-o-zpracovani-osobnich-udaju/d-1369/p1=1459</w:t>
        </w:r>
      </w:hyperlink>
    </w:p>
    <w:p w:rsidR="00202F0D" w:rsidRDefault="00CA6210">
      <w:pPr>
        <w:pStyle w:val="Style2"/>
        <w:numPr>
          <w:ilvl w:val="0"/>
          <w:numId w:val="12"/>
        </w:numPr>
        <w:shd w:val="clear" w:color="auto" w:fill="auto"/>
        <w:tabs>
          <w:tab w:val="left" w:pos="442"/>
        </w:tabs>
        <w:spacing w:after="300"/>
        <w:jc w:val="both"/>
      </w:pPr>
      <w:bookmarkStart w:id="109" w:name="bookmark108"/>
      <w:bookmarkEnd w:id="109"/>
      <w:r>
        <w:t>Smluvní strany nepovažují žádné ustanovení smlouvy za obchodní tajemství.</w:t>
      </w:r>
    </w:p>
    <w:p w:rsidR="00202F0D" w:rsidRDefault="00CA6210">
      <w:pPr>
        <w:pStyle w:val="Style2"/>
        <w:numPr>
          <w:ilvl w:val="0"/>
          <w:numId w:val="12"/>
        </w:numPr>
        <w:shd w:val="clear" w:color="auto" w:fill="auto"/>
        <w:tabs>
          <w:tab w:val="left" w:pos="442"/>
        </w:tabs>
        <w:ind w:left="380" w:hanging="380"/>
        <w:jc w:val="both"/>
      </w:pPr>
      <w:bookmarkStart w:id="110" w:name="bookmark109"/>
      <w:bookmarkEnd w:id="110"/>
      <w:r>
        <w:t>Zhotovitel na sebe převzal nebezpečí změny okolností. Před uzavřením smlouvy zvážil plně hospodářskou, ekonomickou i</w:t>
      </w:r>
      <w:r>
        <w:t xml:space="preserve"> faktickou situaci a je si plně vědom okolností Smlouvy, jakož i okolností, které mohou po uzavření této smlouvy nastat. Tuto smlouvu nelze v jeho prospěch měnit rozhodnutím soudu v jakékoli její části.</w:t>
      </w:r>
      <w:r>
        <w:br w:type="page"/>
      </w:r>
    </w:p>
    <w:p w:rsidR="00202F0D" w:rsidRDefault="00CA6210">
      <w:pPr>
        <w:pStyle w:val="Style2"/>
        <w:numPr>
          <w:ilvl w:val="0"/>
          <w:numId w:val="12"/>
        </w:numPr>
        <w:shd w:val="clear" w:color="auto" w:fill="auto"/>
        <w:tabs>
          <w:tab w:val="left" w:pos="502"/>
        </w:tabs>
        <w:spacing w:after="520"/>
        <w:ind w:left="380" w:hanging="380"/>
      </w:pPr>
      <w:bookmarkStart w:id="111" w:name="bookmark110"/>
      <w:bookmarkEnd w:id="111"/>
      <w:r>
        <w:lastRenderedPageBreak/>
        <w:t xml:space="preserve">Nedílnou součástí smlouvy jsou následující přílohy. </w:t>
      </w:r>
      <w:r>
        <w:t>Pokud tato smlouva a její přílohy obsahují ujednání o tomtéž, platí při takovém konfliktu následující pořadí priorit:</w:t>
      </w:r>
    </w:p>
    <w:p w:rsidR="00202F0D" w:rsidRDefault="00CA6210">
      <w:pPr>
        <w:pStyle w:val="Style2"/>
        <w:shd w:val="clear" w:color="auto" w:fill="auto"/>
        <w:spacing w:after="0"/>
        <w:ind w:firstLine="380"/>
      </w:pPr>
      <w:r>
        <w:t>Priorita 1) Tato smlouva</w:t>
      </w:r>
    </w:p>
    <w:p w:rsidR="00202F0D" w:rsidRDefault="00CA6210">
      <w:pPr>
        <w:pStyle w:val="Style2"/>
        <w:shd w:val="clear" w:color="auto" w:fill="auto"/>
        <w:spacing w:after="0" w:line="233" w:lineRule="auto"/>
        <w:ind w:firstLine="380"/>
        <w:rPr>
          <w:sz w:val="24"/>
          <w:szCs w:val="24"/>
        </w:rPr>
        <w:sectPr w:rsidR="00202F0D">
          <w:type w:val="continuous"/>
          <w:pgSz w:w="11909" w:h="16838"/>
          <w:pgMar w:top="544" w:right="819" w:bottom="1196" w:left="826" w:header="0" w:footer="3" w:gutter="0"/>
          <w:cols w:space="720"/>
          <w:noEndnote/>
          <w:docGrid w:linePitch="360"/>
        </w:sectPr>
      </w:pPr>
      <w:r>
        <w:t>Priorita 2) Příloha č. 1: N</w:t>
      </w:r>
      <w:r>
        <w:rPr>
          <w:sz w:val="24"/>
          <w:szCs w:val="24"/>
        </w:rPr>
        <w:t>abídka GT monitoring 2025_VDN Oáza</w:t>
      </w:r>
    </w:p>
    <w:p w:rsidR="00202F0D" w:rsidRDefault="00202F0D">
      <w:pPr>
        <w:spacing w:line="240" w:lineRule="exact"/>
        <w:rPr>
          <w:sz w:val="19"/>
          <w:szCs w:val="19"/>
        </w:rPr>
      </w:pPr>
    </w:p>
    <w:p w:rsidR="00202F0D" w:rsidRDefault="00202F0D">
      <w:pPr>
        <w:spacing w:line="240" w:lineRule="exact"/>
        <w:rPr>
          <w:sz w:val="19"/>
          <w:szCs w:val="19"/>
        </w:rPr>
      </w:pPr>
    </w:p>
    <w:p w:rsidR="00202F0D" w:rsidRDefault="00202F0D">
      <w:pPr>
        <w:spacing w:before="17" w:after="17" w:line="240" w:lineRule="exact"/>
        <w:rPr>
          <w:sz w:val="19"/>
          <w:szCs w:val="19"/>
        </w:rPr>
      </w:pPr>
    </w:p>
    <w:p w:rsidR="00202F0D" w:rsidRDefault="00202F0D">
      <w:pPr>
        <w:spacing w:line="1" w:lineRule="exact"/>
        <w:sectPr w:rsidR="00202F0D">
          <w:type w:val="continuous"/>
          <w:pgSz w:w="11909" w:h="16838"/>
          <w:pgMar w:top="1080" w:right="0" w:bottom="8733" w:left="0" w:header="0" w:footer="3" w:gutter="0"/>
          <w:cols w:space="720"/>
          <w:noEndnote/>
          <w:docGrid w:linePitch="360"/>
        </w:sectPr>
      </w:pPr>
    </w:p>
    <w:p w:rsidR="00202F0D" w:rsidRDefault="00CA6210">
      <w:pPr>
        <w:pStyle w:val="Style2"/>
        <w:shd w:val="clear" w:color="auto" w:fill="auto"/>
        <w:spacing w:after="0" w:line="480" w:lineRule="auto"/>
      </w:pPr>
      <w:r>
        <w:t>V Chomutově dne …………… oprávněný zástupce objednatele</w:t>
      </w:r>
    </w:p>
    <w:p w:rsidR="00202F0D" w:rsidRDefault="00CA6210">
      <w:pPr>
        <w:pStyle w:val="Style2"/>
        <w:shd w:val="clear" w:color="auto" w:fill="auto"/>
        <w:spacing w:after="0" w:line="480" w:lineRule="auto"/>
        <w:sectPr w:rsidR="00202F0D">
          <w:type w:val="continuous"/>
          <w:pgSz w:w="11909" w:h="16838"/>
          <w:pgMar w:top="1080" w:right="2897" w:bottom="8733" w:left="828" w:header="0" w:footer="3" w:gutter="0"/>
          <w:cols w:num="2" w:space="1791"/>
          <w:noEndnote/>
          <w:docGrid w:linePitch="360"/>
        </w:sectPr>
      </w:pPr>
      <w:r>
        <w:t>V Praze dne………………. oprávněný zástupce zhotovitele</w:t>
      </w:r>
    </w:p>
    <w:p w:rsidR="00202F0D" w:rsidRDefault="00202F0D">
      <w:pPr>
        <w:spacing w:line="240" w:lineRule="exact"/>
        <w:rPr>
          <w:sz w:val="19"/>
          <w:szCs w:val="19"/>
        </w:rPr>
      </w:pPr>
    </w:p>
    <w:p w:rsidR="00202F0D" w:rsidRDefault="00202F0D">
      <w:pPr>
        <w:spacing w:line="240" w:lineRule="exact"/>
        <w:rPr>
          <w:sz w:val="19"/>
          <w:szCs w:val="19"/>
        </w:rPr>
      </w:pPr>
    </w:p>
    <w:p w:rsidR="00202F0D" w:rsidRDefault="00202F0D">
      <w:pPr>
        <w:spacing w:line="240" w:lineRule="exact"/>
        <w:rPr>
          <w:sz w:val="19"/>
          <w:szCs w:val="19"/>
        </w:rPr>
      </w:pPr>
    </w:p>
    <w:p w:rsidR="00202F0D" w:rsidRDefault="00202F0D">
      <w:pPr>
        <w:spacing w:line="240" w:lineRule="exact"/>
        <w:rPr>
          <w:sz w:val="19"/>
          <w:szCs w:val="19"/>
        </w:rPr>
      </w:pPr>
    </w:p>
    <w:p w:rsidR="00202F0D" w:rsidRDefault="00202F0D">
      <w:pPr>
        <w:spacing w:line="240" w:lineRule="exact"/>
        <w:rPr>
          <w:sz w:val="19"/>
          <w:szCs w:val="19"/>
        </w:rPr>
      </w:pPr>
    </w:p>
    <w:p w:rsidR="00202F0D" w:rsidRDefault="00202F0D">
      <w:pPr>
        <w:spacing w:line="240" w:lineRule="exact"/>
        <w:rPr>
          <w:sz w:val="19"/>
          <w:szCs w:val="19"/>
        </w:rPr>
      </w:pPr>
    </w:p>
    <w:p w:rsidR="00202F0D" w:rsidRDefault="00202F0D">
      <w:pPr>
        <w:spacing w:line="240" w:lineRule="exact"/>
        <w:rPr>
          <w:sz w:val="19"/>
          <w:szCs w:val="19"/>
        </w:rPr>
      </w:pPr>
    </w:p>
    <w:p w:rsidR="00202F0D" w:rsidRDefault="00202F0D">
      <w:pPr>
        <w:spacing w:line="240" w:lineRule="exact"/>
        <w:rPr>
          <w:sz w:val="19"/>
          <w:szCs w:val="19"/>
        </w:rPr>
      </w:pPr>
    </w:p>
    <w:p w:rsidR="00202F0D" w:rsidRDefault="00202F0D">
      <w:pPr>
        <w:spacing w:line="240" w:lineRule="exact"/>
        <w:rPr>
          <w:sz w:val="19"/>
          <w:szCs w:val="19"/>
        </w:rPr>
      </w:pPr>
    </w:p>
    <w:p w:rsidR="00202F0D" w:rsidRDefault="00202F0D">
      <w:pPr>
        <w:spacing w:before="10" w:after="10" w:line="240" w:lineRule="exact"/>
        <w:rPr>
          <w:sz w:val="19"/>
          <w:szCs w:val="19"/>
        </w:rPr>
      </w:pPr>
    </w:p>
    <w:p w:rsidR="00202F0D" w:rsidRDefault="00202F0D">
      <w:pPr>
        <w:spacing w:line="1" w:lineRule="exact"/>
        <w:sectPr w:rsidR="00202F0D">
          <w:type w:val="continuous"/>
          <w:pgSz w:w="11909" w:h="16838"/>
          <w:pgMar w:top="1080" w:right="0" w:bottom="1243" w:left="0" w:header="0" w:footer="3" w:gutter="0"/>
          <w:cols w:space="720"/>
          <w:noEndnote/>
          <w:docGrid w:linePitch="360"/>
        </w:sectPr>
      </w:pPr>
    </w:p>
    <w:p w:rsidR="00202F0D" w:rsidRDefault="00CA621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12700</wp:posOffset>
                </wp:positionV>
                <wp:extent cx="1329055" cy="38735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F0D" w:rsidRDefault="00CA6210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člen představenstva SG Geotechnika 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4" type="#_x0000_t202" style="position:absolute;margin-left:293.7pt;margin-top:1pt;width:104.65pt;height:30.5pt;z-index:125829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" filled="f" stroked="f">
                <v:textbox inset="0,0,0,0">
                  <w:txbxContent>
                    <w:p w:rsidR="00202F0D" w:rsidRDefault="00CA6210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člen představenstva SG Geotechnika a.s.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02F0D" w:rsidRDefault="00CA6210">
      <w:pPr>
        <w:pStyle w:val="Style2"/>
        <w:shd w:val="clear" w:color="auto" w:fill="auto"/>
        <w:spacing w:after="0"/>
      </w:pPr>
      <w:r>
        <w:t xml:space="preserve">ředitel závodu Chomutov Povodí Ohře, státní </w:t>
      </w:r>
      <w:r>
        <w:t>podnik</w:t>
      </w:r>
    </w:p>
    <w:sectPr w:rsidR="00202F0D">
      <w:type w:val="continuous"/>
      <w:pgSz w:w="11909" w:h="16838"/>
      <w:pgMar w:top="1080" w:right="6041" w:bottom="1243" w:left="8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210" w:rsidRDefault="00CA6210">
      <w:r>
        <w:separator/>
      </w:r>
    </w:p>
  </w:endnote>
  <w:endnote w:type="continuationSeparator" w:id="0">
    <w:p w:rsidR="00CA6210" w:rsidRDefault="00CA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0D" w:rsidRDefault="00CA621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6226175</wp:posOffset>
              </wp:positionH>
              <wp:positionV relativeFrom="page">
                <wp:posOffset>9996805</wp:posOffset>
              </wp:positionV>
              <wp:extent cx="798830" cy="2101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83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2F0D" w:rsidRDefault="00CA6210">
                          <w:pPr>
                            <w:pStyle w:val="Style1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z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5" type="#_x0000_t202" style="position:absolute;margin-left:490.25pt;margin-top:787.15pt;width:62.9pt;height:16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" filled="f" stroked="f">
              <v:textbox style="mso-fit-shape-to-text:t" inset="0,0,0,0">
                <w:txbxContent>
                  <w:p w:rsidR="00202F0D" w:rsidRDefault="00CA6210">
                    <w:pPr>
                      <w:pStyle w:val="Style1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#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 xml:space="preserve">z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0D" w:rsidRDefault="00202F0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210" w:rsidRDefault="00CA6210"/>
  </w:footnote>
  <w:footnote w:type="continuationSeparator" w:id="0">
    <w:p w:rsidR="00CA6210" w:rsidRDefault="00CA62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DEE"/>
    <w:multiLevelType w:val="multilevel"/>
    <w:tmpl w:val="603411E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D135A"/>
    <w:multiLevelType w:val="multilevel"/>
    <w:tmpl w:val="3C88B66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7433B1"/>
    <w:multiLevelType w:val="multilevel"/>
    <w:tmpl w:val="84B23D3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769C0"/>
    <w:multiLevelType w:val="multilevel"/>
    <w:tmpl w:val="6C0687D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351287"/>
    <w:multiLevelType w:val="multilevel"/>
    <w:tmpl w:val="CE307D6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D94780"/>
    <w:multiLevelType w:val="multilevel"/>
    <w:tmpl w:val="85B85A1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4F365B"/>
    <w:multiLevelType w:val="multilevel"/>
    <w:tmpl w:val="100CE8C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BF3596"/>
    <w:multiLevelType w:val="multilevel"/>
    <w:tmpl w:val="D62012E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481641"/>
    <w:multiLevelType w:val="multilevel"/>
    <w:tmpl w:val="DABAD0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1855D1"/>
    <w:multiLevelType w:val="multilevel"/>
    <w:tmpl w:val="109EEC6E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803C9B"/>
    <w:multiLevelType w:val="multilevel"/>
    <w:tmpl w:val="7792835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3E5E94"/>
    <w:multiLevelType w:val="multilevel"/>
    <w:tmpl w:val="42BA6E3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D86482"/>
    <w:multiLevelType w:val="multilevel"/>
    <w:tmpl w:val="36CEC96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0D"/>
    <w:rsid w:val="00202F0D"/>
    <w:rsid w:val="00CA6210"/>
    <w:rsid w:val="00F6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4E8D"/>
  <w15:docId w15:val="{C0FE8F86-07AE-4480-9353-4B609AE4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80"/>
    </w:pPr>
    <w:rPr>
      <w:rFonts w:ascii="Arial" w:eastAsia="Arial" w:hAnsi="Arial" w:cs="Arial"/>
      <w:sz w:val="22"/>
      <w:szCs w:val="2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04" w:lineRule="auto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Style10">
    <w:name w:val="Style 10"/>
    <w:basedOn w:val="Normln"/>
    <w:link w:val="CharStyle11"/>
    <w:pPr>
      <w:shd w:val="clear" w:color="auto" w:fill="FFFFFF"/>
    </w:pPr>
    <w:rPr>
      <w:sz w:val="20"/>
      <w:szCs w:val="20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after="180"/>
      <w:ind w:left="380" w:hanging="380"/>
      <w:outlineLvl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h.cz/informace-o-zpracovani-osobnich-udaju/d-1369/p1=145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h.cz/protikorupcni-a-compliance-program/d-1346/p1=14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ktury-pr@po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2744</Words>
  <Characters>16190</Characters>
  <Application>Microsoft Office Word</Application>
  <DocSecurity>0</DocSecurity>
  <Lines>134</Lines>
  <Paragraphs>37</Paragraphs>
  <ScaleCrop>false</ScaleCrop>
  <Company/>
  <LinksUpToDate>false</LinksUpToDate>
  <CharactersWithSpaces>18897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subject/>
  <dc:creator>Vlastimil Hasik</dc:creator>
  <cp:keywords/>
  <cp:lastModifiedBy>Michaela Toušková (Povodí Ohře)</cp:lastModifiedBy>
  <cp:revision>3</cp:revision>
  <dcterms:created xsi:type="dcterms:W3CDTF">2024-11-01T08:34:00Z</dcterms:created>
  <dcterms:modified xsi:type="dcterms:W3CDTF">2024-11-01T08:35:00Z</dcterms:modified>
</cp:coreProperties>
</file>