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3F61F429" w14:textId="77777777" w:rsidR="00192F22" w:rsidRDefault="00192F22" w:rsidP="00192F22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proofErr w:type="gramStart"/>
      <w:r w:rsidRPr="00E93F51">
        <w:rPr>
          <w:rFonts w:ascii="Arial" w:hAnsi="Arial" w:cs="Arial"/>
          <w:i w:val="0"/>
          <w:sz w:val="22"/>
          <w:szCs w:val="22"/>
        </w:rPr>
        <w:t>republika - Státní</w:t>
      </w:r>
      <w:proofErr w:type="gramEnd"/>
      <w:r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2BE0AB5A" w14:textId="77777777" w:rsidR="00192F22" w:rsidRPr="0000135A" w:rsidRDefault="00192F22" w:rsidP="00192F22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proofErr w:type="gramStart"/>
      <w:r w:rsidRPr="0000135A">
        <w:rPr>
          <w:rFonts w:ascii="Arial" w:hAnsi="Arial" w:cs="Arial"/>
          <w:b w:val="0"/>
          <w:bCs/>
          <w:i w:val="0"/>
          <w:sz w:val="22"/>
          <w:szCs w:val="22"/>
        </w:rPr>
        <w:t xml:space="preserve">Sídlo: </w:t>
      </w:r>
      <w:r w:rsidRPr="0000135A">
        <w:rPr>
          <w:b w:val="0"/>
          <w:bCs/>
        </w:rPr>
        <w:t xml:space="preserve"> </w:t>
      </w:r>
      <w:r w:rsidRPr="0000135A">
        <w:rPr>
          <w:rFonts w:ascii="Arial" w:hAnsi="Arial" w:cs="Arial"/>
          <w:b w:val="0"/>
          <w:bCs/>
          <w:i w:val="0"/>
          <w:sz w:val="22"/>
          <w:szCs w:val="22"/>
        </w:rPr>
        <w:t>Husinecká</w:t>
      </w:r>
      <w:proofErr w:type="gramEnd"/>
      <w:r w:rsidRPr="0000135A">
        <w:rPr>
          <w:rFonts w:ascii="Arial" w:hAnsi="Arial" w:cs="Arial"/>
          <w:b w:val="0"/>
          <w:bCs/>
          <w:i w:val="0"/>
          <w:sz w:val="22"/>
          <w:szCs w:val="22"/>
        </w:rPr>
        <w:t xml:space="preserve"> 1024/11a, 130 00 Praha 3</w:t>
      </w:r>
    </w:p>
    <w:p w14:paraId="651A6918" w14:textId="77777777" w:rsidR="00192F22" w:rsidRDefault="00192F22" w:rsidP="00192F22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>
        <w:rPr>
          <w:rFonts w:ascii="Arial" w:hAnsi="Arial" w:cs="Arial"/>
          <w:i w:val="0"/>
          <w:sz w:val="22"/>
          <w:szCs w:val="22"/>
        </w:rPr>
        <w:t>pro Královéhradecký kraj</w:t>
      </w:r>
    </w:p>
    <w:p w14:paraId="413EAFE9" w14:textId="77777777" w:rsidR="00192F22" w:rsidRDefault="00192F22" w:rsidP="00192F22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Jičín</w:t>
      </w:r>
    </w:p>
    <w:p w14:paraId="1CEF5098" w14:textId="77777777" w:rsidR="00192F22" w:rsidRPr="00E93F51" w:rsidRDefault="00192F22" w:rsidP="00192F22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Adresa: </w:t>
      </w:r>
      <w:r w:rsidRPr="0000135A">
        <w:rPr>
          <w:rFonts w:ascii="Arial" w:hAnsi="Arial" w:cs="Arial"/>
          <w:bCs/>
          <w:i w:val="0"/>
          <w:sz w:val="22"/>
          <w:szCs w:val="22"/>
        </w:rPr>
        <w:t>Havlíčkova 56, 506 01 Jičín</w:t>
      </w:r>
    </w:p>
    <w:p w14:paraId="23F38D9E" w14:textId="77777777" w:rsidR="00192F22" w:rsidRPr="00E93F51" w:rsidRDefault="00192F22" w:rsidP="00192F22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Jaromírem Krejčím, </w:t>
      </w:r>
      <w:r w:rsidRPr="009A7962">
        <w:rPr>
          <w:rFonts w:ascii="Arial" w:hAnsi="Arial" w:cs="Arial"/>
          <w:sz w:val="22"/>
          <w:szCs w:val="22"/>
        </w:rPr>
        <w:t>vedoucí</w:t>
      </w:r>
      <w:r>
        <w:rPr>
          <w:rFonts w:ascii="Arial" w:hAnsi="Arial" w:cs="Arial"/>
          <w:sz w:val="22"/>
          <w:szCs w:val="22"/>
        </w:rPr>
        <w:t>m</w:t>
      </w:r>
      <w:r w:rsidRPr="009A7962">
        <w:rPr>
          <w:rFonts w:ascii="Arial" w:hAnsi="Arial" w:cs="Arial"/>
          <w:sz w:val="22"/>
          <w:szCs w:val="22"/>
        </w:rPr>
        <w:t xml:space="preserve"> Pobočky Jičín</w:t>
      </w:r>
    </w:p>
    <w:p w14:paraId="518CBB4B" w14:textId="77777777" w:rsidR="00192F22" w:rsidRDefault="00192F22" w:rsidP="00192F22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9A7962">
        <w:rPr>
          <w:rFonts w:ascii="Arial" w:hAnsi="Arial" w:cs="Arial"/>
          <w:sz w:val="22"/>
          <w:szCs w:val="22"/>
        </w:rPr>
        <w:t xml:space="preserve">Ing. Jaromír Krejčí, vedoucí Pobočky Jičín </w:t>
      </w:r>
    </w:p>
    <w:p w14:paraId="1EF9FE5F" w14:textId="633A26AB" w:rsidR="00192F22" w:rsidRPr="000236DE" w:rsidRDefault="00192F22" w:rsidP="00192F22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193452">
        <w:rPr>
          <w:rFonts w:ascii="Arial" w:hAnsi="Arial" w:cs="Arial"/>
          <w:snapToGrid w:val="0"/>
          <w:sz w:val="22"/>
          <w:szCs w:val="22"/>
        </w:rPr>
        <w:t>Mgr.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D14BE">
        <w:rPr>
          <w:rFonts w:ascii="Arial" w:hAnsi="Arial" w:cs="Arial"/>
          <w:snapToGrid w:val="0"/>
          <w:sz w:val="22"/>
          <w:szCs w:val="22"/>
        </w:rPr>
        <w:t>Šárka Vošvrdová</w:t>
      </w:r>
      <w:r w:rsidRPr="00E93F51">
        <w:rPr>
          <w:rFonts w:ascii="Arial" w:hAnsi="Arial" w:cs="Arial"/>
          <w:sz w:val="22"/>
          <w:szCs w:val="22"/>
        </w:rPr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77A038FB" w14:textId="6D6A0CDA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72</w:t>
      </w:r>
      <w:r w:rsidR="00CD14BE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CD14BE">
        <w:rPr>
          <w:rFonts w:ascii="Arial" w:hAnsi="Arial" w:cs="Arial"/>
          <w:color w:val="000000"/>
          <w:sz w:val="22"/>
          <w:szCs w:val="22"/>
        </w:rPr>
        <w:t>047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D14BE">
        <w:rPr>
          <w:rFonts w:ascii="Arial" w:hAnsi="Arial" w:cs="Arial"/>
          <w:color w:val="000000"/>
          <w:sz w:val="22"/>
          <w:szCs w:val="22"/>
        </w:rPr>
        <w:t>742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58B6F768" w14:textId="42194D7F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CD14B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="00CD14BE">
        <w:rPr>
          <w:rFonts w:ascii="Arial" w:hAnsi="Arial" w:cs="Arial"/>
          <w:sz w:val="22"/>
          <w:szCs w:val="22"/>
        </w:rPr>
        <w:t>vosvrdova</w:t>
      </w:r>
      <w:r w:rsidRPr="000236DE">
        <w:rPr>
          <w:rFonts w:ascii="Arial" w:hAnsi="Arial" w:cs="Arial"/>
          <w:sz w:val="22"/>
          <w:szCs w:val="22"/>
        </w:rPr>
        <w:t>@spucr</w:t>
      </w:r>
      <w:r w:rsidRPr="00E93F51">
        <w:rPr>
          <w:rFonts w:ascii="Arial" w:hAnsi="Arial" w:cs="Arial"/>
          <w:sz w:val="22"/>
          <w:szCs w:val="22"/>
        </w:rPr>
        <w:t>.cz</w:t>
      </w:r>
    </w:p>
    <w:p w14:paraId="7E3E454B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35F53965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1BA7A7F1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09E290A3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53D366A6" w14:textId="77777777" w:rsidR="00192F22" w:rsidRPr="00E93F51" w:rsidRDefault="00192F22" w:rsidP="00192F22">
      <w:pPr>
        <w:pStyle w:val="Bezmezer"/>
        <w:tabs>
          <w:tab w:val="left" w:pos="4536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4FC5D4A6" w14:textId="644E8403" w:rsidR="00EA21B7" w:rsidRPr="00E93F51" w:rsidRDefault="00192F22" w:rsidP="00192F22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>(dále jen „objednatel“)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6725F8A8" w14:textId="77777777" w:rsidR="00DC3B6B" w:rsidRDefault="00812ED3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DC3B6B" w:rsidRPr="00E80473">
        <w:rPr>
          <w:rFonts w:ascii="Arial" w:hAnsi="Arial" w:cs="Arial"/>
          <w:bCs/>
          <w:sz w:val="22"/>
          <w:szCs w:val="22"/>
        </w:rPr>
        <w:t>Jméno:</w:t>
      </w:r>
      <w:r w:rsidR="00DC3B6B"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DC3B6B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DC3B6B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DC3B6B">
        <w:rPr>
          <w:rFonts w:ascii="ArialMT" w:hAnsi="ArialMT" w:cs="ArialMT"/>
          <w:sz w:val="22"/>
          <w:szCs w:val="22"/>
        </w:rPr>
        <w:t xml:space="preserve">  </w:t>
      </w:r>
      <w:r w:rsidR="00DC3B6B" w:rsidRPr="00E80473">
        <w:rPr>
          <w:rFonts w:ascii="ArialMT" w:hAnsi="ArialMT" w:cs="ArialMT"/>
          <w:b/>
          <w:bCs/>
          <w:sz w:val="22"/>
          <w:szCs w:val="22"/>
        </w:rPr>
        <w:t>HIG geologická služba, spol. s r.o</w:t>
      </w:r>
    </w:p>
    <w:p w14:paraId="36C12F21" w14:textId="77777777" w:rsidR="00DC3B6B" w:rsidRPr="00192F22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Sídlo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>:</w:t>
      </w:r>
      <w:r w:rsidRPr="00E93F51">
        <w:rPr>
          <w:rFonts w:ascii="Arial" w:hAnsi="Arial" w:cs="Arial"/>
          <w:b/>
          <w:sz w:val="22"/>
          <w:szCs w:val="22"/>
        </w:rPr>
        <w:tab/>
      </w:r>
      <w:r w:rsidRPr="00E80473">
        <w:rPr>
          <w:rFonts w:ascii="ArialMT" w:hAnsi="ArialMT" w:cs="ArialMT"/>
          <w:sz w:val="22"/>
          <w:szCs w:val="22"/>
        </w:rPr>
        <w:t>Školní 322, Želešice 664 43</w:t>
      </w:r>
    </w:p>
    <w:p w14:paraId="2C39E69F" w14:textId="77777777" w:rsidR="00DC3B6B" w:rsidRDefault="00DC3B6B" w:rsidP="00DC3B6B">
      <w:pPr>
        <w:tabs>
          <w:tab w:val="left" w:pos="4253"/>
        </w:tabs>
        <w:spacing w:line="276" w:lineRule="auto"/>
        <w:jc w:val="both"/>
        <w:rPr>
          <w:rFonts w:ascii="ArialMT" w:hAnsi="ArialMT" w:cs="ArialMT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MT" w:hAnsi="ArialMT" w:cs="ArialMT"/>
          <w:sz w:val="22"/>
          <w:szCs w:val="22"/>
        </w:rPr>
        <w:t>Mgr. Aleš Grünwald, jednatel společnosti</w:t>
      </w:r>
    </w:p>
    <w:p w14:paraId="44512F3D" w14:textId="408B237C" w:rsidR="00DC3B6B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>el.</w:t>
      </w:r>
      <w:r>
        <w:rPr>
          <w:rFonts w:ascii="Arial" w:hAnsi="Arial" w:cs="Arial"/>
          <w:sz w:val="22"/>
          <w:szCs w:val="22"/>
        </w:rPr>
        <w:t>: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A57C3">
        <w:rPr>
          <w:rFonts w:ascii="Arial" w:hAnsi="Arial" w:cs="Arial"/>
          <w:sz w:val="22"/>
          <w:szCs w:val="22"/>
        </w:rPr>
        <w:t>xxxxxxxxxx</w:t>
      </w:r>
      <w:proofErr w:type="spellEnd"/>
    </w:p>
    <w:p w14:paraId="798E09F4" w14:textId="30FBA119" w:rsidR="00DC3B6B" w:rsidRPr="00E93F51" w:rsidRDefault="00DC3B6B" w:rsidP="00DC3B6B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7C3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proofErr w:type="spellEnd"/>
    </w:p>
    <w:p w14:paraId="5920CAD4" w14:textId="54A01779" w:rsidR="00DC3B6B" w:rsidRPr="00E93F51" w:rsidRDefault="00DC3B6B" w:rsidP="00DC3B6B">
      <w:pPr>
        <w:tabs>
          <w:tab w:val="left" w:pos="4253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>Mgr. Aleš Grünwald, jednatel společnosti</w:t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A120426" w14:textId="77777777" w:rsidR="00DC3B6B" w:rsidRPr="00E93F51" w:rsidRDefault="00DC3B6B" w:rsidP="00DC3B6B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3k64hr7</w:t>
      </w:r>
    </w:p>
    <w:p w14:paraId="00361D8B" w14:textId="77777777" w:rsidR="00DC3B6B" w:rsidRPr="00E93F51" w:rsidRDefault="00DC3B6B" w:rsidP="00DC3B6B">
      <w:pPr>
        <w:tabs>
          <w:tab w:val="left" w:pos="4253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Raiffeisenbank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7181B03" w14:textId="77777777" w:rsidR="00DC3B6B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Č</w:t>
      </w:r>
      <w:r w:rsidRPr="00E93F51">
        <w:rPr>
          <w:rFonts w:ascii="Arial" w:hAnsi="Arial" w:cs="Arial"/>
          <w:sz w:val="22"/>
          <w:szCs w:val="22"/>
        </w:rPr>
        <w:t>íslo účtu: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2D120CD" w14:textId="77777777" w:rsidR="00DC3B6B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49969986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BE4311E" w14:textId="77777777" w:rsidR="00DC3B6B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CZ49969986</w:t>
      </w:r>
    </w:p>
    <w:p w14:paraId="1C3CFACE" w14:textId="77777777" w:rsidR="00DC3B6B" w:rsidRPr="00E93F51" w:rsidRDefault="00DC3B6B" w:rsidP="00DC3B6B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KS Brno,</w:t>
      </w:r>
      <w:r w:rsidRPr="00E93F51">
        <w:rPr>
          <w:rFonts w:ascii="Arial" w:hAnsi="Arial" w:cs="Arial"/>
          <w:sz w:val="22"/>
          <w:szCs w:val="22"/>
        </w:rPr>
        <w:t xml:space="preserve"> oddíl</w:t>
      </w:r>
      <w:r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13521</w:t>
      </w:r>
    </w:p>
    <w:p w14:paraId="4CC58448" w14:textId="6A6E7F6F" w:rsidR="00593846" w:rsidRPr="00E93F51" w:rsidRDefault="00DC3B6B" w:rsidP="00DC3B6B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(dále jen „zhotovitel“)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FB2305F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68A9F07" w14:textId="77777777" w:rsidR="00DC3B6B" w:rsidRPr="00E93F51" w:rsidRDefault="00DC3B6B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37CBFAEF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>malého rozsahu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CD14BE">
        <w:rPr>
          <w:rStyle w:val="Siln"/>
          <w:rFonts w:ascii="Arial" w:hAnsi="Arial" w:cs="Arial"/>
          <w:sz w:val="22"/>
          <w:szCs w:val="22"/>
        </w:rPr>
        <w:t xml:space="preserve">Geotechnický průzkum Bystřice, </w:t>
      </w:r>
      <w:proofErr w:type="spellStart"/>
      <w:r w:rsidR="00CD14BE">
        <w:rPr>
          <w:rStyle w:val="Siln"/>
          <w:rFonts w:ascii="Arial" w:hAnsi="Arial" w:cs="Arial"/>
          <w:sz w:val="22"/>
          <w:szCs w:val="22"/>
        </w:rPr>
        <w:t>Važice</w:t>
      </w:r>
      <w:proofErr w:type="spellEnd"/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</w:t>
      </w:r>
      <w:r w:rsidR="00D71107">
        <w:rPr>
          <w:rFonts w:ascii="Arial" w:hAnsi="Arial" w:cs="Arial"/>
          <w:sz w:val="22"/>
          <w:szCs w:val="22"/>
        </w:rPr>
        <w:t>dále</w:t>
      </w:r>
      <w:r w:rsidR="00B04130" w:rsidRPr="00E93F51">
        <w:rPr>
          <w:rFonts w:ascii="Arial" w:hAnsi="Arial" w:cs="Arial"/>
          <w:sz w:val="22"/>
          <w:szCs w:val="22"/>
        </w:rPr>
        <w:t xml:space="preserve"> uveden</w:t>
      </w:r>
      <w:r w:rsidR="00D71107">
        <w:rPr>
          <w:rFonts w:ascii="Arial" w:hAnsi="Arial" w:cs="Arial"/>
          <w:sz w:val="22"/>
          <w:szCs w:val="22"/>
        </w:rPr>
        <w:t>ých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D71107">
        <w:rPr>
          <w:rFonts w:ascii="Arial" w:hAnsi="Arial" w:cs="Arial"/>
          <w:sz w:val="22"/>
          <w:szCs w:val="22"/>
        </w:rPr>
        <w:t>c</w:t>
      </w:r>
      <w:r w:rsidR="00B04130" w:rsidRPr="00E93F51">
        <w:rPr>
          <w:rFonts w:ascii="Arial" w:hAnsi="Arial" w:cs="Arial"/>
          <w:sz w:val="22"/>
          <w:szCs w:val="22"/>
        </w:rPr>
        <w:t xml:space="preserve">h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>.</w:t>
      </w:r>
      <w:r w:rsidR="00D71107">
        <w:rPr>
          <w:rFonts w:ascii="Arial" w:hAnsi="Arial" w:cs="Arial"/>
          <w:sz w:val="22"/>
          <w:szCs w:val="22"/>
        </w:rPr>
        <w:t xml:space="preserve"> </w:t>
      </w:r>
      <w:r w:rsidR="00CD14BE">
        <w:rPr>
          <w:rFonts w:ascii="Arial" w:hAnsi="Arial" w:cs="Arial"/>
          <w:sz w:val="22"/>
          <w:szCs w:val="22"/>
        </w:rPr>
        <w:t>Bystřice</w:t>
      </w:r>
      <w:r w:rsidR="00D71107">
        <w:rPr>
          <w:rFonts w:ascii="Arial" w:hAnsi="Arial" w:cs="Arial"/>
          <w:sz w:val="22"/>
          <w:szCs w:val="22"/>
        </w:rPr>
        <w:t xml:space="preserve"> a </w:t>
      </w:r>
      <w:r w:rsidR="00CD14BE">
        <w:rPr>
          <w:rFonts w:ascii="Arial" w:hAnsi="Arial" w:cs="Arial"/>
          <w:sz w:val="22"/>
          <w:szCs w:val="22"/>
        </w:rPr>
        <w:t>v </w:t>
      </w:r>
      <w:proofErr w:type="spellStart"/>
      <w:r w:rsidR="00CD14BE">
        <w:rPr>
          <w:rFonts w:ascii="Arial" w:hAnsi="Arial" w:cs="Arial"/>
          <w:sz w:val="22"/>
          <w:szCs w:val="22"/>
        </w:rPr>
        <w:t>k.ú</w:t>
      </w:r>
      <w:proofErr w:type="spellEnd"/>
      <w:r w:rsidR="00CD14B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D14BE">
        <w:rPr>
          <w:rFonts w:ascii="Arial" w:hAnsi="Arial" w:cs="Arial"/>
          <w:sz w:val="22"/>
          <w:szCs w:val="22"/>
        </w:rPr>
        <w:t>Važice</w:t>
      </w:r>
      <w:proofErr w:type="spellEnd"/>
      <w:r w:rsidR="00D71107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910D3EB" w:rsidR="008325A1" w:rsidRPr="00281597" w:rsidRDefault="008325A1" w:rsidP="00D71107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D71107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D71107">
        <w:rPr>
          <w:rStyle w:val="Siln"/>
          <w:rFonts w:ascii="Arial" w:hAnsi="Arial" w:cs="Arial"/>
          <w:bCs w:val="0"/>
          <w:sz w:val="22"/>
          <w:szCs w:val="22"/>
        </w:rPr>
        <w:t>předběžný</w:t>
      </w:r>
      <w:r w:rsidR="00DC55FB" w:rsidRPr="00D71107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151904" w:rsidRPr="00CD14BE">
        <w:rPr>
          <w:rFonts w:ascii="Arial" w:hAnsi="Arial" w:cs="Arial"/>
          <w:bCs/>
          <w:sz w:val="22"/>
          <w:szCs w:val="22"/>
        </w:rPr>
        <w:t>pro polní cesty</w:t>
      </w:r>
      <w:r w:rsidR="00281597">
        <w:rPr>
          <w:rFonts w:ascii="Arial" w:hAnsi="Arial" w:cs="Arial"/>
          <w:bCs/>
          <w:sz w:val="22"/>
          <w:szCs w:val="22"/>
        </w:rPr>
        <w:t>,</w:t>
      </w:r>
      <w:r w:rsidR="00151904" w:rsidRPr="00CD14BE">
        <w:rPr>
          <w:rFonts w:ascii="Arial" w:hAnsi="Arial" w:cs="Arial"/>
          <w:bCs/>
          <w:sz w:val="22"/>
          <w:szCs w:val="22"/>
        </w:rPr>
        <w:t xml:space="preserve"> průlehy </w:t>
      </w:r>
      <w:r w:rsidR="00281597">
        <w:rPr>
          <w:rFonts w:ascii="Arial" w:hAnsi="Arial" w:cs="Arial"/>
          <w:bCs/>
          <w:sz w:val="22"/>
          <w:szCs w:val="22"/>
        </w:rPr>
        <w:t xml:space="preserve">a </w:t>
      </w:r>
      <w:r w:rsidR="00CD14BE" w:rsidRPr="00CD14BE">
        <w:rPr>
          <w:rFonts w:ascii="Arial" w:hAnsi="Arial" w:cs="Arial"/>
          <w:bCs/>
          <w:sz w:val="22"/>
          <w:szCs w:val="22"/>
        </w:rPr>
        <w:t>vodní nádrž</w:t>
      </w:r>
      <w:r w:rsidR="00A85C66" w:rsidRPr="00CD14BE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CD14B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F09E3">
        <w:rPr>
          <w:rStyle w:val="Siln"/>
          <w:rFonts w:ascii="Arial" w:hAnsi="Arial" w:cs="Arial"/>
          <w:b w:val="0"/>
          <w:sz w:val="22"/>
          <w:szCs w:val="22"/>
        </w:rPr>
        <w:t xml:space="preserve">v celkovém počtu 22 sond, </w:t>
      </w:r>
      <w:r w:rsidR="00AF35CF" w:rsidRPr="00CD14BE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CD14BE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281597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281597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28159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281597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81597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281597">
        <w:rPr>
          <w:rStyle w:val="Siln"/>
          <w:rFonts w:ascii="Arial" w:hAnsi="Arial" w:cs="Arial"/>
          <w:sz w:val="22"/>
          <w:szCs w:val="22"/>
        </w:rPr>
        <w:t>Dílo</w:t>
      </w:r>
      <w:r w:rsidRPr="00281597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281597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281597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81597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281597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281597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281597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281597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93E3504" w14:textId="77777777" w:rsidR="00DC3B6B" w:rsidRDefault="00DC3B6B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95E6366" w14:textId="77777777" w:rsidR="00DC3B6B" w:rsidRPr="00E93F51" w:rsidRDefault="00DC3B6B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7FD532D2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Data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</w:p>
    <w:p w14:paraId="4416B42D" w14:textId="7669E1A8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</w:t>
      </w:r>
      <w:r w:rsidR="00D71107">
        <w:rPr>
          <w:rStyle w:val="Siln"/>
          <w:rFonts w:ascii="Arial" w:hAnsi="Arial" w:cs="Arial"/>
          <w:b w:val="0"/>
          <w:i/>
          <w:sz w:val="22"/>
          <w:szCs w:val="22"/>
        </w:rPr>
        <w:t>e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b</w:t>
      </w:r>
    </w:p>
    <w:p w14:paraId="360AEE07" w14:textId="2F1A3000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9F3199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14BE" w:rsidRPr="00DC3B6B">
        <w:rPr>
          <w:rStyle w:val="Siln"/>
          <w:rFonts w:ascii="Arial" w:hAnsi="Arial" w:cs="Arial"/>
          <w:bCs w:val="0"/>
          <w:sz w:val="22"/>
          <w:szCs w:val="22"/>
        </w:rPr>
        <w:t>1</w:t>
      </w:r>
      <w:r w:rsidR="00D71107" w:rsidRPr="00D71107">
        <w:rPr>
          <w:rStyle w:val="Siln"/>
          <w:rFonts w:ascii="Arial" w:hAnsi="Arial" w:cs="Arial"/>
          <w:bCs w:val="0"/>
          <w:sz w:val="22"/>
          <w:szCs w:val="22"/>
        </w:rPr>
        <w:t>5.</w:t>
      </w:r>
      <w:r w:rsidR="00CD14BE">
        <w:rPr>
          <w:rStyle w:val="Siln"/>
          <w:rFonts w:ascii="Arial" w:hAnsi="Arial" w:cs="Arial"/>
          <w:bCs w:val="0"/>
          <w:sz w:val="22"/>
          <w:szCs w:val="22"/>
        </w:rPr>
        <w:t>1</w:t>
      </w:r>
      <w:r w:rsidR="00D71107" w:rsidRPr="00D71107">
        <w:rPr>
          <w:rStyle w:val="Siln"/>
          <w:rFonts w:ascii="Arial" w:hAnsi="Arial" w:cs="Arial"/>
          <w:bCs w:val="0"/>
          <w:sz w:val="22"/>
          <w:szCs w:val="22"/>
        </w:rPr>
        <w:t>.202</w:t>
      </w:r>
      <w:r w:rsidR="00CD14BE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2B0933" w:rsidRPr="00D71107">
        <w:rPr>
          <w:rStyle w:val="Siln"/>
          <w:rFonts w:ascii="Arial" w:hAnsi="Arial" w:cs="Arial"/>
          <w:bCs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26695E2F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proofErr w:type="spellStart"/>
      <w:r w:rsidR="00D71107" w:rsidRPr="003058B5">
        <w:rPr>
          <w:rStyle w:val="Siln"/>
          <w:rFonts w:ascii="Arial" w:hAnsi="Arial" w:cs="Arial"/>
          <w:bCs w:val="0"/>
          <w:sz w:val="22"/>
          <w:szCs w:val="22"/>
        </w:rPr>
        <w:t>k.ú</w:t>
      </w:r>
      <w:proofErr w:type="spellEnd"/>
      <w:r w:rsidR="00D71107" w:rsidRPr="003058B5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 w:rsidR="00CD14BE">
        <w:rPr>
          <w:rStyle w:val="Siln"/>
          <w:rFonts w:ascii="Arial" w:hAnsi="Arial" w:cs="Arial"/>
          <w:bCs w:val="0"/>
          <w:sz w:val="22"/>
          <w:szCs w:val="22"/>
        </w:rPr>
        <w:t>Bystřice</w:t>
      </w:r>
      <w:r w:rsidR="00D71107" w:rsidRPr="003058B5">
        <w:rPr>
          <w:rStyle w:val="Siln"/>
          <w:rFonts w:ascii="Arial" w:hAnsi="Arial" w:cs="Arial"/>
          <w:bCs w:val="0"/>
          <w:sz w:val="22"/>
          <w:szCs w:val="22"/>
        </w:rPr>
        <w:t xml:space="preserve">, </w:t>
      </w:r>
      <w:proofErr w:type="spellStart"/>
      <w:r w:rsidR="00D71107" w:rsidRPr="003058B5">
        <w:rPr>
          <w:rStyle w:val="Siln"/>
          <w:rFonts w:ascii="Arial" w:hAnsi="Arial" w:cs="Arial"/>
          <w:bCs w:val="0"/>
          <w:sz w:val="22"/>
          <w:szCs w:val="22"/>
        </w:rPr>
        <w:t>k.ú</w:t>
      </w:r>
      <w:proofErr w:type="spellEnd"/>
      <w:r w:rsidR="00D71107" w:rsidRPr="003058B5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proofErr w:type="spellStart"/>
      <w:r w:rsidR="00CD14BE">
        <w:rPr>
          <w:rStyle w:val="Siln"/>
          <w:rFonts w:ascii="Arial" w:hAnsi="Arial" w:cs="Arial"/>
          <w:bCs w:val="0"/>
          <w:sz w:val="22"/>
          <w:szCs w:val="22"/>
        </w:rPr>
        <w:t>Važice</w:t>
      </w:r>
      <w:proofErr w:type="spellEnd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3D82D80D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CD14BE">
        <w:rPr>
          <w:rFonts w:ascii="Arial" w:hAnsi="Arial" w:cs="Arial"/>
          <w:b w:val="0"/>
          <w:i w:val="0"/>
          <w:sz w:val="22"/>
          <w:szCs w:val="22"/>
        </w:rPr>
        <w:t>1</w:t>
      </w:r>
      <w:r w:rsidR="00EA0F26">
        <w:rPr>
          <w:rFonts w:ascii="Arial" w:hAnsi="Arial" w:cs="Arial"/>
          <w:b w:val="0"/>
          <w:bCs/>
          <w:i w:val="0"/>
          <w:sz w:val="22"/>
          <w:szCs w:val="22"/>
        </w:rPr>
        <w:t>5.</w:t>
      </w:r>
      <w:r w:rsidR="00CD14BE">
        <w:rPr>
          <w:rFonts w:ascii="Arial" w:hAnsi="Arial" w:cs="Arial"/>
          <w:b w:val="0"/>
          <w:bCs/>
          <w:i w:val="0"/>
          <w:sz w:val="22"/>
          <w:szCs w:val="22"/>
        </w:rPr>
        <w:t>1</w:t>
      </w:r>
      <w:r w:rsidR="00EA0F26">
        <w:rPr>
          <w:rFonts w:ascii="Arial" w:hAnsi="Arial" w:cs="Arial"/>
          <w:b w:val="0"/>
          <w:bCs/>
          <w:i w:val="0"/>
          <w:sz w:val="22"/>
          <w:szCs w:val="22"/>
        </w:rPr>
        <w:t>.202</w:t>
      </w:r>
      <w:r w:rsidR="00CD14BE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EA0F26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2DBC2878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CD14BE">
        <w:rPr>
          <w:rFonts w:ascii="Arial" w:hAnsi="Arial" w:cs="Arial"/>
          <w:b w:val="0"/>
          <w:i w:val="0"/>
          <w:sz w:val="22"/>
          <w:szCs w:val="22"/>
        </w:rPr>
        <w:t>1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444C713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73478787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r w:rsidR="008C2111">
        <w:rPr>
          <w:rFonts w:ascii="Arial" w:hAnsi="Arial" w:cs="Arial"/>
          <w:b w:val="0"/>
          <w:i w:val="0"/>
          <w:sz w:val="22"/>
          <w:szCs w:val="22"/>
        </w:rPr>
        <w:t xml:space="preserve"> :</w:t>
      </w:r>
      <w:proofErr w:type="gramEnd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DC3B6B">
        <w:rPr>
          <w:rFonts w:ascii="Arial" w:hAnsi="Arial" w:cs="Arial"/>
          <w:b w:val="0"/>
          <w:i w:val="0"/>
          <w:sz w:val="22"/>
          <w:szCs w:val="22"/>
        </w:rPr>
        <w:t xml:space="preserve"> 114 000 Kč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312365" w14:textId="1A272DB5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gramStart"/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</w:t>
      </w:r>
      <w:r w:rsidR="008C2111">
        <w:rPr>
          <w:rFonts w:ascii="Arial" w:hAnsi="Arial" w:cs="Arial"/>
          <w:b w:val="0"/>
          <w:i w:val="0"/>
          <w:sz w:val="22"/>
          <w:szCs w:val="22"/>
        </w:rPr>
        <w:t>:</w:t>
      </w:r>
      <w:proofErr w:type="gramEnd"/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C3B6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C2111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DC3B6B">
        <w:rPr>
          <w:rFonts w:ascii="Arial" w:hAnsi="Arial" w:cs="Arial"/>
          <w:b w:val="0"/>
          <w:i w:val="0"/>
          <w:sz w:val="22"/>
          <w:szCs w:val="22"/>
        </w:rPr>
        <w:t>23 940 Kč</w:t>
      </w:r>
    </w:p>
    <w:p w14:paraId="19279F14" w14:textId="205EE36D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</w:t>
      </w:r>
      <w:r w:rsidR="008C2111">
        <w:rPr>
          <w:rFonts w:ascii="Arial" w:hAnsi="Arial" w:cs="Arial"/>
          <w:b w:val="0"/>
          <w:i w:val="0"/>
          <w:sz w:val="22"/>
          <w:szCs w:val="22"/>
        </w:rPr>
        <w:t>:</w:t>
      </w:r>
      <w:proofErr w:type="gramEnd"/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C211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DC3B6B">
        <w:rPr>
          <w:rFonts w:ascii="Arial" w:hAnsi="Arial" w:cs="Arial"/>
          <w:b w:val="0"/>
          <w:i w:val="0"/>
          <w:sz w:val="22"/>
          <w:szCs w:val="22"/>
        </w:rPr>
        <w:t>137 940 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0CDF5F28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</w:t>
      </w:r>
      <w:r w:rsidR="00354B7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32C0A3B0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354B73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354B73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1F12C505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7052444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E1D074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75DEB35E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043647">
        <w:rPr>
          <w:rStyle w:val="Siln"/>
          <w:rFonts w:ascii="Arial" w:hAnsi="Arial" w:cs="Arial"/>
          <w:bCs w:val="0"/>
          <w:sz w:val="22"/>
          <w:szCs w:val="22"/>
        </w:rPr>
        <w:t>36</w:t>
      </w:r>
      <w:r w:rsidRPr="00043647">
        <w:rPr>
          <w:rStyle w:val="Siln"/>
          <w:rFonts w:ascii="Arial" w:hAnsi="Arial" w:cs="Arial"/>
          <w:bCs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09E0CC6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% z ceny </w:t>
      </w:r>
      <w:r w:rsidRPr="00043647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díla</w:t>
      </w:r>
      <w:r w:rsidR="004568DC" w:rsidRPr="0004364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568DC" w:rsidRPr="00043647">
        <w:rPr>
          <w:rFonts w:ascii="Arial" w:hAnsi="Arial" w:cs="Arial"/>
          <w:bCs/>
          <w:sz w:val="22"/>
          <w:szCs w:val="22"/>
          <w:lang w:val="en-US"/>
        </w:rPr>
        <w:t>2</w:t>
      </w:r>
      <w:r w:rsidR="00043647" w:rsidRPr="00043647">
        <w:rPr>
          <w:rFonts w:ascii="Arial" w:hAnsi="Arial" w:cs="Arial"/>
          <w:bCs/>
          <w:sz w:val="22"/>
          <w:szCs w:val="22"/>
          <w:lang w:val="en-US"/>
        </w:rPr>
        <w:t> </w:t>
      </w:r>
      <w:r w:rsidR="004568DC" w:rsidRPr="00043647">
        <w:rPr>
          <w:rFonts w:ascii="Arial" w:hAnsi="Arial" w:cs="Arial"/>
          <w:bCs/>
          <w:sz w:val="22"/>
          <w:szCs w:val="22"/>
          <w:lang w:val="en-US"/>
        </w:rPr>
        <w:t>500</w:t>
      </w:r>
      <w:r w:rsidR="00043647" w:rsidRPr="00043647">
        <w:rPr>
          <w:rFonts w:ascii="Arial" w:hAnsi="Arial" w:cs="Arial"/>
          <w:bCs/>
          <w:sz w:val="22"/>
          <w:szCs w:val="22"/>
          <w:lang w:val="en-US"/>
        </w:rPr>
        <w:t>,-</w:t>
      </w:r>
      <w:r w:rsidR="004568DC" w:rsidRPr="00043647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4568DC" w:rsidRPr="00043647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4568DC" w:rsidRPr="0004364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43647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2E4CD28" w14:textId="77777777" w:rsidR="00C25DE9" w:rsidRDefault="00C25DE9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3ACD16" w14:textId="77777777" w:rsidR="00C25DE9" w:rsidRPr="00E93F51" w:rsidRDefault="00C25DE9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100F08C1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</w:t>
      </w:r>
      <w:r w:rsidR="00043647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7B8C26C7" w:rsidR="00E411CD" w:rsidRPr="00F656C6" w:rsidRDefault="00E411CD" w:rsidP="006A7EFD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6A7EFD">
        <w:rPr>
          <w:rFonts w:ascii="Arial" w:hAnsi="Arial" w:cs="Arial"/>
          <w:bCs/>
          <w:sz w:val="22"/>
          <w:szCs w:val="22"/>
        </w:rPr>
        <w:t>200 000,-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6A7EFD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Na žádost objednatele je zhotovitel povinen kdykoliv předložit ve lhůtě 3 dnů uspokojivé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48595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485956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48595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48595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64246D49" w:rsidR="0076646C" w:rsidRDefault="00F96E2D" w:rsidP="00485956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6F09E3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52460B18" w:rsidR="00B33CCB" w:rsidRPr="00E93F51" w:rsidRDefault="0076646C" w:rsidP="00485956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</w:t>
      </w:r>
      <w:r w:rsidR="006F09E3">
        <w:rPr>
          <w:rStyle w:val="Siln"/>
          <w:rFonts w:ascii="Arial" w:hAnsi="Arial" w:cs="Arial"/>
          <w:b w:val="0"/>
          <w:sz w:val="22"/>
          <w:szCs w:val="22"/>
          <w:lang w:eastAsia="cs-CZ"/>
        </w:rPr>
        <w:t>objednatel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.</w:t>
      </w: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smlouvy neplatné či neúčinné, nedotýká se to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FEC6696" w:rsidR="00E5320A" w:rsidRPr="00E5320A" w:rsidRDefault="00E5320A" w:rsidP="00EE5BC7">
      <w:pPr>
        <w:pStyle w:val="Odstavecseseznamem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</w:p>
    <w:p w14:paraId="01D314D9" w14:textId="5FFF1834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</w:t>
      </w:r>
      <w:r w:rsidR="00D70979">
        <w:rPr>
          <w:rStyle w:val="Siln"/>
          <w:rFonts w:ascii="Arial" w:hAnsi="Arial" w:cs="Arial"/>
          <w:b w:val="0"/>
          <w:sz w:val="22"/>
          <w:szCs w:val="22"/>
        </w:rPr>
        <w:t>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8C1F703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C25DE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Jičíně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C25DE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B3582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</w:t>
            </w:r>
            <w:r w:rsidR="003A57C3">
              <w:rPr>
                <w:rFonts w:ascii="Arial" w:hAnsi="Arial" w:cs="Arial"/>
                <w:b w:val="0"/>
                <w:i w:val="0"/>
                <w:sz w:val="22"/>
                <w:szCs w:val="22"/>
              </w:rPr>
              <w:t>29.10.2024</w:t>
            </w:r>
          </w:p>
        </w:tc>
        <w:tc>
          <w:tcPr>
            <w:tcW w:w="4606" w:type="dxa"/>
            <w:shd w:val="clear" w:color="auto" w:fill="auto"/>
          </w:tcPr>
          <w:p w14:paraId="1A62A2E1" w14:textId="1EC47C89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C25DE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gramStart"/>
            <w:r w:rsidR="00C25DE9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="00B3582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</w:t>
            </w:r>
            <w:r w:rsidR="003A57C3">
              <w:rPr>
                <w:rFonts w:ascii="Arial" w:hAnsi="Arial" w:cs="Arial"/>
                <w:b w:val="0"/>
                <w:i w:val="0"/>
                <w:sz w:val="22"/>
                <w:szCs w:val="22"/>
              </w:rPr>
              <w:t>29.10.2024</w:t>
            </w:r>
            <w:proofErr w:type="gramEnd"/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67BEED12" w:rsidR="0029141F" w:rsidRPr="00E93F51" w:rsidRDefault="003A57C3" w:rsidP="002D5B0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Ing. Jaromír Krejčí</w:t>
            </w:r>
          </w:p>
        </w:tc>
        <w:tc>
          <w:tcPr>
            <w:tcW w:w="4606" w:type="dxa"/>
            <w:shd w:val="clear" w:color="auto" w:fill="auto"/>
          </w:tcPr>
          <w:p w14:paraId="6D0D2AD1" w14:textId="4CEEEC81" w:rsidR="0029141F" w:rsidRPr="00D70979" w:rsidRDefault="003A57C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        Mgr. Aleš </w:t>
            </w:r>
            <w:r w:rsidRPr="003A57C3">
              <w:rPr>
                <w:rFonts w:ascii="ArialMT" w:hAnsi="ArialMT" w:cs="ArialMT"/>
                <w:b w:val="0"/>
                <w:bCs/>
                <w:i w:val="0"/>
                <w:iCs/>
                <w:sz w:val="22"/>
                <w:szCs w:val="22"/>
              </w:rPr>
              <w:t>Grünwald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61462DB" w:rsidR="0029141F" w:rsidRPr="00E93F51" w:rsidRDefault="003A57C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vedoucí Pobočky Jičín</w:t>
            </w:r>
          </w:p>
        </w:tc>
        <w:tc>
          <w:tcPr>
            <w:tcW w:w="4606" w:type="dxa"/>
            <w:shd w:val="clear" w:color="auto" w:fill="auto"/>
          </w:tcPr>
          <w:p w14:paraId="4CCBF97C" w14:textId="412DE0BB" w:rsidR="0029141F" w:rsidRPr="00E93F51" w:rsidRDefault="003A57C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    jednatel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723"/>
        <w:gridCol w:w="2127"/>
        <w:gridCol w:w="2551"/>
        <w:gridCol w:w="992"/>
        <w:gridCol w:w="993"/>
      </w:tblGrid>
      <w:tr w:rsidR="00AF35CF" w:rsidRPr="00E93F51" w14:paraId="40F232C3" w14:textId="77777777" w:rsidTr="00822056">
        <w:trPr>
          <w:trHeight w:hRule="exact" w:val="319"/>
        </w:trPr>
        <w:tc>
          <w:tcPr>
            <w:tcW w:w="8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9E2E93">
        <w:trPr>
          <w:trHeight w:hRule="exact" w:val="319"/>
        </w:trPr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9E2E93">
        <w:trPr>
          <w:trHeight w:hRule="exact" w:val="319"/>
        </w:trPr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9E2E93">
        <w:trPr>
          <w:trHeight w:hRule="exact" w:val="319"/>
        </w:trPr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9E2E93">
        <w:trPr>
          <w:trHeight w:hRule="exact" w:val="319"/>
        </w:trPr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87122">
      <w:pPr>
        <w:framePr w:w="9868" w:h="2830" w:hRule="exact" w:wrap="notBeside" w:vAnchor="text" w:hAnchor="page" w:x="1053" w:y="1157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EE7FD7">
        <w:trPr>
          <w:trHeight w:hRule="exact" w:val="383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87122">
            <w:pPr>
              <w:framePr w:w="9868" w:h="2830" w:hRule="exact" w:wrap="notBeside" w:vAnchor="text" w:hAnchor="page" w:x="1053" w:y="1157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46C61615" w:rsidR="00AF35CF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  <w:r w:rsidR="00D84EE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Tyto informace si zajistí zhotovitel.</w:t>
      </w:r>
    </w:p>
    <w:p w14:paraId="16251C84" w14:textId="77777777" w:rsidR="00EE7FD7" w:rsidRPr="00E93F51" w:rsidRDefault="00EE7FD7" w:rsidP="00EE7FD7">
      <w:pPr>
        <w:widowControl w:val="0"/>
        <w:tabs>
          <w:tab w:val="left" w:pos="1814"/>
        </w:tabs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4E5E64" w:rsidRDefault="00AF35CF" w:rsidP="004E5E64">
      <w:pPr>
        <w:widowControl w:val="0"/>
        <w:ind w:left="320"/>
        <w:rPr>
          <w:rFonts w:ascii="Arial" w:eastAsia="Calibri" w:hAnsi="Arial" w:cs="Arial"/>
          <w:sz w:val="16"/>
          <w:szCs w:val="16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E7FD7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2583B97E" w14:textId="77777777" w:rsidR="00EE7FD7" w:rsidRPr="00E93F51" w:rsidRDefault="00EE7FD7" w:rsidP="00EE7FD7">
      <w:pPr>
        <w:widowControl w:val="0"/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3CF39859" w14:textId="5B23FB9D" w:rsidR="00096F04" w:rsidRPr="00E93F51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418B" w14:textId="0ECEC941" w:rsidR="00AF35CF" w:rsidRPr="00E93F51" w:rsidRDefault="00AF35CF" w:rsidP="001C2F2B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  <w:r w:rsidR="001C2F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789BAE46" w14:textId="0552F48A" w:rsidR="00C60B08" w:rsidRDefault="00C60B08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0BB89E83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300E421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50E9C66F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ED19496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ABD2EA5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030BFE68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68A7E2B3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B845963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43F09141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6F91DD77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322901E8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6F797734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037DFDF5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5441A159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470FC40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3C7DE98D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4E0B8627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7DA7D714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4D33E95B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9762C4E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37F4DB90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C89F655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1C042FE4" w14:textId="77777777" w:rsidR="00281597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456D2CE2" w14:textId="77777777" w:rsidR="00281597" w:rsidRPr="00E93F51" w:rsidRDefault="00281597" w:rsidP="00281597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3.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085FBDAF" w14:textId="77777777" w:rsidR="00281597" w:rsidRPr="00E93F51" w:rsidRDefault="00281597" w:rsidP="00281597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281597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5BFCA569" w14:textId="77777777" w:rsidR="00281597" w:rsidRPr="00E93F51" w:rsidRDefault="00281597" w:rsidP="00281597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066287E3" w14:textId="77777777" w:rsidR="00281597" w:rsidRPr="00E93F51" w:rsidRDefault="00281597" w:rsidP="00281597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0D03C1AC" w14:textId="77777777" w:rsidR="00281597" w:rsidRPr="00E93F51" w:rsidRDefault="00281597" w:rsidP="00281597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281597" w:rsidRPr="00E93F51" w14:paraId="481DFEDC" w14:textId="77777777" w:rsidTr="00B721A6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98B6B" w14:textId="77777777" w:rsidR="00281597" w:rsidRPr="00E93F51" w:rsidRDefault="00281597" w:rsidP="00B721A6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680F5" w14:textId="77777777" w:rsidR="00281597" w:rsidRPr="00E93F51" w:rsidRDefault="00281597" w:rsidP="00B721A6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281597" w:rsidRPr="00E93F51" w14:paraId="21360846" w14:textId="77777777" w:rsidTr="00B721A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1F2E" w14:textId="77777777" w:rsidR="00281597" w:rsidRPr="00E93F51" w:rsidRDefault="00281597" w:rsidP="00B721A6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F8B6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91F28" w14:textId="77777777" w:rsidR="00281597" w:rsidRPr="00E93F51" w:rsidRDefault="00281597" w:rsidP="00B721A6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D0E7C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736E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281597" w:rsidRPr="00E93F51" w14:paraId="77CDBDF1" w14:textId="77777777" w:rsidTr="00B721A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1995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A2CCA" w14:textId="77777777" w:rsidR="00281597" w:rsidRPr="00E93F51" w:rsidRDefault="00281597" w:rsidP="00B721A6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51C0D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1C9F5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D8E6C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281597" w:rsidRPr="00E93F51" w14:paraId="1D725B04" w14:textId="77777777" w:rsidTr="00B721A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B85E" w14:textId="77777777" w:rsidR="00281597" w:rsidRPr="00E93F51" w:rsidRDefault="00281597" w:rsidP="00B721A6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9C4B1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B8C47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12853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5029F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597" w:rsidRPr="00E93F51" w14:paraId="45902C56" w14:textId="77777777" w:rsidTr="00B721A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A6658" w14:textId="77777777" w:rsidR="00281597" w:rsidRPr="00E93F51" w:rsidRDefault="00281597" w:rsidP="00B72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51928" w14:textId="77777777" w:rsidR="00281597" w:rsidRPr="00E93F51" w:rsidRDefault="00281597" w:rsidP="00B721A6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EF8B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8370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0E4B" w14:textId="77777777" w:rsidR="00281597" w:rsidRPr="00E93F51" w:rsidRDefault="00281597" w:rsidP="00B721A6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4701B7F5" w14:textId="77777777" w:rsidR="00281597" w:rsidRPr="00E93F51" w:rsidRDefault="00281597" w:rsidP="00281597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7FB0E3E" w14:textId="77777777" w:rsidR="00281597" w:rsidRPr="00E93F51" w:rsidRDefault="00281597" w:rsidP="00281597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281597" w:rsidRPr="00E93F51" w14:paraId="68A48DF7" w14:textId="77777777" w:rsidTr="00B721A6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E2B00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281597" w:rsidRPr="00E93F51" w14:paraId="36C6B548" w14:textId="77777777" w:rsidTr="00B721A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73D50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7CDDA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0E8FB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281597" w:rsidRPr="00E93F51" w14:paraId="65845D03" w14:textId="77777777" w:rsidTr="00B721A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56BAB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030CD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CEC5C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281597" w:rsidRPr="00E93F51" w14:paraId="4EC0CC54" w14:textId="77777777" w:rsidTr="00B721A6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122E5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466C3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709D4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281597" w:rsidRPr="00E93F51" w14:paraId="3F2890E6" w14:textId="77777777" w:rsidTr="00B721A6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B82D7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74C9F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3336D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281597" w:rsidRPr="00E93F51" w14:paraId="1F32D459" w14:textId="77777777" w:rsidTr="00B721A6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B9928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F3F96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75635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281597" w:rsidRPr="00E93F51" w14:paraId="5659FF64" w14:textId="77777777" w:rsidTr="00B721A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90A6F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235B2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29A65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281597" w:rsidRPr="00E93F51" w14:paraId="6B9A3C00" w14:textId="77777777" w:rsidTr="00B721A6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782FB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8C75B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49E4F" w14:textId="77777777" w:rsidR="00281597" w:rsidRPr="00E93F51" w:rsidRDefault="00281597" w:rsidP="00B721A6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16FCBD25" w14:textId="041C3F87" w:rsidR="00281597" w:rsidRPr="00E93F51" w:rsidRDefault="00281597" w:rsidP="00281597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  <w:r w:rsidR="0012035D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Tyto informace si zajistí zhotovitel</w:t>
      </w:r>
    </w:p>
    <w:p w14:paraId="78F0F2B4" w14:textId="77777777" w:rsidR="00281597" w:rsidRPr="00E93F51" w:rsidRDefault="00281597" w:rsidP="00281597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4E9BE16B" w14:textId="77777777" w:rsidR="00281597" w:rsidRPr="00E93F51" w:rsidRDefault="00281597" w:rsidP="00281597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4D23B3CA" w14:textId="77777777" w:rsidR="00281597" w:rsidRPr="00E93F51" w:rsidRDefault="00281597" w:rsidP="00281597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DB53821" w14:textId="77777777" w:rsidR="00281597" w:rsidRPr="00E93F51" w:rsidRDefault="00281597" w:rsidP="00281597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C372B78" w14:textId="77777777" w:rsidR="00281597" w:rsidRPr="00E93F51" w:rsidRDefault="00281597" w:rsidP="00281597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B8B8092" w14:textId="77777777" w:rsidR="00281597" w:rsidRPr="00E93F51" w:rsidRDefault="00281597" w:rsidP="00281597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41D0430C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DA8ED50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A4FA9F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82F503F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A265A5A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C6503E4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A530976" w14:textId="77777777" w:rsidR="00281597" w:rsidRPr="00E93F51" w:rsidRDefault="00281597" w:rsidP="00281597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E9EC037" w14:textId="77777777" w:rsidR="00281597" w:rsidRPr="00E93F51" w:rsidRDefault="00281597" w:rsidP="00281597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B4101B5" w14:textId="77777777" w:rsidR="00281597" w:rsidRPr="00E93F51" w:rsidRDefault="00281597" w:rsidP="00281597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281597" w:rsidRPr="00E93F51" w14:paraId="16890362" w14:textId="77777777" w:rsidTr="00B721A6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B3CD1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281597" w:rsidRPr="00E93F51" w14:paraId="0AB895A4" w14:textId="77777777" w:rsidTr="00B721A6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377FB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EA690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81597" w:rsidRPr="00E93F51" w14:paraId="27B35824" w14:textId="77777777" w:rsidTr="00B721A6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17850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76B1" w14:textId="77777777" w:rsidR="00281597" w:rsidRPr="00E93F51" w:rsidRDefault="00281597" w:rsidP="00B721A6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281597" w:rsidRPr="00E93F51" w14:paraId="055648AB" w14:textId="77777777" w:rsidTr="00B721A6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92FE0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E7333" w14:textId="77777777" w:rsidR="00281597" w:rsidRPr="00E93F51" w:rsidRDefault="00281597" w:rsidP="00B721A6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281597" w:rsidRPr="00E93F51" w14:paraId="7CA5CF5B" w14:textId="77777777" w:rsidTr="00B721A6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E7321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39CDE" w14:textId="77777777" w:rsidR="00281597" w:rsidRPr="00E93F51" w:rsidRDefault="00281597" w:rsidP="00B721A6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81597" w:rsidRPr="00E93F51" w14:paraId="63061517" w14:textId="77777777" w:rsidTr="00B721A6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0C6AE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2B4FD" w14:textId="77777777" w:rsidR="00281597" w:rsidRPr="00E93F51" w:rsidRDefault="00281597" w:rsidP="00B721A6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281597" w:rsidRPr="00E93F51" w14:paraId="086F481E" w14:textId="77777777" w:rsidTr="00B721A6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1042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AC50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281597" w:rsidRPr="00E93F51" w14:paraId="469634EA" w14:textId="77777777" w:rsidTr="00B721A6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E4C37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E9EFC" w14:textId="77777777" w:rsidR="00281597" w:rsidRPr="00E93F51" w:rsidRDefault="00281597" w:rsidP="00B721A6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81597" w:rsidRPr="00E93F51" w14:paraId="5C64BA90" w14:textId="77777777" w:rsidTr="00B721A6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8C928" w14:textId="77777777" w:rsidR="00281597" w:rsidRPr="00E93F51" w:rsidRDefault="00281597" w:rsidP="00B721A6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9B655" w14:textId="77777777" w:rsidR="00281597" w:rsidRPr="00E93F51" w:rsidRDefault="00281597" w:rsidP="00B721A6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281597" w:rsidRPr="00E93F51" w14:paraId="663CF302" w14:textId="77777777" w:rsidTr="00B721A6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FE6E" w14:textId="77777777" w:rsidR="00281597" w:rsidRPr="00E93F51" w:rsidRDefault="00281597" w:rsidP="00B721A6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E8CD1" w14:textId="77777777" w:rsidR="00281597" w:rsidRPr="00E93F51" w:rsidRDefault="00281597" w:rsidP="00B721A6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281597" w:rsidRPr="00E93F51" w14:paraId="0868BA44" w14:textId="77777777" w:rsidTr="00B721A6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7FB3" w14:textId="77777777" w:rsidR="00281597" w:rsidRPr="00E93F51" w:rsidRDefault="00281597" w:rsidP="00B721A6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6C60C" w14:textId="77777777" w:rsidR="00281597" w:rsidRPr="00E93F51" w:rsidRDefault="00281597" w:rsidP="00B721A6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34BE7894" w14:textId="77777777" w:rsidR="00281597" w:rsidRPr="00E93F51" w:rsidRDefault="00281597" w:rsidP="00281597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B2E7A4" w14:textId="77777777" w:rsidR="00281597" w:rsidRPr="00E93F51" w:rsidRDefault="00281597" w:rsidP="004E5E64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281597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D7DA" w14:textId="212B5C93" w:rsidR="0006672B" w:rsidRPr="0006672B" w:rsidRDefault="0006672B" w:rsidP="0006672B">
    <w:pPr>
      <w:pStyle w:val="Zhlav"/>
      <w:tabs>
        <w:tab w:val="clear" w:pos="4536"/>
        <w:tab w:val="clear" w:pos="9072"/>
        <w:tab w:val="left" w:pos="7713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 xml:space="preserve">                                                                                                                             </w:t>
    </w:r>
    <w:r w:rsidRPr="0006672B">
      <w:rPr>
        <w:rFonts w:ascii="Arial" w:hAnsi="Arial" w:cs="Arial"/>
        <w:i/>
        <w:sz w:val="20"/>
        <w:szCs w:val="20"/>
      </w:rPr>
      <w:t>UID:</w:t>
    </w:r>
    <w:r w:rsidR="00E21C38">
      <w:rPr>
        <w:rFonts w:ascii="Arial" w:hAnsi="Arial" w:cs="Arial"/>
        <w:i/>
        <w:sz w:val="20"/>
        <w:szCs w:val="20"/>
      </w:rPr>
      <w:t xml:space="preserve"> </w:t>
    </w:r>
    <w:r w:rsidR="00CC4B39" w:rsidRPr="00CC4B39">
      <w:rPr>
        <w:rFonts w:ascii="Arial" w:hAnsi="Arial" w:cs="Arial"/>
        <w:i/>
        <w:sz w:val="20"/>
        <w:szCs w:val="20"/>
      </w:rPr>
      <w:t>spudms00000014988597</w:t>
    </w:r>
  </w:p>
  <w:p w14:paraId="3320F9DB" w14:textId="02188A18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06672B">
      <w:rPr>
        <w:i/>
        <w:sz w:val="20"/>
        <w:szCs w:val="20"/>
      </w:rPr>
      <w:t xml:space="preserve"> </w:t>
    </w:r>
    <w:r w:rsidR="00E21C38">
      <w:rPr>
        <w:i/>
        <w:sz w:val="20"/>
        <w:szCs w:val="20"/>
      </w:rPr>
      <w:t xml:space="preserve">                  </w:t>
    </w:r>
    <w:r w:rsidRPr="004652E6">
      <w:rPr>
        <w:rFonts w:ascii="Arial" w:hAnsi="Arial" w:cs="Arial"/>
        <w:i/>
        <w:sz w:val="20"/>
        <w:szCs w:val="20"/>
      </w:rPr>
      <w:t>Č.j. objednatele:</w:t>
    </w:r>
    <w:r w:rsidR="00E21C38">
      <w:rPr>
        <w:rFonts w:ascii="Arial" w:hAnsi="Arial" w:cs="Arial"/>
        <w:i/>
        <w:sz w:val="20"/>
        <w:szCs w:val="20"/>
      </w:rPr>
      <w:t xml:space="preserve"> </w:t>
    </w:r>
    <w:r w:rsidR="00CC4B39" w:rsidRPr="00CC4B39">
      <w:rPr>
        <w:rFonts w:ascii="Arial" w:hAnsi="Arial" w:cs="Arial"/>
        <w:i/>
        <w:sz w:val="20"/>
        <w:szCs w:val="20"/>
      </w:rPr>
      <w:t>1220-2024-514202</w:t>
    </w:r>
  </w:p>
  <w:p w14:paraId="131E08A6" w14:textId="6A0E0A5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06672B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        </w:t>
    </w:r>
    <w:r w:rsidR="004B6E4A">
      <w:rPr>
        <w:rFonts w:ascii="Arial" w:hAnsi="Arial" w:cs="Arial"/>
        <w:i/>
        <w:sz w:val="20"/>
        <w:szCs w:val="20"/>
      </w:rPr>
      <w:t xml:space="preserve"> 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3647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672B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035D"/>
    <w:rsid w:val="0013196B"/>
    <w:rsid w:val="001342B9"/>
    <w:rsid w:val="0013743F"/>
    <w:rsid w:val="001425F7"/>
    <w:rsid w:val="0014427A"/>
    <w:rsid w:val="00146237"/>
    <w:rsid w:val="00151904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2F22"/>
    <w:rsid w:val="00193452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1FE5"/>
    <w:rsid w:val="001C2A32"/>
    <w:rsid w:val="001C2F2B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1597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30C3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0D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58B5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4B73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57C3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8595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E4A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E64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6606"/>
    <w:rsid w:val="005E69C8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A7EFD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09E3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41"/>
    <w:rsid w:val="00724BEA"/>
    <w:rsid w:val="00725FD7"/>
    <w:rsid w:val="00736627"/>
    <w:rsid w:val="00737E56"/>
    <w:rsid w:val="00741D67"/>
    <w:rsid w:val="00743708"/>
    <w:rsid w:val="00743BE9"/>
    <w:rsid w:val="00744E82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2056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1A7C"/>
    <w:rsid w:val="008B4419"/>
    <w:rsid w:val="008B6CA7"/>
    <w:rsid w:val="008C2111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1CE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2E93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122"/>
    <w:rsid w:val="00A874AF"/>
    <w:rsid w:val="00A87AFD"/>
    <w:rsid w:val="00A90FAC"/>
    <w:rsid w:val="00A936C4"/>
    <w:rsid w:val="00A9420E"/>
    <w:rsid w:val="00A96054"/>
    <w:rsid w:val="00AA6285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2A5E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829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6972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5DE9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4B39"/>
    <w:rsid w:val="00CC54C5"/>
    <w:rsid w:val="00CC618E"/>
    <w:rsid w:val="00CC73C8"/>
    <w:rsid w:val="00CC7B7E"/>
    <w:rsid w:val="00CD107E"/>
    <w:rsid w:val="00CD14B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0979"/>
    <w:rsid w:val="00D71107"/>
    <w:rsid w:val="00D711C5"/>
    <w:rsid w:val="00D713DE"/>
    <w:rsid w:val="00D82157"/>
    <w:rsid w:val="00D824C4"/>
    <w:rsid w:val="00D84EEB"/>
    <w:rsid w:val="00D85485"/>
    <w:rsid w:val="00D901F5"/>
    <w:rsid w:val="00D9109A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B6B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1C38"/>
    <w:rsid w:val="00E22CD4"/>
    <w:rsid w:val="00E233FC"/>
    <w:rsid w:val="00E23A40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3982"/>
    <w:rsid w:val="00E74254"/>
    <w:rsid w:val="00E77656"/>
    <w:rsid w:val="00E80473"/>
    <w:rsid w:val="00E80721"/>
    <w:rsid w:val="00E85C03"/>
    <w:rsid w:val="00E91766"/>
    <w:rsid w:val="00E9221C"/>
    <w:rsid w:val="00E93368"/>
    <w:rsid w:val="00E93F51"/>
    <w:rsid w:val="00E94EB0"/>
    <w:rsid w:val="00E96C05"/>
    <w:rsid w:val="00EA0F26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5BC7"/>
    <w:rsid w:val="00EE7FD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E6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4772</Words>
  <Characters>28273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Šťastná Markéta Ing.</cp:lastModifiedBy>
  <cp:revision>2</cp:revision>
  <cp:lastPrinted>2017-03-30T06:05:00Z</cp:lastPrinted>
  <dcterms:created xsi:type="dcterms:W3CDTF">2024-11-01T05:53:00Z</dcterms:created>
  <dcterms:modified xsi:type="dcterms:W3CDTF">2024-11-01T05:53:00Z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