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 souladu s § 2586 a násl. zákona č. 89/2012 Sb., občanského zákoníku, ve znění pozdějších předpisů (dále jen „občanský zákoník“), (dále jen „smlouva“)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12700</wp:posOffset>
                </wp:positionV>
                <wp:extent cx="1410970" cy="39624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0970" cy="396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06-O-4850-107291/21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231/2021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6.59999999999999pt;margin-top:1.pt;width:111.10000000000001pt;height:31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06-O-4850-107291/21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231/2021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Název díla: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Bílina po Ervěnickém koridoru – revitalizace – PD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430" w:left="1389" w:right="1389" w:bottom="1852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65100" distB="0" distL="0" distR="0" simplePos="0" relativeHeight="125829380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165100</wp:posOffset>
                </wp:positionV>
                <wp:extent cx="2072640" cy="398653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2640" cy="398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SMLUVNÍ STRAN Y: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450000000000003pt;margin-top:13.pt;width:163.20000000000002pt;height:313.90000000000003pt;z-index:-125829373;mso-wrap-distance-left:0;mso-wrap-distance-top:13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STRAN Y: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8315" distB="3273425" distL="0" distR="0" simplePos="0" relativeHeight="12582938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488315</wp:posOffset>
                </wp:positionV>
                <wp:extent cx="2225040" cy="3898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7.69999999999999pt;margin-top:38.450000000000003pt;width:175.20000000000002pt;height:30.699999999999999pt;z-index:-125829371;mso-wrap-distance-left:0;mso-wrap-distance-top:38.450000000000003pt;mso-wrap-distance-right:0;mso-wrap-distance-bottom:25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835150" distB="1286510" distL="0" distR="0" simplePos="0" relativeHeight="125829384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1835150</wp:posOffset>
                </wp:positionV>
                <wp:extent cx="2953385" cy="10299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3385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Ústí nad Labem, oddíl A, vložka 13052.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7.69999999999999pt;margin-top:144.5pt;width:232.55000000000001pt;height:81.100000000000009pt;z-index:-125829369;mso-wrap-distance-left:0;mso-wrap-distance-top:144.5pt;mso-wrap-distance-right:0;mso-wrap-distance-bottom:101.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Ústí nad Labem, oddíl A, vložka 13052.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38525" distB="323215" distL="0" distR="0" simplePos="0" relativeHeight="125829386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3438525</wp:posOffset>
                </wp:positionV>
                <wp:extent cx="2727960" cy="38989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2796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Vodohospodářský rozvoj a výstavba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Nábřežní 90/4, 150 56 Praha 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69999999999999pt;margin-top:270.75pt;width:214.80000000000001pt;height:30.699999999999999pt;z-index:-125829367;mso-wrap-distance-left:0;mso-wrap-distance-top:270.75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Vodohospodářský rozvoj a výstavba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Nábřežní 90/4, 150 56 Praha 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10" w:after="1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57" w:left="0" w:right="0" w:bottom="153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81330" distL="114300" distR="2016125" simplePos="0" relativeHeight="125829388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643255</wp:posOffset>
                </wp:positionV>
                <wp:extent cx="841375" cy="38735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471 16 901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CZ47116901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7.69999999999999pt;margin-top:50.649999999999999pt;width:66.25pt;height:30.5pt;z-index:-125829365;mso-wrap-distance-left:9.pt;mso-wrap-distance-right:158.75pt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471 16 901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CZ47116901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0080" distB="0" distL="117475" distR="114300" simplePos="0" relativeHeight="125829390" behindDoc="0" locked="0" layoutInCell="1" allowOverlap="1">
                <wp:simplePos x="0" y="0"/>
                <wp:positionH relativeFrom="page">
                  <wp:posOffset>3402965</wp:posOffset>
                </wp:positionH>
                <wp:positionV relativeFrom="paragraph">
                  <wp:posOffset>1283335</wp:posOffset>
                </wp:positionV>
                <wp:extent cx="2740025" cy="22860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4002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Městský soud v Praze, oddíl B, vložka 1930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7.94999999999999pt;margin-top:101.05pt;width:215.75pt;height:18.pt;z-index:-125829363;mso-wrap-distance-left:9.25pt;mso-wrap-distance-top:50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Městský soud v Praze, oddíl B, vložka 1930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zástupce ve věcech technických: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zhotovitele zastupuje: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této smlouvy se uzavírá na základě závěrů jednání mezi objednatelem a zhotovitelem ze dne 11.10.2024.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č. 10 se mění III. TERMÍNY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dle dodatku č. 9: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části díla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200" w:line="240" w:lineRule="auto"/>
        <w:ind w:left="0" w:right="0" w:firstLine="16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 bez zbytečného odkladu po uzavření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200" w:line="240" w:lineRule="auto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geodetického zaměření do 14 týdnů po uzavření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dle bodu 1 čl. I– zpracování variantního řešení a SWOT analýzy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29.4.2022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dle bodu 2 čl. I– zajištění podkladů pro zajištění stability silničního tělesa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29.8.2022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PD k projednání (1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30.09.2022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PD ve stupni DPS (2 x tištěné + 1 x elektronicky) po projednání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78" w:val="left"/>
        </w:tabs>
        <w:bidi w:val="0"/>
        <w:spacing w:before="0" w:after="20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  <w:t>nejpozději do 28.03.2024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720" w:right="0" w:hanging="72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PD (6 x tištěné + 2 x elektronicky): po schválení v dokumentační komisi (dále jen DK):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2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30.10.2024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části díla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200" w:line="240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 bez zbytečného odkladu po uzavření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200" w:line="240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geodetického zaměření do 14 týdnů po uzavření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dle bodu 1 čl. I– zpracování variantního řešení a SWOT analýzy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29.4.2022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dle bodu 2 čl. I– zajištění podkladů pro zajištění stability silničního tělesa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29.8.2022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PD k projednání (1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30.09.2022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0" w:line="240" w:lineRule="auto"/>
        <w:ind w:left="0" w:right="0" w:firstLine="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– předání PD ve stupni DPS (2 x tištěné + 1 x elektronicky) po projednání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78" w:val="left"/>
        </w:tabs>
        <w:bidi w:val="0"/>
        <w:spacing w:before="0" w:after="20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  <w:t>nejpozději do 28.03.2024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87" w:val="left"/>
        </w:tabs>
        <w:bidi w:val="0"/>
        <w:spacing w:before="0" w:after="200" w:line="240" w:lineRule="auto"/>
        <w:ind w:left="720" w:right="0" w:hanging="72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PD (6 x tištěné + 2 x elektronicky): po schválení v dokumentační komisi (dále jen DK):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14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15.11.2024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10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10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10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10 smlouvy nabývá platnosti dnem jejího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57" w:left="1389" w:right="1389" w:bottom="153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3200" distB="0" distL="0" distR="0" simplePos="0" relativeHeight="125829392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203200</wp:posOffset>
                </wp:positionV>
                <wp:extent cx="1999615" cy="2286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96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Chomutov, dne …………………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9.600000000000009pt;margin-top:16.pt;width:157.45000000000002pt;height:18.pt;z-index:-125829361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Chomutov, dne 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3200" distB="0" distL="0" distR="0" simplePos="0" relativeHeight="125829394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203200</wp:posOffset>
                </wp:positionV>
                <wp:extent cx="1953895" cy="2286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389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1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Praze, dne ………………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17.30000000000001pt;margin-top:16.pt;width:153.84999999999999pt;height:18.pt;z-index:-125829359;mso-wrap-distance-left:0;mso-wrap-distance-top:1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1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 ………………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1" w:after="10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57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993265" cy="707390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objednatel (podpis, razítko)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9.600000000000009pt;margin-top:1.pt;width:156.95000000000002pt;height:55.700000000000003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objednatel (podpis, razítko)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místopředseda představenstva Vodohospodářský rozvoj a výstavba a.s. zhotovitel (podpis, razítko)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Vodohospodářský rozvoj a výstavba a.s. zhotovitel (podpis, razítko)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57" w:left="1394" w:right="1389" w:bottom="142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979805</wp:posOffset>
              </wp:positionH>
              <wp:positionV relativeFrom="page">
                <wp:posOffset>9789795</wp:posOffset>
              </wp:positionV>
              <wp:extent cx="5684520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84520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5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Smlouva o dílo</w:t>
                            <w:tab/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7.150000000000006pt;margin-top:770.85000000000002pt;width:447.60000000000002pt;height:12.9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Smlouva o dílo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4801870</wp:posOffset>
              </wp:positionH>
              <wp:positionV relativeFrom="page">
                <wp:posOffset>435610</wp:posOffset>
              </wp:positionV>
              <wp:extent cx="1859280" cy="1739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928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10 k SoD č. 231/2021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78.10000000000002pt;margin-top:34.300000000000004pt;width:146.4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10 k SoD č. 231/2021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