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CB70CD">
        <w:rPr>
          <w:rFonts w:cs="Arial"/>
          <w:b/>
          <w:sz w:val="24"/>
        </w:rPr>
        <w:t>3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66B87">
        <w:rPr>
          <w:rFonts w:ascii="Arial-BoldMT" w:hAnsi="Arial-BoldMT"/>
          <w:b/>
          <w:bCs/>
          <w:color w:val="000000"/>
          <w:sz w:val="24"/>
        </w:rPr>
        <w:t>127029</w:t>
      </w:r>
      <w:r w:rsidR="002C7763">
        <w:rPr>
          <w:rFonts w:ascii="Arial-BoldMT" w:hAnsi="Arial-BoldMT"/>
          <w:b/>
          <w:bCs/>
          <w:color w:val="000000"/>
          <w:sz w:val="24"/>
        </w:rPr>
        <w:t>1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8576DB">
        <w:t>XXXXXXXXXXXXXXX</w:t>
      </w:r>
      <w:bookmarkEnd w:id="1"/>
      <w:r w:rsidR="008576DB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8576DB">
        <w:t>XXXXXXXXXXXXXXX</w:t>
      </w:r>
      <w:r w:rsidR="008576DB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7C7555" w:rsidRDefault="007C7555" w:rsidP="00D34986">
      <w:pPr>
        <w:jc w:val="both"/>
        <w:rPr>
          <w:rFonts w:cs="Arial"/>
        </w:rPr>
      </w:pP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CB70CD">
        <w:rPr>
          <w:rFonts w:cs="Arial"/>
        </w:rPr>
        <w:t>3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29445A">
        <w:rPr>
          <w:rFonts w:cs="Arial"/>
          <w:szCs w:val="20"/>
        </w:rPr>
        <w:t>20. 7</w:t>
      </w:r>
      <w:r w:rsidR="00C70FA9" w:rsidRPr="00C70FA9">
        <w:rPr>
          <w:rFonts w:cs="Arial"/>
          <w:szCs w:val="20"/>
        </w:rPr>
        <w:t>.</w:t>
      </w:r>
      <w:r w:rsidR="00B83FFD">
        <w:rPr>
          <w:rFonts w:cs="Arial"/>
          <w:szCs w:val="20"/>
        </w:rPr>
        <w:t xml:space="preserve"> </w:t>
      </w:r>
      <w:r w:rsidR="00C70FA9" w:rsidRPr="00C70FA9">
        <w:rPr>
          <w:rFonts w:cs="Arial"/>
          <w:szCs w:val="20"/>
        </w:rPr>
        <w:t>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66B87">
        <w:rPr>
          <w:rFonts w:cs="Arial"/>
          <w:szCs w:val="20"/>
        </w:rPr>
        <w:t>127029</w:t>
      </w:r>
      <w:r w:rsidR="002C7763">
        <w:rPr>
          <w:rFonts w:cs="Arial"/>
          <w:szCs w:val="20"/>
        </w:rPr>
        <w:t>1</w:t>
      </w:r>
      <w:r w:rsidR="00E25E86" w:rsidRPr="00E25E86">
        <w:rPr>
          <w:rFonts w:cs="Arial"/>
          <w:szCs w:val="20"/>
        </w:rPr>
        <w:t xml:space="preserve">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 w:rsidRPr="00C70FA9">
        <w:rPr>
          <w:rFonts w:cs="Arial"/>
          <w:szCs w:val="20"/>
        </w:rPr>
        <w:t xml:space="preserve">Škoda </w:t>
      </w:r>
      <w:r w:rsidR="00C70FA9" w:rsidRPr="00C70FA9">
        <w:rPr>
          <w:rFonts w:cs="Arial"/>
          <w:sz w:val="18"/>
          <w:szCs w:val="18"/>
        </w:rPr>
        <w:t xml:space="preserve">Superb 2.0 TDI </w:t>
      </w:r>
      <w:proofErr w:type="spellStart"/>
      <w:r w:rsidR="00C70FA9" w:rsidRPr="00C70FA9">
        <w:rPr>
          <w:rFonts w:cs="Arial"/>
          <w:sz w:val="18"/>
          <w:szCs w:val="18"/>
        </w:rPr>
        <w:t>Ambi</w:t>
      </w:r>
      <w:proofErr w:type="spellEnd"/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391E4E" w:rsidRPr="00391E4E">
        <w:rPr>
          <w:rFonts w:ascii="ArialMT" w:hAnsi="ArialMT"/>
          <w:color w:val="000000"/>
          <w:szCs w:val="20"/>
        </w:rPr>
        <w:t>TMBCR7NP2M7023200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391E4E" w:rsidRPr="00391E4E">
        <w:rPr>
          <w:rFonts w:ascii="ArialMT" w:hAnsi="ArialMT"/>
          <w:color w:val="000000"/>
          <w:szCs w:val="20"/>
        </w:rPr>
        <w:t>8AK4705</w:t>
      </w:r>
      <w:r w:rsidR="0096338E">
        <w:rPr>
          <w:rStyle w:val="fontstyle01"/>
        </w:rPr>
        <w:t>.</w:t>
      </w:r>
      <w:r w:rsidR="005D3D3B">
        <w:rPr>
          <w:rStyle w:val="fontstyle01"/>
        </w:rPr>
        <w:t xml:space="preserve"> Doba trvání Smlouvy je 48 měsíců.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5D3D3B" w:rsidRDefault="005D3D3B" w:rsidP="005D3D3B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11. 2024, s čímž obě smluvní strany souhlasí.</w:t>
      </w:r>
    </w:p>
    <w:p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:rsidR="00D6067C" w:rsidRPr="00A06564" w:rsidRDefault="005D3D3B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="00C70FA9"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>
        <w:rPr>
          <w:rFonts w:cs="Arial"/>
          <w:b/>
        </w:rPr>
        <w:t xml:space="preserve"> </w:t>
      </w:r>
      <w:r w:rsidR="00A06564" w:rsidRPr="00A06564">
        <w:rPr>
          <w:rFonts w:cs="Arial"/>
        </w:rPr>
        <w:t>51 měsíců</w:t>
      </w:r>
      <w:r w:rsidR="00C70FA9">
        <w:rPr>
          <w:rFonts w:cs="Arial"/>
          <w:b/>
        </w:rPr>
        <w:tab/>
      </w:r>
    </w:p>
    <w:p w:rsidR="005D3D3B" w:rsidRPr="00F52E06" w:rsidRDefault="005D3D3B" w:rsidP="005D3D3B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 w:rsidRPr="00A06564">
        <w:rPr>
          <w:rFonts w:cs="Arial"/>
        </w:rPr>
        <w:t>1</w:t>
      </w:r>
      <w:r>
        <w:rPr>
          <w:rFonts w:cs="Arial"/>
        </w:rPr>
        <w:t>8</w:t>
      </w:r>
      <w:r w:rsidRPr="00A06564">
        <w:rPr>
          <w:rFonts w:cs="Arial"/>
        </w:rPr>
        <w:t>.</w:t>
      </w:r>
      <w:r>
        <w:rPr>
          <w:rFonts w:cs="Arial"/>
        </w:rPr>
        <w:t xml:space="preserve"> </w:t>
      </w:r>
      <w:r w:rsidRPr="00A06564">
        <w:rPr>
          <w:rFonts w:cs="Arial"/>
        </w:rPr>
        <w:t>2.</w:t>
      </w:r>
      <w:r>
        <w:rPr>
          <w:rFonts w:cs="Arial"/>
        </w:rPr>
        <w:t xml:space="preserve"> </w:t>
      </w:r>
      <w:r w:rsidRPr="00A06564">
        <w:rPr>
          <w:rFonts w:cs="Arial"/>
        </w:rPr>
        <w:t>2025</w:t>
      </w:r>
    </w:p>
    <w:p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391E4E">
        <w:rPr>
          <w:rFonts w:cs="Arial"/>
        </w:rPr>
        <w:t xml:space="preserve"> 60 563 </w:t>
      </w:r>
      <w:r w:rsidR="00EC7296" w:rsidRPr="00A06564">
        <w:rPr>
          <w:rFonts w:cs="Arial"/>
          <w:bCs/>
        </w:rPr>
        <w:t>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E2033F">
        <w:rPr>
          <w:rFonts w:cs="Arial"/>
        </w:rPr>
        <w:t>Stávající m</w:t>
      </w:r>
      <w:r w:rsidR="006313AC" w:rsidRPr="00E2033F">
        <w:rPr>
          <w:rFonts w:cs="Arial"/>
        </w:rPr>
        <w:t>ěsíční leasingová splátka bez DPH:</w:t>
      </w:r>
      <w:r w:rsidR="006313AC" w:rsidRPr="00A06564">
        <w:rPr>
          <w:rFonts w:cs="Arial"/>
        </w:rPr>
        <w:tab/>
      </w:r>
      <w:r w:rsidR="00A821AE" w:rsidRPr="00A06564">
        <w:rPr>
          <w:rFonts w:cs="Arial"/>
          <w:bCs/>
        </w:rPr>
        <w:t xml:space="preserve"> </w:t>
      </w:r>
      <w:r w:rsidR="00215596" w:rsidRPr="00A06564">
        <w:rPr>
          <w:rFonts w:cs="Arial"/>
          <w:bCs/>
        </w:rPr>
        <w:t xml:space="preserve"> </w:t>
      </w:r>
      <w:r w:rsidR="00A358A1" w:rsidRPr="00A06564">
        <w:rPr>
          <w:rFonts w:cs="Arial"/>
          <w:bCs/>
        </w:rPr>
        <w:t xml:space="preserve"> </w:t>
      </w:r>
      <w:r w:rsidR="005F6E67" w:rsidRPr="00A06564">
        <w:rPr>
          <w:rFonts w:cs="Arial"/>
          <w:bCs/>
        </w:rPr>
        <w:t xml:space="preserve"> </w:t>
      </w:r>
      <w:r w:rsidR="00A06564" w:rsidRPr="00A06564">
        <w:rPr>
          <w:rFonts w:cs="Arial"/>
          <w:bCs/>
        </w:rPr>
        <w:tab/>
      </w:r>
      <w:r w:rsidR="00366B87">
        <w:rPr>
          <w:rFonts w:cs="Arial"/>
          <w:bCs/>
        </w:rPr>
        <w:t xml:space="preserve"> </w:t>
      </w:r>
      <w:r w:rsidR="00391E4E">
        <w:rPr>
          <w:rFonts w:cs="Arial"/>
          <w:bCs/>
        </w:rPr>
        <w:t>17 221,22</w:t>
      </w:r>
      <w:r w:rsidR="00E77498" w:rsidRPr="00A06564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Kč</w:t>
      </w:r>
    </w:p>
    <w:p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366B87">
        <w:rPr>
          <w:rFonts w:cs="Arial"/>
          <w:bCs/>
        </w:rPr>
        <w:t xml:space="preserve"> </w:t>
      </w:r>
      <w:r w:rsidR="00391E4E">
        <w:rPr>
          <w:rFonts w:cs="Arial"/>
          <w:bCs/>
        </w:rPr>
        <w:t>17 221,22</w:t>
      </w:r>
      <w:r w:rsidR="00391E4E" w:rsidRPr="00A06564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Kč</w:t>
      </w:r>
    </w:p>
    <w:p w:rsidR="00E2033F" w:rsidRDefault="00E2033F" w:rsidP="00E2033F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534AF5">
        <w:rPr>
          <w:rFonts w:cs="Arial"/>
          <w:b/>
        </w:rPr>
        <w:t xml:space="preserve">Měsíční leasingová splátka </w:t>
      </w:r>
      <w:r>
        <w:rPr>
          <w:rFonts w:cs="Arial"/>
          <w:b/>
        </w:rPr>
        <w:t>vč.</w:t>
      </w:r>
      <w:r w:rsidRPr="00534AF5">
        <w:rPr>
          <w:rFonts w:cs="Arial"/>
          <w:b/>
        </w:rPr>
        <w:t xml:space="preserve"> DPH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  <w:r>
        <w:rPr>
          <w:rFonts w:cs="Arial"/>
          <w:bCs/>
        </w:rPr>
        <w:t>20 837,68</w:t>
      </w:r>
      <w:r w:rsidRPr="00A06564">
        <w:rPr>
          <w:rFonts w:cs="Arial"/>
          <w:bCs/>
        </w:rPr>
        <w:t xml:space="preserve"> 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E2033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lastRenderedPageBreak/>
        <w:t xml:space="preserve">Tento Dodatek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7C7555">
        <w:rPr>
          <w:rFonts w:cs="Arial"/>
          <w:color w:val="000000"/>
        </w:rPr>
        <w:t>listopadu</w:t>
      </w:r>
      <w:r w:rsidR="007C755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C70FA9" w:rsidRPr="00C70FA9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CB70CD">
        <w:rPr>
          <w:rFonts w:cs="Arial"/>
          <w:color w:val="000000"/>
        </w:rPr>
        <w:t>3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8576DB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8576DB">
        <w:t>XXXXXXXXXXXXXXX</w:t>
      </w:r>
      <w:r w:rsidR="008576DB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BF" w:rsidRDefault="000722BF">
      <w:r>
        <w:separator/>
      </w:r>
    </w:p>
  </w:endnote>
  <w:endnote w:type="continuationSeparator" w:id="0">
    <w:p w:rsidR="000722BF" w:rsidRDefault="000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BF" w:rsidRDefault="000722BF">
      <w:r>
        <w:separator/>
      </w:r>
    </w:p>
  </w:footnote>
  <w:footnote w:type="continuationSeparator" w:id="0">
    <w:p w:rsidR="000722BF" w:rsidRDefault="000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1BB2"/>
    <w:rsid w:val="00036C6C"/>
    <w:rsid w:val="00042DF8"/>
    <w:rsid w:val="000539F2"/>
    <w:rsid w:val="00055EDC"/>
    <w:rsid w:val="0005638A"/>
    <w:rsid w:val="000576A4"/>
    <w:rsid w:val="00060EB7"/>
    <w:rsid w:val="00066687"/>
    <w:rsid w:val="000722BF"/>
    <w:rsid w:val="000A4B40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70607"/>
    <w:rsid w:val="00271AE1"/>
    <w:rsid w:val="00272E74"/>
    <w:rsid w:val="00274E04"/>
    <w:rsid w:val="00277DB1"/>
    <w:rsid w:val="0028616E"/>
    <w:rsid w:val="0029445A"/>
    <w:rsid w:val="002952AB"/>
    <w:rsid w:val="002B24A0"/>
    <w:rsid w:val="002B5FDB"/>
    <w:rsid w:val="002C573A"/>
    <w:rsid w:val="002C7763"/>
    <w:rsid w:val="002D4E13"/>
    <w:rsid w:val="002E251C"/>
    <w:rsid w:val="0030357E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B87"/>
    <w:rsid w:val="00366D1A"/>
    <w:rsid w:val="00367696"/>
    <w:rsid w:val="003828BE"/>
    <w:rsid w:val="00391E4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3F7829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D3D3B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C1424"/>
    <w:rsid w:val="006E4E19"/>
    <w:rsid w:val="006F3A96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C7555"/>
    <w:rsid w:val="007E5205"/>
    <w:rsid w:val="008011ED"/>
    <w:rsid w:val="0080799A"/>
    <w:rsid w:val="00813D59"/>
    <w:rsid w:val="00817314"/>
    <w:rsid w:val="008222B1"/>
    <w:rsid w:val="008375D9"/>
    <w:rsid w:val="00855466"/>
    <w:rsid w:val="008576DB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84398"/>
    <w:rsid w:val="00992437"/>
    <w:rsid w:val="009A02A6"/>
    <w:rsid w:val="009E1916"/>
    <w:rsid w:val="00A0113B"/>
    <w:rsid w:val="00A06564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A6E7B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83FFD"/>
    <w:rsid w:val="00B92A5D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B70CD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6426"/>
    <w:rsid w:val="00DD7F1B"/>
    <w:rsid w:val="00DE3BA5"/>
    <w:rsid w:val="00DE7818"/>
    <w:rsid w:val="00DF1257"/>
    <w:rsid w:val="00E01864"/>
    <w:rsid w:val="00E11FC2"/>
    <w:rsid w:val="00E1327F"/>
    <w:rsid w:val="00E2033F"/>
    <w:rsid w:val="00E20DE5"/>
    <w:rsid w:val="00E25251"/>
    <w:rsid w:val="00E25E86"/>
    <w:rsid w:val="00E36E60"/>
    <w:rsid w:val="00E37000"/>
    <w:rsid w:val="00E53F9C"/>
    <w:rsid w:val="00E56964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7FF8-B5DE-4C0F-A9B4-24452449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2024-10-23T14:02:00Z</cp:lastPrinted>
  <dcterms:created xsi:type="dcterms:W3CDTF">2024-10-31T09:18:00Z</dcterms:created>
  <dcterms:modified xsi:type="dcterms:W3CDTF">2024-10-31T09:18:00Z</dcterms:modified>
</cp:coreProperties>
</file>