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76B4A" w14:textId="3B3185CD" w:rsidR="00903C7E" w:rsidRPr="00444B2E" w:rsidRDefault="00903C7E" w:rsidP="00903C7E">
      <w:pPr>
        <w:pStyle w:val="Zkladntext"/>
        <w:jc w:val="center"/>
        <w:rPr>
          <w:rFonts w:ascii="Calibri" w:hAnsi="Calibri" w:cs="Calibri"/>
          <w:b/>
          <w:sz w:val="20"/>
          <w:szCs w:val="20"/>
          <w:lang w:val="cs-CZ"/>
        </w:rPr>
      </w:pPr>
      <w:r w:rsidRPr="00444B2E">
        <w:rPr>
          <w:rFonts w:ascii="Calibri" w:hAnsi="Calibri" w:cs="Calibri"/>
          <w:b/>
          <w:sz w:val="20"/>
          <w:szCs w:val="20"/>
          <w:lang w:val="cs-CZ"/>
        </w:rPr>
        <w:t>Obchodní podmínky Deloitte CE</w:t>
      </w:r>
    </w:p>
    <w:p w14:paraId="5BEBEAB2" w14:textId="77777777" w:rsidR="00903C7E" w:rsidRPr="00444B2E" w:rsidRDefault="00903C7E" w:rsidP="00903C7E">
      <w:pPr>
        <w:keepNext/>
        <w:numPr>
          <w:ilvl w:val="0"/>
          <w:numId w:val="12"/>
        </w:numPr>
        <w:spacing w:after="120" w:line="120" w:lineRule="atLeast"/>
        <w:ind w:left="0" w:right="70" w:hanging="357"/>
        <w:jc w:val="both"/>
        <w:outlineLvl w:val="0"/>
        <w:rPr>
          <w:rFonts w:ascii="Calibri" w:hAnsi="Calibri" w:cs="Calibri"/>
          <w:b/>
          <w:kern w:val="28"/>
          <w:sz w:val="16"/>
          <w:szCs w:val="16"/>
          <w:lang w:val="cs-CZ"/>
        </w:rPr>
        <w:sectPr w:rsidR="00903C7E" w:rsidRPr="00444B2E" w:rsidSect="00F41AD7">
          <w:headerReference w:type="default" r:id="rId11"/>
          <w:pgSz w:w="11906" w:h="16838" w:code="9"/>
          <w:pgMar w:top="1417" w:right="1417" w:bottom="1417" w:left="1417" w:header="680" w:footer="567" w:gutter="0"/>
          <w:cols w:space="284"/>
          <w:docGrid w:linePitch="360"/>
        </w:sectPr>
      </w:pPr>
    </w:p>
    <w:p w14:paraId="04978F67" w14:textId="77777777" w:rsidR="00903C7E" w:rsidRPr="00444B2E" w:rsidRDefault="00903C7E" w:rsidP="00903C7E">
      <w:pPr>
        <w:keepNext/>
        <w:numPr>
          <w:ilvl w:val="0"/>
          <w:numId w:val="12"/>
        </w:numPr>
        <w:spacing w:after="120" w:line="120" w:lineRule="atLeast"/>
        <w:ind w:left="568" w:hanging="284"/>
        <w:jc w:val="both"/>
        <w:outlineLvl w:val="0"/>
        <w:rPr>
          <w:rFonts w:ascii="Calibri" w:hAnsi="Calibri" w:cs="Calibri"/>
          <w:b/>
          <w:kern w:val="28"/>
          <w:sz w:val="16"/>
          <w:szCs w:val="16"/>
        </w:rPr>
      </w:pPr>
      <w:proofErr w:type="spellStart"/>
      <w:r w:rsidRPr="00444B2E">
        <w:rPr>
          <w:rFonts w:ascii="Calibri" w:hAnsi="Calibri" w:cs="Calibri"/>
          <w:b/>
          <w:kern w:val="28"/>
          <w:sz w:val="16"/>
          <w:szCs w:val="16"/>
        </w:rPr>
        <w:t>Smlouva</w:t>
      </w:r>
      <w:proofErr w:type="spellEnd"/>
      <w:r w:rsidRPr="00444B2E">
        <w:rPr>
          <w:rFonts w:ascii="Calibri" w:hAnsi="Calibri" w:cs="Calibri"/>
          <w:b/>
          <w:kern w:val="28"/>
          <w:sz w:val="16"/>
          <w:szCs w:val="16"/>
        </w:rPr>
        <w:t xml:space="preserve"> a </w:t>
      </w:r>
      <w:proofErr w:type="spellStart"/>
      <w:r w:rsidRPr="00444B2E">
        <w:rPr>
          <w:rFonts w:ascii="Calibri" w:hAnsi="Calibri" w:cs="Calibri"/>
          <w:b/>
          <w:kern w:val="28"/>
          <w:sz w:val="16"/>
          <w:szCs w:val="16"/>
        </w:rPr>
        <w:t>smluvní</w:t>
      </w:r>
      <w:proofErr w:type="spellEnd"/>
      <w:r w:rsidRPr="00444B2E">
        <w:rPr>
          <w:rFonts w:ascii="Calibri" w:hAnsi="Calibri" w:cs="Calibri"/>
          <w:b/>
          <w:kern w:val="28"/>
          <w:sz w:val="16"/>
          <w:szCs w:val="16"/>
        </w:rPr>
        <w:t xml:space="preserve"> </w:t>
      </w:r>
      <w:proofErr w:type="spellStart"/>
      <w:r w:rsidRPr="00444B2E">
        <w:rPr>
          <w:rFonts w:ascii="Calibri" w:hAnsi="Calibri" w:cs="Calibri"/>
          <w:b/>
          <w:kern w:val="28"/>
          <w:sz w:val="16"/>
          <w:szCs w:val="16"/>
        </w:rPr>
        <w:t>strany</w:t>
      </w:r>
      <w:proofErr w:type="spellEnd"/>
      <w:r w:rsidRPr="00444B2E">
        <w:rPr>
          <w:rFonts w:ascii="Calibri" w:hAnsi="Calibri" w:cs="Calibri"/>
          <w:b/>
          <w:kern w:val="28"/>
          <w:sz w:val="16"/>
          <w:szCs w:val="16"/>
        </w:rPr>
        <w:t xml:space="preserve"> </w:t>
      </w:r>
    </w:p>
    <w:p w14:paraId="456502A3" w14:textId="04CEE349" w:rsidR="00903C7E" w:rsidRPr="00444B2E" w:rsidRDefault="00903C7E" w:rsidP="007E1716">
      <w:pPr>
        <w:numPr>
          <w:ilvl w:val="0"/>
          <w:numId w:val="11"/>
        </w:numPr>
        <w:spacing w:after="120" w:line="120" w:lineRule="atLeast"/>
        <w:ind w:left="567" w:right="70" w:hanging="283"/>
        <w:jc w:val="both"/>
        <w:rPr>
          <w:rFonts w:ascii="Calibri" w:hAnsi="Calibri" w:cs="Calibri"/>
          <w:sz w:val="16"/>
          <w:szCs w:val="16"/>
        </w:rPr>
      </w:pPr>
      <w:proofErr w:type="spellStart"/>
      <w:r w:rsidRPr="00444B2E">
        <w:rPr>
          <w:rFonts w:ascii="Calibri" w:hAnsi="Calibri" w:cs="Calibri"/>
          <w:sz w:val="16"/>
          <w:szCs w:val="16"/>
        </w:rPr>
        <w:t>Ujednání</w:t>
      </w:r>
      <w:proofErr w:type="spellEnd"/>
      <w:r w:rsidRPr="00444B2E">
        <w:rPr>
          <w:rFonts w:ascii="Calibri" w:hAnsi="Calibri" w:cs="Calibri"/>
          <w:sz w:val="16"/>
          <w:szCs w:val="16"/>
        </w:rPr>
        <w:t xml:space="preserve"> Objednávky </w:t>
      </w:r>
      <w:r w:rsidR="007E1716" w:rsidRPr="00444B2E">
        <w:rPr>
          <w:rFonts w:ascii="Calibri" w:hAnsi="Calibri" w:cs="Calibri"/>
          <w:sz w:val="16"/>
          <w:szCs w:val="16"/>
        </w:rPr>
        <w:t xml:space="preserve">č. </w:t>
      </w:r>
      <w:r w:rsidR="007B23BA" w:rsidRPr="00444B2E">
        <w:rPr>
          <w:rFonts w:ascii="Calibri" w:hAnsi="Calibri" w:cs="Calibri"/>
          <w:sz w:val="16"/>
          <w:szCs w:val="16"/>
        </w:rPr>
        <w:t>2024150</w:t>
      </w:r>
      <w:r w:rsidR="007E1716" w:rsidRPr="00444B2E">
        <w:rPr>
          <w:rFonts w:ascii="Calibri" w:hAnsi="Calibri" w:cs="Calibri"/>
          <w:sz w:val="16"/>
          <w:szCs w:val="16"/>
        </w:rPr>
        <w:t xml:space="preserve"> a</w:t>
      </w:r>
      <w:r w:rsidRPr="00444B2E">
        <w:rPr>
          <w:rFonts w:ascii="Calibri" w:hAnsi="Calibri" w:cs="Calibri"/>
          <w:sz w:val="16"/>
          <w:szCs w:val="16"/>
        </w:rPr>
        <w:t xml:space="preserve"> </w:t>
      </w:r>
      <w:proofErr w:type="spellStart"/>
      <w:r w:rsidR="007E1716" w:rsidRPr="00444B2E">
        <w:rPr>
          <w:rFonts w:ascii="Calibri" w:hAnsi="Calibri" w:cs="Calibri"/>
          <w:sz w:val="16"/>
          <w:szCs w:val="16"/>
        </w:rPr>
        <w:t>její</w:t>
      </w:r>
      <w:proofErr w:type="spellEnd"/>
      <w:r w:rsidR="007E1716" w:rsidRPr="00444B2E">
        <w:rPr>
          <w:rFonts w:ascii="Calibri" w:hAnsi="Calibri" w:cs="Calibri"/>
          <w:sz w:val="16"/>
          <w:szCs w:val="16"/>
        </w:rPr>
        <w:t xml:space="preserve"> </w:t>
      </w:r>
      <w:proofErr w:type="spellStart"/>
      <w:r w:rsidRPr="00444B2E">
        <w:rPr>
          <w:rFonts w:ascii="Calibri" w:hAnsi="Calibri" w:cs="Calibri"/>
          <w:sz w:val="16"/>
          <w:szCs w:val="16"/>
        </w:rPr>
        <w:t>příloh</w:t>
      </w:r>
      <w:r w:rsidR="007E1716" w:rsidRPr="00444B2E">
        <w:rPr>
          <w:rFonts w:ascii="Calibri" w:hAnsi="Calibri" w:cs="Calibri"/>
          <w:sz w:val="16"/>
          <w:szCs w:val="16"/>
        </w:rPr>
        <w:t>y</w:t>
      </w:r>
      <w:proofErr w:type="spellEnd"/>
      <w:r w:rsidR="007E1716" w:rsidRPr="00444B2E">
        <w:rPr>
          <w:rFonts w:ascii="Calibri" w:hAnsi="Calibri" w:cs="Calibri"/>
          <w:sz w:val="16"/>
          <w:szCs w:val="16"/>
        </w:rPr>
        <w:t xml:space="preserve"> č.</w:t>
      </w:r>
      <w:r w:rsidR="007B23BA" w:rsidRPr="00444B2E">
        <w:rPr>
          <w:rFonts w:ascii="Calibri" w:hAnsi="Calibri" w:cs="Calibri"/>
          <w:sz w:val="16"/>
          <w:szCs w:val="16"/>
        </w:rPr>
        <w:t xml:space="preserve"> </w:t>
      </w:r>
      <w:r w:rsidR="007E1716" w:rsidRPr="00444B2E">
        <w:rPr>
          <w:rFonts w:ascii="Calibri" w:hAnsi="Calibri" w:cs="Calibri"/>
          <w:sz w:val="16"/>
          <w:szCs w:val="16"/>
        </w:rPr>
        <w:t>1</w:t>
      </w:r>
      <w:r w:rsidRPr="00444B2E">
        <w:rPr>
          <w:rFonts w:ascii="Calibri" w:hAnsi="Calibri" w:cs="Calibri"/>
          <w:sz w:val="16"/>
          <w:szCs w:val="16"/>
        </w:rPr>
        <w:t xml:space="preserve"> a </w:t>
      </w:r>
      <w:proofErr w:type="spellStart"/>
      <w:r w:rsidRPr="00444B2E">
        <w:rPr>
          <w:rFonts w:ascii="Calibri" w:hAnsi="Calibri" w:cs="Calibri"/>
          <w:sz w:val="16"/>
          <w:szCs w:val="16"/>
        </w:rPr>
        <w:t>tyto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Obchodní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podmínky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tvoří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úplnou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dohodu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mezi</w:t>
      </w:r>
      <w:proofErr w:type="spellEnd"/>
      <w:r w:rsidRPr="00444B2E">
        <w:rPr>
          <w:rFonts w:ascii="Calibri" w:hAnsi="Calibri" w:cs="Calibri"/>
          <w:sz w:val="16"/>
          <w:szCs w:val="16"/>
        </w:rPr>
        <w:t xml:space="preserve"> </w:t>
      </w:r>
      <w:proofErr w:type="spellStart"/>
      <w:r w:rsidR="007E1716" w:rsidRPr="00444B2E">
        <w:rPr>
          <w:rFonts w:ascii="Calibri" w:hAnsi="Calibri" w:cs="Calibri"/>
          <w:sz w:val="16"/>
          <w:szCs w:val="16"/>
        </w:rPr>
        <w:t>společností</w:t>
      </w:r>
      <w:proofErr w:type="spellEnd"/>
      <w:r w:rsidR="007E1716" w:rsidRPr="00444B2E">
        <w:rPr>
          <w:rFonts w:ascii="Calibri" w:hAnsi="Calibri" w:cs="Calibri"/>
          <w:sz w:val="16"/>
          <w:szCs w:val="16"/>
        </w:rPr>
        <w:t xml:space="preserve"> </w:t>
      </w:r>
      <w:proofErr w:type="spellStart"/>
      <w:r w:rsidR="007B23BA" w:rsidRPr="00444B2E">
        <w:rPr>
          <w:rFonts w:ascii="Calibri" w:hAnsi="Calibri" w:cs="Calibri"/>
          <w:sz w:val="16"/>
          <w:szCs w:val="16"/>
        </w:rPr>
        <w:t>Moravskoslzeské</w:t>
      </w:r>
      <w:proofErr w:type="spellEnd"/>
      <w:r w:rsidR="007B23BA" w:rsidRPr="00444B2E">
        <w:rPr>
          <w:rFonts w:ascii="Calibri" w:hAnsi="Calibri" w:cs="Calibri"/>
          <w:sz w:val="16"/>
          <w:szCs w:val="16"/>
        </w:rPr>
        <w:t xml:space="preserve"> </w:t>
      </w:r>
      <w:proofErr w:type="spellStart"/>
      <w:r w:rsidR="007B23BA" w:rsidRPr="00444B2E">
        <w:rPr>
          <w:rFonts w:ascii="Calibri" w:hAnsi="Calibri" w:cs="Calibri"/>
          <w:sz w:val="16"/>
          <w:szCs w:val="16"/>
        </w:rPr>
        <w:t>Investice</w:t>
      </w:r>
      <w:proofErr w:type="spellEnd"/>
      <w:r w:rsidR="007B23BA" w:rsidRPr="00444B2E">
        <w:rPr>
          <w:rFonts w:ascii="Calibri" w:hAnsi="Calibri" w:cs="Calibri"/>
          <w:sz w:val="16"/>
          <w:szCs w:val="16"/>
        </w:rPr>
        <w:t xml:space="preserve"> a Development, </w:t>
      </w:r>
      <w:proofErr w:type="spellStart"/>
      <w:r w:rsidR="007B23BA" w:rsidRPr="00444B2E">
        <w:rPr>
          <w:rFonts w:ascii="Calibri" w:hAnsi="Calibri" w:cs="Calibri"/>
          <w:sz w:val="16"/>
          <w:szCs w:val="16"/>
        </w:rPr>
        <w:t>a.s.</w:t>
      </w:r>
      <w:proofErr w:type="spellEnd"/>
      <w:r w:rsidR="007B23BA" w:rsidRPr="00444B2E">
        <w:rPr>
          <w:rFonts w:ascii="Calibri" w:hAnsi="Calibri" w:cs="Calibri"/>
          <w:sz w:val="16"/>
          <w:szCs w:val="16"/>
        </w:rPr>
        <w:t xml:space="preserve"> se </w:t>
      </w:r>
      <w:proofErr w:type="spellStart"/>
      <w:r w:rsidR="007B23BA" w:rsidRPr="00444B2E">
        <w:rPr>
          <w:rFonts w:ascii="Calibri" w:hAnsi="Calibri" w:cs="Calibri"/>
          <w:sz w:val="16"/>
          <w:szCs w:val="16"/>
        </w:rPr>
        <w:t>sídlem</w:t>
      </w:r>
      <w:proofErr w:type="spellEnd"/>
      <w:r w:rsidR="007B23BA" w:rsidRPr="00444B2E">
        <w:rPr>
          <w:rFonts w:ascii="Calibri" w:hAnsi="Calibri" w:cs="Calibri"/>
          <w:sz w:val="16"/>
          <w:szCs w:val="16"/>
        </w:rPr>
        <w:t xml:space="preserve"> Na </w:t>
      </w:r>
      <w:proofErr w:type="spellStart"/>
      <w:r w:rsidR="007B23BA" w:rsidRPr="00444B2E">
        <w:rPr>
          <w:rFonts w:ascii="Calibri" w:hAnsi="Calibri" w:cs="Calibri"/>
          <w:sz w:val="16"/>
          <w:szCs w:val="16"/>
        </w:rPr>
        <w:t>Jízdárně</w:t>
      </w:r>
      <w:proofErr w:type="spellEnd"/>
      <w:r w:rsidR="007B23BA" w:rsidRPr="00444B2E">
        <w:rPr>
          <w:rFonts w:ascii="Calibri" w:hAnsi="Calibri" w:cs="Calibri"/>
          <w:sz w:val="16"/>
          <w:szCs w:val="16"/>
        </w:rPr>
        <w:t xml:space="preserve"> 7, 702 00 Ostrava</w:t>
      </w:r>
      <w:r w:rsidR="007E1716" w:rsidRPr="00444B2E">
        <w:rPr>
          <w:rFonts w:ascii="Calibri" w:hAnsi="Calibri" w:cs="Calibri"/>
          <w:sz w:val="16"/>
          <w:szCs w:val="16"/>
        </w:rPr>
        <w:t xml:space="preserve"> (“</w:t>
      </w:r>
      <w:proofErr w:type="spellStart"/>
      <w:r w:rsidRPr="00444B2E">
        <w:rPr>
          <w:rFonts w:ascii="Calibri" w:hAnsi="Calibri" w:cs="Calibri"/>
          <w:sz w:val="16"/>
          <w:szCs w:val="16"/>
        </w:rPr>
        <w:t>Klient</w:t>
      </w:r>
      <w:proofErr w:type="spellEnd"/>
      <w:r w:rsidR="007E1716" w:rsidRPr="00444B2E">
        <w:rPr>
          <w:rFonts w:ascii="Calibri" w:hAnsi="Calibri" w:cs="Calibri"/>
          <w:sz w:val="16"/>
          <w:szCs w:val="16"/>
        </w:rPr>
        <w:t>”)</w:t>
      </w:r>
      <w:r w:rsidRPr="00444B2E">
        <w:rPr>
          <w:rFonts w:ascii="Calibri" w:hAnsi="Calibri" w:cs="Calibri"/>
          <w:sz w:val="16"/>
          <w:szCs w:val="16"/>
        </w:rPr>
        <w:t xml:space="preserve"> a Deloitte </w:t>
      </w:r>
      <w:proofErr w:type="spellStart"/>
      <w:r w:rsidRPr="00444B2E">
        <w:rPr>
          <w:rFonts w:ascii="Calibri" w:hAnsi="Calibri" w:cs="Calibri"/>
          <w:sz w:val="16"/>
          <w:szCs w:val="16"/>
        </w:rPr>
        <w:t>ve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vztahu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službám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dodávkám</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výsledkům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práce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které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jsou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popsány</w:t>
      </w:r>
      <w:proofErr w:type="spellEnd"/>
      <w:r w:rsidRPr="00444B2E">
        <w:rPr>
          <w:rFonts w:ascii="Calibri" w:hAnsi="Calibri" w:cs="Calibri"/>
          <w:sz w:val="16"/>
          <w:szCs w:val="16"/>
        </w:rPr>
        <w:t xml:space="preserve"> v </w:t>
      </w:r>
      <w:proofErr w:type="spellStart"/>
      <w:r w:rsidRPr="00444B2E">
        <w:rPr>
          <w:rFonts w:ascii="Calibri" w:hAnsi="Calibri" w:cs="Calibri"/>
          <w:sz w:val="16"/>
          <w:szCs w:val="16"/>
        </w:rPr>
        <w:t>příslušné</w:t>
      </w:r>
      <w:proofErr w:type="spellEnd"/>
      <w:r w:rsidRPr="00444B2E">
        <w:rPr>
          <w:rFonts w:ascii="Calibri" w:hAnsi="Calibri" w:cs="Calibri"/>
          <w:sz w:val="16"/>
          <w:szCs w:val="16"/>
        </w:rPr>
        <w:t xml:space="preserve"> </w:t>
      </w:r>
      <w:proofErr w:type="spellStart"/>
      <w:r w:rsidR="007E1716" w:rsidRPr="00444B2E">
        <w:rPr>
          <w:rFonts w:ascii="Calibri" w:hAnsi="Calibri" w:cs="Calibri"/>
          <w:sz w:val="16"/>
          <w:szCs w:val="16"/>
        </w:rPr>
        <w:t>Objednávce</w:t>
      </w:r>
      <w:proofErr w:type="spellEnd"/>
      <w:r w:rsidR="007E1716" w:rsidRPr="00444B2E">
        <w:rPr>
          <w:rFonts w:ascii="Calibri" w:hAnsi="Calibri" w:cs="Calibri"/>
          <w:sz w:val="16"/>
          <w:szCs w:val="16"/>
        </w:rPr>
        <w:t xml:space="preserve"> a </w:t>
      </w:r>
      <w:proofErr w:type="spellStart"/>
      <w:r w:rsidR="007E1716" w:rsidRPr="00444B2E">
        <w:rPr>
          <w:rFonts w:ascii="Calibri" w:hAnsi="Calibri" w:cs="Calibri"/>
          <w:sz w:val="16"/>
          <w:szCs w:val="16"/>
        </w:rPr>
        <w:t>její</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příloze</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které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mají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být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poskytnuty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společností</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včetně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Výstupů</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definovaných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níže</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ve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vztahu</w:t>
      </w:r>
      <w:proofErr w:type="spellEnd"/>
      <w:r w:rsidRPr="00444B2E">
        <w:rPr>
          <w:rFonts w:ascii="Calibri" w:hAnsi="Calibri" w:cs="Calibri"/>
          <w:sz w:val="16"/>
          <w:szCs w:val="16"/>
        </w:rPr>
        <w:t xml:space="preserve"> k </w:t>
      </w:r>
      <w:proofErr w:type="spellStart"/>
      <w:r w:rsidRPr="00444B2E">
        <w:rPr>
          <w:rFonts w:ascii="Calibri" w:hAnsi="Calibri" w:cs="Calibri"/>
          <w:sz w:val="16"/>
          <w:szCs w:val="16"/>
        </w:rPr>
        <w:t>odpovědnostem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společnosti</w:t>
      </w:r>
      <w:proofErr w:type="spellEnd"/>
      <w:r w:rsidRPr="00444B2E">
        <w:rPr>
          <w:rFonts w:ascii="Calibri" w:hAnsi="Calibri" w:cs="Calibri"/>
          <w:sz w:val="16"/>
          <w:szCs w:val="16"/>
        </w:rPr>
        <w:t xml:space="preserve"> Deloitte za </w:t>
      </w:r>
      <w:proofErr w:type="spellStart"/>
      <w:r w:rsidRPr="00444B2E">
        <w:rPr>
          <w:rFonts w:ascii="Calibri" w:hAnsi="Calibri" w:cs="Calibri"/>
          <w:sz w:val="16"/>
          <w:szCs w:val="16"/>
        </w:rPr>
        <w:t>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Použitelnost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těchto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Obchodních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podmínek</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může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být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vyloučena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omezena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pouze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zákonem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nařízeními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výslovnou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písemnou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dohodou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mezi</w:t>
      </w:r>
      <w:proofErr w:type="spellEnd"/>
      <w:r w:rsidRPr="00444B2E">
        <w:rPr>
          <w:rFonts w:ascii="Calibri" w:hAnsi="Calibri" w:cs="Calibri"/>
          <w:sz w:val="16"/>
          <w:szCs w:val="16"/>
        </w:rPr>
        <w:t xml:space="preserve"> Deloitte a </w:t>
      </w:r>
      <w:proofErr w:type="spellStart"/>
      <w:r w:rsidRPr="00444B2E">
        <w:rPr>
          <w:rFonts w:ascii="Calibri" w:hAnsi="Calibri" w:cs="Calibri"/>
          <w:sz w:val="16"/>
          <w:szCs w:val="16"/>
        </w:rPr>
        <w:t>Klientem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Termíny</w:t>
      </w:r>
      <w:proofErr w:type="spellEnd"/>
      <w:r w:rsidRPr="00444B2E">
        <w:rPr>
          <w:rFonts w:ascii="Calibri" w:hAnsi="Calibri" w:cs="Calibri"/>
          <w:sz w:val="16"/>
          <w:szCs w:val="16"/>
        </w:rPr>
        <w:t xml:space="preserve"> s </w:t>
      </w:r>
      <w:proofErr w:type="spellStart"/>
      <w:r w:rsidRPr="00444B2E">
        <w:rPr>
          <w:rFonts w:ascii="Calibri" w:hAnsi="Calibri" w:cs="Calibri"/>
          <w:sz w:val="16"/>
          <w:szCs w:val="16"/>
        </w:rPr>
        <w:t>velkými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písmeny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které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nejsou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definovány</w:t>
      </w:r>
      <w:proofErr w:type="spellEnd"/>
      <w:r w:rsidRPr="00444B2E">
        <w:rPr>
          <w:rFonts w:ascii="Calibri" w:hAnsi="Calibri" w:cs="Calibri"/>
          <w:sz w:val="16"/>
          <w:szCs w:val="16"/>
        </w:rPr>
        <w:t xml:space="preserve"> v </w:t>
      </w:r>
      <w:proofErr w:type="spellStart"/>
      <w:r w:rsidRPr="00444B2E">
        <w:rPr>
          <w:rFonts w:ascii="Calibri" w:hAnsi="Calibri" w:cs="Calibri"/>
          <w:sz w:val="16"/>
          <w:szCs w:val="16"/>
        </w:rPr>
        <w:t>Obchodních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podmínkách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mají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význam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vymezený</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ve</w:t>
      </w:r>
      <w:proofErr w:type="spellEnd"/>
      <w:r w:rsidRPr="00444B2E">
        <w:rPr>
          <w:rFonts w:ascii="Calibri" w:hAnsi="Calibri" w:cs="Calibri"/>
          <w:sz w:val="16"/>
          <w:szCs w:val="16"/>
        </w:rPr>
        <w:t xml:space="preserve"> </w:t>
      </w:r>
      <w:proofErr w:type="spellStart"/>
      <w:r w:rsidR="007E1716" w:rsidRPr="00444B2E">
        <w:rPr>
          <w:rFonts w:ascii="Calibri" w:hAnsi="Calibri" w:cs="Calibri"/>
          <w:sz w:val="16"/>
          <w:szCs w:val="16"/>
        </w:rPr>
        <w:t>Objednávce</w:t>
      </w:r>
      <w:proofErr w:type="spellEnd"/>
      <w:r w:rsidRPr="00444B2E">
        <w:rPr>
          <w:rFonts w:ascii="Calibri" w:hAnsi="Calibri" w:cs="Calibri"/>
          <w:sz w:val="16"/>
          <w:szCs w:val="16"/>
        </w:rPr>
        <w:t xml:space="preserve">. Pokud </w:t>
      </w:r>
      <w:proofErr w:type="spellStart"/>
      <w:r w:rsidRPr="00444B2E">
        <w:rPr>
          <w:rFonts w:ascii="Calibri" w:hAnsi="Calibri" w:cs="Calibri"/>
          <w:sz w:val="16"/>
          <w:szCs w:val="16"/>
        </w:rPr>
        <w:t>dojde</w:t>
      </w:r>
      <w:proofErr w:type="spellEnd"/>
      <w:r w:rsidRPr="00444B2E">
        <w:rPr>
          <w:rFonts w:ascii="Calibri" w:hAnsi="Calibri" w:cs="Calibri"/>
          <w:sz w:val="16"/>
          <w:szCs w:val="16"/>
        </w:rPr>
        <w:t xml:space="preserve"> k </w:t>
      </w:r>
      <w:proofErr w:type="spellStart"/>
      <w:r w:rsidRPr="00444B2E">
        <w:rPr>
          <w:rFonts w:ascii="Calibri" w:hAnsi="Calibri" w:cs="Calibri"/>
          <w:sz w:val="16"/>
          <w:szCs w:val="16"/>
        </w:rPr>
        <w:t>rozporu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mezi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zněním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těchto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Obchodních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podmínek</w:t>
      </w:r>
      <w:proofErr w:type="spellEnd"/>
      <w:r w:rsidRPr="00444B2E">
        <w:rPr>
          <w:rFonts w:ascii="Calibri" w:hAnsi="Calibri" w:cs="Calibri"/>
          <w:sz w:val="16"/>
          <w:szCs w:val="16"/>
        </w:rPr>
        <w:t xml:space="preserve"> a </w:t>
      </w:r>
      <w:proofErr w:type="spellStart"/>
      <w:r w:rsidR="007E1716" w:rsidRPr="00444B2E">
        <w:rPr>
          <w:rFonts w:ascii="Calibri" w:hAnsi="Calibri" w:cs="Calibri"/>
          <w:sz w:val="16"/>
          <w:szCs w:val="16"/>
        </w:rPr>
        <w:t>Objednávkou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má</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přednost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znění</w:t>
      </w:r>
      <w:proofErr w:type="spellEnd"/>
      <w:r w:rsidRPr="00444B2E">
        <w:rPr>
          <w:rFonts w:ascii="Calibri" w:hAnsi="Calibri" w:cs="Calibri"/>
          <w:sz w:val="16"/>
          <w:szCs w:val="16"/>
        </w:rPr>
        <w:t xml:space="preserve"> </w:t>
      </w:r>
      <w:r w:rsidR="007E1716" w:rsidRPr="00444B2E">
        <w:rPr>
          <w:rFonts w:ascii="Calibri" w:hAnsi="Calibri" w:cs="Calibri"/>
          <w:sz w:val="16"/>
          <w:szCs w:val="16"/>
        </w:rPr>
        <w:t>Objednávky</w:t>
      </w:r>
      <w:r w:rsidRPr="00444B2E">
        <w:rPr>
          <w:rFonts w:ascii="Calibri" w:hAnsi="Calibri" w:cs="Calibri"/>
          <w:sz w:val="16"/>
          <w:szCs w:val="16"/>
        </w:rPr>
        <w:t xml:space="preserve">. </w:t>
      </w:r>
    </w:p>
    <w:p w14:paraId="4F230519" w14:textId="0687E1B4" w:rsidR="00903C7E" w:rsidRPr="00444B2E" w:rsidRDefault="00903C7E" w:rsidP="00903C7E">
      <w:pPr>
        <w:numPr>
          <w:ilvl w:val="0"/>
          <w:numId w:val="11"/>
        </w:numPr>
        <w:spacing w:after="120" w:line="120" w:lineRule="atLeast"/>
        <w:ind w:left="568" w:right="70" w:hanging="284"/>
        <w:jc w:val="both"/>
        <w:rPr>
          <w:rFonts w:ascii="Calibri" w:hAnsi="Calibri" w:cs="Calibri"/>
          <w:sz w:val="16"/>
          <w:szCs w:val="16"/>
        </w:rPr>
      </w:pPr>
      <w:r w:rsidRPr="00444B2E">
        <w:rPr>
          <w:rFonts w:ascii="Calibri" w:hAnsi="Calibri" w:cs="Calibri"/>
          <w:sz w:val="16"/>
          <w:szCs w:val="16"/>
        </w:rPr>
        <w:t xml:space="preserve">Pro </w:t>
      </w:r>
      <w:proofErr w:type="spellStart"/>
      <w:r w:rsidRPr="00444B2E">
        <w:rPr>
          <w:rFonts w:ascii="Calibri" w:hAnsi="Calibri" w:cs="Calibri"/>
          <w:sz w:val="16"/>
          <w:szCs w:val="16"/>
        </w:rPr>
        <w:t>účely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této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znamená</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termín</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Příjemce</w:t>
      </w:r>
      <w:proofErr w:type="spellEnd"/>
      <w:r w:rsidRPr="00444B2E">
        <w:rPr>
          <w:rFonts w:ascii="Calibri" w:hAnsi="Calibri" w:cs="Calibri"/>
          <w:sz w:val="16"/>
          <w:szCs w:val="16"/>
        </w:rPr>
        <w:t xml:space="preserve"> </w:t>
      </w:r>
      <w:proofErr w:type="spellStart"/>
      <w:proofErr w:type="gramStart"/>
      <w:r w:rsidRPr="00444B2E">
        <w:rPr>
          <w:rFonts w:ascii="Calibri" w:hAnsi="Calibri" w:cs="Calibri"/>
          <w:sz w:val="16"/>
          <w:szCs w:val="16"/>
        </w:rPr>
        <w:t>Výstupu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znamená</w:t>
      </w:r>
      <w:proofErr w:type="spellEnd"/>
      <w:proofErr w:type="gramEnd"/>
      <w:r w:rsidRPr="00444B2E">
        <w:rPr>
          <w:rFonts w:ascii="Calibri" w:hAnsi="Calibri" w:cs="Calibri"/>
          <w:sz w:val="16"/>
          <w:szCs w:val="16"/>
        </w:rPr>
        <w:t xml:space="preserve"> </w:t>
      </w:r>
      <w:proofErr w:type="spellStart"/>
      <w:r w:rsidRPr="00444B2E">
        <w:rPr>
          <w:rFonts w:ascii="Calibri" w:hAnsi="Calibri" w:cs="Calibri"/>
          <w:sz w:val="16"/>
          <w:szCs w:val="16"/>
        </w:rPr>
        <w:t>takové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osoby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včetně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mj</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Klienta</w:t>
      </w:r>
      <w:proofErr w:type="spellEnd"/>
      <w:r w:rsidRPr="00444B2E">
        <w:rPr>
          <w:rFonts w:ascii="Calibri" w:hAnsi="Calibri" w:cs="Calibri"/>
          <w:sz w:val="16"/>
          <w:szCs w:val="16"/>
        </w:rPr>
        <w:t>, (</w:t>
      </w:r>
      <w:proofErr w:type="spellStart"/>
      <w:r w:rsidRPr="00444B2E">
        <w:rPr>
          <w:rFonts w:ascii="Calibri" w:hAnsi="Calibri" w:cs="Calibri"/>
          <w:sz w:val="16"/>
          <w:szCs w:val="16"/>
        </w:rPr>
        <w:t>i</w:t>
      </w:r>
      <w:proofErr w:type="spellEnd"/>
      <w:r w:rsidRPr="00444B2E">
        <w:rPr>
          <w:rFonts w:ascii="Calibri" w:hAnsi="Calibri" w:cs="Calibri"/>
          <w:sz w:val="16"/>
          <w:szCs w:val="16"/>
        </w:rPr>
        <w:t xml:space="preserve">) u </w:t>
      </w:r>
      <w:proofErr w:type="spellStart"/>
      <w:r w:rsidRPr="00444B2E">
        <w:rPr>
          <w:rFonts w:ascii="Calibri" w:hAnsi="Calibri" w:cs="Calibri"/>
          <w:sz w:val="16"/>
          <w:szCs w:val="16"/>
        </w:rPr>
        <w:t>nichž</w:t>
      </w:r>
      <w:proofErr w:type="spellEnd"/>
      <w:r w:rsidRPr="00444B2E">
        <w:rPr>
          <w:rFonts w:ascii="Calibri" w:hAnsi="Calibri" w:cs="Calibri"/>
          <w:sz w:val="16"/>
          <w:szCs w:val="16"/>
        </w:rPr>
        <w:t xml:space="preserve"> Deloitte a </w:t>
      </w:r>
      <w:proofErr w:type="spellStart"/>
      <w:r w:rsidRPr="00444B2E">
        <w:rPr>
          <w:rFonts w:ascii="Calibri" w:hAnsi="Calibri" w:cs="Calibri"/>
          <w:sz w:val="16"/>
          <w:szCs w:val="16"/>
        </w:rPr>
        <w:t>Klient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odsouhlasili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mohou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mít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přístup</w:t>
      </w:r>
      <w:proofErr w:type="spellEnd"/>
      <w:r w:rsidRPr="00444B2E">
        <w:rPr>
          <w:rFonts w:ascii="Calibri" w:hAnsi="Calibri" w:cs="Calibri"/>
          <w:sz w:val="16"/>
          <w:szCs w:val="16"/>
        </w:rPr>
        <w:t xml:space="preserve"> k </w:t>
      </w:r>
      <w:proofErr w:type="spellStart"/>
      <w:r w:rsidRPr="00444B2E">
        <w:rPr>
          <w:rFonts w:ascii="Calibri" w:hAnsi="Calibri" w:cs="Calibri"/>
          <w:sz w:val="16"/>
          <w:szCs w:val="16"/>
        </w:rPr>
        <w:t>Výstupu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jeho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části</w:t>
      </w:r>
      <w:proofErr w:type="spellEnd"/>
      <w:r w:rsidRPr="00444B2E">
        <w:rPr>
          <w:rFonts w:ascii="Calibri" w:hAnsi="Calibri" w:cs="Calibri"/>
          <w:sz w:val="16"/>
          <w:szCs w:val="16"/>
        </w:rPr>
        <w:t xml:space="preserve">) a (b) </w:t>
      </w:r>
      <w:proofErr w:type="spellStart"/>
      <w:r w:rsidRPr="00444B2E">
        <w:rPr>
          <w:rFonts w:ascii="Calibri" w:hAnsi="Calibri" w:cs="Calibri"/>
          <w:sz w:val="16"/>
          <w:szCs w:val="16"/>
        </w:rPr>
        <w:t>přijaly</w:t>
      </w:r>
      <w:proofErr w:type="spellEnd"/>
      <w:r w:rsidRPr="00444B2E">
        <w:rPr>
          <w:rFonts w:ascii="Calibri" w:hAnsi="Calibri" w:cs="Calibri"/>
          <w:sz w:val="16"/>
          <w:szCs w:val="16"/>
        </w:rPr>
        <w:t xml:space="preserve"> ty </w:t>
      </w:r>
      <w:proofErr w:type="spellStart"/>
      <w:r w:rsidRPr="00444B2E">
        <w:rPr>
          <w:rFonts w:ascii="Calibri" w:hAnsi="Calibri" w:cs="Calibri"/>
          <w:sz w:val="16"/>
          <w:szCs w:val="16"/>
        </w:rPr>
        <w:t>podmínky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které</w:t>
      </w:r>
      <w:proofErr w:type="spellEnd"/>
      <w:r w:rsidRPr="00444B2E">
        <w:rPr>
          <w:rFonts w:ascii="Calibri" w:hAnsi="Calibri" w:cs="Calibri"/>
          <w:sz w:val="16"/>
          <w:szCs w:val="16"/>
        </w:rPr>
        <w:t xml:space="preserve"> Deloitte v </w:t>
      </w:r>
      <w:proofErr w:type="spellStart"/>
      <w:r w:rsidRPr="00444B2E">
        <w:rPr>
          <w:rFonts w:ascii="Calibri" w:hAnsi="Calibri" w:cs="Calibri"/>
          <w:sz w:val="16"/>
          <w:szCs w:val="16"/>
        </w:rPr>
        <w:t>jednotlivých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případech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požaduje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Příjemce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Výstupu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který</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
    <w:p w14:paraId="0D8780C7" w14:textId="77777777" w:rsidR="00903C7E" w:rsidRPr="00444B2E" w:rsidRDefault="00903C7E" w:rsidP="00903C7E">
      <w:pPr>
        <w:numPr>
          <w:ilvl w:val="0"/>
          <w:numId w:val="11"/>
        </w:numPr>
        <w:spacing w:after="120" w:line="120" w:lineRule="atLeast"/>
        <w:ind w:left="568" w:right="70" w:hanging="284"/>
        <w:jc w:val="both"/>
        <w:rPr>
          <w:rFonts w:ascii="Calibri" w:hAnsi="Calibri" w:cs="Calibri"/>
          <w:sz w:val="16"/>
          <w:szCs w:val="16"/>
        </w:rPr>
      </w:pPr>
      <w:proofErr w:type="spellStart"/>
      <w:r w:rsidRPr="00444B2E">
        <w:rPr>
          <w:rFonts w:ascii="Calibri" w:hAnsi="Calibri" w:cs="Calibri"/>
          <w:sz w:val="16"/>
          <w:szCs w:val="16"/>
        </w:rPr>
        <w:t>Společnost</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může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zadat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zajištění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jakýchkoli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Služeb</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dle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této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jakékoliv</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jiné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skupiny</w:t>
      </w:r>
      <w:proofErr w:type="spellEnd"/>
      <w:r w:rsidRPr="00444B2E">
        <w:rPr>
          <w:rFonts w:ascii="Calibri" w:hAnsi="Calibri" w:cs="Calibri"/>
          <w:sz w:val="16"/>
          <w:szCs w:val="16"/>
        </w:rPr>
        <w:t xml:space="preserve"> Deloitte a/</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jiné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třetí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subdodavateli</w:t>
      </w:r>
      <w:proofErr w:type="spellEnd"/>
      <w:r w:rsidRPr="00444B2E">
        <w:rPr>
          <w:rFonts w:ascii="Calibri" w:hAnsi="Calibri" w:cs="Calibri"/>
          <w:i/>
          <w:sz w:val="16"/>
          <w:szCs w:val="16"/>
        </w:rPr>
        <w:t xml:space="preserve"> </w:t>
      </w:r>
      <w:r w:rsidRPr="00444B2E">
        <w:rPr>
          <w:rFonts w:ascii="Calibri" w:hAnsi="Calibri" w:cs="Calibri"/>
          <w:sz w:val="16"/>
          <w:szCs w:val="16"/>
        </w:rPr>
        <w:t>(</w:t>
      </w:r>
      <w:proofErr w:type="spellStart"/>
      <w:r w:rsidRPr="00444B2E">
        <w:rPr>
          <w:rFonts w:ascii="Calibri" w:hAnsi="Calibri" w:cs="Calibri"/>
          <w:sz w:val="16"/>
          <w:szCs w:val="16"/>
        </w:rPr>
        <w:t>společně</w:t>
      </w:r>
      <w:proofErr w:type="spellEnd"/>
      <w:r w:rsidRPr="00444B2E">
        <w:rPr>
          <w:rFonts w:ascii="Calibri" w:hAnsi="Calibri" w:cs="Calibri"/>
          <w:sz w:val="16"/>
          <w:szCs w:val="16"/>
        </w:rPr>
        <w:t xml:space="preserve"> „</w:t>
      </w:r>
      <w:proofErr w:type="spellStart"/>
      <w:proofErr w:type="gramStart"/>
      <w:r w:rsidRPr="00444B2E">
        <w:rPr>
          <w:rFonts w:ascii="Calibri" w:hAnsi="Calibri" w:cs="Calibri"/>
          <w:sz w:val="16"/>
          <w:szCs w:val="16"/>
        </w:rPr>
        <w:t>Subdodavatel</w:t>
      </w:r>
      <w:proofErr w:type="spellEnd"/>
      <w:r w:rsidRPr="00444B2E">
        <w:rPr>
          <w:rFonts w:ascii="Calibri" w:hAnsi="Calibri" w:cs="Calibri"/>
          <w:sz w:val="16"/>
          <w:szCs w:val="16"/>
        </w:rPr>
        <w:t>“</w:t>
      </w:r>
      <w:proofErr w:type="gramEnd"/>
      <w:r w:rsidRPr="00444B2E">
        <w:rPr>
          <w:rFonts w:ascii="Calibri" w:hAnsi="Calibri" w:cs="Calibri"/>
          <w:sz w:val="16"/>
          <w:szCs w:val="16"/>
        </w:rPr>
        <w:t xml:space="preserve">). </w:t>
      </w:r>
      <w:proofErr w:type="spellStart"/>
      <w:r w:rsidRPr="00444B2E">
        <w:rPr>
          <w:rFonts w:ascii="Calibri" w:hAnsi="Calibri" w:cs="Calibri"/>
          <w:sz w:val="16"/>
          <w:szCs w:val="16"/>
        </w:rPr>
        <w:t>Vztah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Klienta</w:t>
      </w:r>
      <w:proofErr w:type="spellEnd"/>
      <w:r w:rsidRPr="00444B2E">
        <w:rPr>
          <w:rFonts w:ascii="Calibri" w:hAnsi="Calibri" w:cs="Calibri"/>
          <w:sz w:val="16"/>
          <w:szCs w:val="16"/>
        </w:rPr>
        <w:t xml:space="preserve"> je </w:t>
      </w:r>
      <w:proofErr w:type="spellStart"/>
      <w:r w:rsidRPr="00444B2E">
        <w:rPr>
          <w:rFonts w:ascii="Calibri" w:hAnsi="Calibri" w:cs="Calibri"/>
          <w:sz w:val="16"/>
          <w:szCs w:val="16"/>
        </w:rPr>
        <w:t>pouze</w:t>
      </w:r>
      <w:proofErr w:type="spellEnd"/>
      <w:r w:rsidRPr="00444B2E">
        <w:rPr>
          <w:rFonts w:ascii="Calibri" w:hAnsi="Calibri" w:cs="Calibri"/>
          <w:sz w:val="16"/>
          <w:szCs w:val="16"/>
        </w:rPr>
        <w:t xml:space="preserve"> se </w:t>
      </w:r>
      <w:proofErr w:type="spellStart"/>
      <w:r w:rsidRPr="00444B2E">
        <w:rPr>
          <w:rFonts w:ascii="Calibri" w:hAnsi="Calibri" w:cs="Calibri"/>
          <w:sz w:val="16"/>
          <w:szCs w:val="16"/>
        </w:rPr>
        <w:t>společností</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jako</w:t>
      </w:r>
      <w:proofErr w:type="spellEnd"/>
      <w:r w:rsidRPr="00444B2E">
        <w:rPr>
          <w:rFonts w:ascii="Calibri" w:hAnsi="Calibri" w:cs="Calibri"/>
          <w:sz w:val="16"/>
          <w:szCs w:val="16"/>
        </w:rPr>
        <w:t xml:space="preserve"> se </w:t>
      </w:r>
      <w:proofErr w:type="spellStart"/>
      <w:r w:rsidRPr="00444B2E">
        <w:rPr>
          <w:rFonts w:ascii="Calibri" w:hAnsi="Calibri" w:cs="Calibri"/>
          <w:sz w:val="16"/>
          <w:szCs w:val="16"/>
        </w:rPr>
        <w:t>subjektem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který</w:t>
      </w:r>
      <w:proofErr w:type="spellEnd"/>
      <w:r w:rsidRPr="00444B2E">
        <w:rPr>
          <w:rFonts w:ascii="Calibri" w:hAnsi="Calibri" w:cs="Calibri"/>
          <w:sz w:val="16"/>
          <w:szCs w:val="16"/>
        </w:rPr>
        <w:t xml:space="preserve"> se </w:t>
      </w:r>
      <w:proofErr w:type="spellStart"/>
      <w:r w:rsidRPr="00444B2E">
        <w:rPr>
          <w:rFonts w:ascii="Calibri" w:hAnsi="Calibri" w:cs="Calibri"/>
          <w:sz w:val="16"/>
          <w:szCs w:val="16"/>
        </w:rPr>
        <w:t>smluvně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zavázal</w:t>
      </w:r>
      <w:proofErr w:type="spellEnd"/>
      <w:r w:rsidRPr="00444B2E">
        <w:rPr>
          <w:rFonts w:ascii="Calibri" w:hAnsi="Calibri" w:cs="Calibri"/>
          <w:sz w:val="16"/>
          <w:szCs w:val="16"/>
        </w:rPr>
        <w:t xml:space="preserve"> k </w:t>
      </w:r>
      <w:proofErr w:type="spellStart"/>
      <w:r w:rsidRPr="00444B2E">
        <w:rPr>
          <w:rFonts w:ascii="Calibri" w:hAnsi="Calibri" w:cs="Calibri"/>
          <w:sz w:val="16"/>
          <w:szCs w:val="16"/>
        </w:rPr>
        <w:t>poskytování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Služeb</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Každá</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smluvní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strana</w:t>
      </w:r>
      <w:proofErr w:type="spellEnd"/>
      <w:r w:rsidRPr="00444B2E">
        <w:rPr>
          <w:rFonts w:ascii="Calibri" w:hAnsi="Calibri" w:cs="Calibri"/>
          <w:sz w:val="16"/>
          <w:szCs w:val="16"/>
        </w:rPr>
        <w:t xml:space="preserve"> je </w:t>
      </w:r>
      <w:proofErr w:type="spellStart"/>
      <w:r w:rsidRPr="00444B2E">
        <w:rPr>
          <w:rFonts w:ascii="Calibri" w:hAnsi="Calibri" w:cs="Calibri"/>
          <w:sz w:val="16"/>
          <w:szCs w:val="16"/>
        </w:rPr>
        <w:t>nezávislou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smluvní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stranou</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žádná</w:t>
      </w:r>
      <w:proofErr w:type="spellEnd"/>
      <w:r w:rsidRPr="00444B2E">
        <w:rPr>
          <w:rFonts w:ascii="Calibri" w:hAnsi="Calibri" w:cs="Calibri"/>
          <w:sz w:val="16"/>
          <w:szCs w:val="16"/>
        </w:rPr>
        <w:t xml:space="preserve"> z </w:t>
      </w:r>
      <w:proofErr w:type="spellStart"/>
      <w:r w:rsidRPr="00444B2E">
        <w:rPr>
          <w:rFonts w:ascii="Calibri" w:hAnsi="Calibri" w:cs="Calibri"/>
          <w:sz w:val="16"/>
          <w:szCs w:val="16"/>
        </w:rPr>
        <w:t>nich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zprostředkovatelem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distributorem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zaměstnavatelem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partnerem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zmocněncem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společníkem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společném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podniku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spoluvlastníkem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zástupcem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druhé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smluvní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strany</w:t>
      </w:r>
      <w:proofErr w:type="spellEnd"/>
      <w:r w:rsidRPr="00444B2E">
        <w:rPr>
          <w:rFonts w:ascii="Calibri" w:hAnsi="Calibri" w:cs="Calibri"/>
          <w:sz w:val="16"/>
          <w:szCs w:val="16"/>
        </w:rPr>
        <w:t xml:space="preserve"> ani za </w:t>
      </w:r>
      <w:proofErr w:type="spellStart"/>
      <w:r w:rsidRPr="00444B2E">
        <w:rPr>
          <w:rFonts w:ascii="Calibri" w:hAnsi="Calibri" w:cs="Calibri"/>
          <w:sz w:val="16"/>
          <w:szCs w:val="16"/>
        </w:rPr>
        <w:t>něj</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nebude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považována</w:t>
      </w:r>
      <w:proofErr w:type="spellEnd"/>
      <w:r w:rsidRPr="00444B2E">
        <w:rPr>
          <w:rFonts w:ascii="Calibri" w:hAnsi="Calibri" w:cs="Calibri"/>
          <w:sz w:val="16"/>
          <w:szCs w:val="16"/>
        </w:rPr>
        <w:t xml:space="preserve">. </w:t>
      </w:r>
    </w:p>
    <w:p w14:paraId="22640CF7" w14:textId="77777777" w:rsidR="00903C7E" w:rsidRPr="00444B2E" w:rsidRDefault="00903C7E" w:rsidP="00903C7E">
      <w:pPr>
        <w:numPr>
          <w:ilvl w:val="0"/>
          <w:numId w:val="11"/>
        </w:numPr>
        <w:spacing w:after="120" w:line="120" w:lineRule="atLeast"/>
        <w:ind w:left="568" w:right="70" w:hanging="284"/>
        <w:jc w:val="both"/>
        <w:rPr>
          <w:rFonts w:ascii="Calibri" w:hAnsi="Calibri" w:cs="Calibri"/>
          <w:sz w:val="16"/>
          <w:szCs w:val="16"/>
        </w:rPr>
      </w:pPr>
      <w:proofErr w:type="spellStart"/>
      <w:r w:rsidRPr="00444B2E">
        <w:rPr>
          <w:rFonts w:ascii="Calibri" w:hAnsi="Calibri" w:cs="Calibri"/>
          <w:sz w:val="16"/>
          <w:szCs w:val="16"/>
        </w:rPr>
        <w:t>Společnost</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zůstává</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odpovědná</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vůči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Klientovi</w:t>
      </w:r>
      <w:proofErr w:type="spellEnd"/>
      <w:r w:rsidRPr="00444B2E">
        <w:rPr>
          <w:rFonts w:ascii="Calibri" w:hAnsi="Calibri" w:cs="Calibri"/>
          <w:sz w:val="16"/>
          <w:szCs w:val="16"/>
        </w:rPr>
        <w:t xml:space="preserve"> za </w:t>
      </w:r>
      <w:proofErr w:type="spellStart"/>
      <w:r w:rsidRPr="00444B2E">
        <w:rPr>
          <w:rFonts w:ascii="Calibri" w:hAnsi="Calibri" w:cs="Calibri"/>
          <w:sz w:val="16"/>
          <w:szCs w:val="16"/>
        </w:rPr>
        <w:t>všechny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které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jsou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budou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poskytovány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podle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této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včetně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Služeb</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poskytovaných</w:t>
      </w:r>
      <w:proofErr w:type="spellEnd"/>
      <w:r w:rsidRPr="00444B2E">
        <w:rPr>
          <w:rFonts w:ascii="Calibri" w:hAnsi="Calibri" w:cs="Calibri"/>
          <w:sz w:val="16"/>
          <w:szCs w:val="16"/>
        </w:rPr>
        <w:t xml:space="preserve"> ze </w:t>
      </w:r>
      <w:proofErr w:type="spellStart"/>
      <w:r w:rsidRPr="00444B2E">
        <w:rPr>
          <w:rFonts w:ascii="Calibri" w:hAnsi="Calibri" w:cs="Calibri"/>
          <w:sz w:val="16"/>
          <w:szCs w:val="16"/>
        </w:rPr>
        <w:t>strany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jejích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Subdodavatelů</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Tudíž</w:t>
      </w:r>
      <w:proofErr w:type="spellEnd"/>
      <w:r w:rsidRPr="00444B2E">
        <w:rPr>
          <w:rFonts w:ascii="Calibri" w:hAnsi="Calibri" w:cs="Calibri"/>
          <w:sz w:val="16"/>
          <w:szCs w:val="16"/>
        </w:rPr>
        <w:t xml:space="preserve"> v </w:t>
      </w:r>
      <w:proofErr w:type="spellStart"/>
      <w:r w:rsidRPr="00444B2E">
        <w:rPr>
          <w:rFonts w:ascii="Calibri" w:hAnsi="Calibri" w:cs="Calibri"/>
          <w:sz w:val="16"/>
          <w:szCs w:val="16"/>
        </w:rPr>
        <w:t>maximálním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přípustném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rozsahu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dle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platného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práva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nemá</w:t>
      </w:r>
      <w:proofErr w:type="spellEnd"/>
      <w:r w:rsidRPr="00444B2E" w:rsidDel="00E80251">
        <w:rPr>
          <w:rFonts w:ascii="Calibri" w:hAnsi="Calibri" w:cs="Calibri"/>
          <w:sz w:val="16"/>
          <w:szCs w:val="16"/>
        </w:rPr>
        <w:t xml:space="preserve"> </w:t>
      </w:r>
      <w:r w:rsidRPr="00444B2E">
        <w:rPr>
          <w:rFonts w:ascii="Calibri" w:hAnsi="Calibri" w:cs="Calibri"/>
          <w:sz w:val="16"/>
          <w:szCs w:val="16"/>
        </w:rPr>
        <w:t xml:space="preserve">(a) </w:t>
      </w:r>
      <w:proofErr w:type="spellStart"/>
      <w:r w:rsidRPr="00444B2E">
        <w:rPr>
          <w:rFonts w:ascii="Calibri" w:hAnsi="Calibri" w:cs="Calibri"/>
          <w:sz w:val="16"/>
          <w:szCs w:val="16"/>
        </w:rPr>
        <w:t>žádná</w:t>
      </w:r>
      <w:proofErr w:type="spellEnd"/>
      <w:r w:rsidRPr="00444B2E">
        <w:rPr>
          <w:rFonts w:ascii="Calibri" w:hAnsi="Calibri" w:cs="Calibri"/>
          <w:sz w:val="16"/>
          <w:szCs w:val="16"/>
        </w:rPr>
        <w:t xml:space="preserve"> ze </w:t>
      </w:r>
      <w:proofErr w:type="spellStart"/>
      <w:r w:rsidRPr="00444B2E">
        <w:rPr>
          <w:rFonts w:ascii="Calibri" w:hAnsi="Calibri" w:cs="Calibri"/>
          <w:sz w:val="16"/>
          <w:szCs w:val="16"/>
        </w:rPr>
        <w:t>Společností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skupiny</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kromě</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odpovědnost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vůči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skupině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Klienta</w:t>
      </w:r>
      <w:proofErr w:type="spellEnd"/>
      <w:r w:rsidRPr="00444B2E">
        <w:rPr>
          <w:rFonts w:ascii="Calibri" w:hAnsi="Calibri" w:cs="Calibri"/>
          <w:sz w:val="16"/>
          <w:szCs w:val="16"/>
        </w:rPr>
        <w:t xml:space="preserve">, (b) </w:t>
      </w:r>
      <w:proofErr w:type="spellStart"/>
      <w:r w:rsidRPr="00444B2E">
        <w:rPr>
          <w:rFonts w:ascii="Calibri" w:hAnsi="Calibri" w:cs="Calibri"/>
          <w:sz w:val="16"/>
          <w:szCs w:val="16"/>
        </w:rPr>
        <w:t>Klient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nevznese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žádný</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nárok</w:t>
      </w:r>
      <w:proofErr w:type="spellEnd"/>
      <w:r w:rsidRPr="00444B2E">
        <w:rPr>
          <w:rFonts w:ascii="Calibri" w:hAnsi="Calibri" w:cs="Calibri"/>
          <w:sz w:val="16"/>
          <w:szCs w:val="16"/>
        </w:rPr>
        <w:t xml:space="preserve"> ani </w:t>
      </w:r>
      <w:proofErr w:type="spellStart"/>
      <w:r w:rsidRPr="00444B2E">
        <w:rPr>
          <w:rFonts w:ascii="Calibri" w:hAnsi="Calibri" w:cs="Calibri"/>
          <w:sz w:val="16"/>
          <w:szCs w:val="16"/>
        </w:rPr>
        <w:t>nezahájí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řízení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jakékoli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povahy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ať</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jde</w:t>
      </w:r>
      <w:proofErr w:type="spellEnd"/>
      <w:r w:rsidRPr="00444B2E">
        <w:rPr>
          <w:rFonts w:ascii="Calibri" w:hAnsi="Calibri" w:cs="Calibri"/>
          <w:sz w:val="16"/>
          <w:szCs w:val="16"/>
        </w:rPr>
        <w:t xml:space="preserve"> o </w:t>
      </w:r>
      <w:proofErr w:type="spellStart"/>
      <w:r w:rsidRPr="00444B2E">
        <w:rPr>
          <w:rFonts w:ascii="Calibri" w:hAnsi="Calibri" w:cs="Calibri"/>
          <w:sz w:val="16"/>
          <w:szCs w:val="16"/>
        </w:rPr>
        <w:t>smlouvu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občanskoprávní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delikt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porušení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zákonné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povinnosti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jinou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záležitost</w:t>
      </w:r>
      <w:proofErr w:type="spellEnd"/>
      <w:r w:rsidRPr="00444B2E">
        <w:rPr>
          <w:rFonts w:ascii="Calibri" w:hAnsi="Calibri" w:cs="Calibri"/>
          <w:sz w:val="16"/>
          <w:szCs w:val="16"/>
        </w:rPr>
        <w:t xml:space="preserve">, a to </w:t>
      </w:r>
      <w:proofErr w:type="spellStart"/>
      <w:r w:rsidRPr="00444B2E">
        <w:rPr>
          <w:rFonts w:ascii="Calibri" w:hAnsi="Calibri" w:cs="Calibri"/>
          <w:sz w:val="16"/>
          <w:szCs w:val="16"/>
        </w:rPr>
        <w:t>včetně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mj</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žaloby</w:t>
      </w:r>
      <w:proofErr w:type="spellEnd"/>
      <w:r w:rsidRPr="00444B2E">
        <w:rPr>
          <w:rFonts w:ascii="Calibri" w:hAnsi="Calibri" w:cs="Calibri"/>
          <w:sz w:val="16"/>
          <w:szCs w:val="16"/>
        </w:rPr>
        <w:t xml:space="preserve"> pro </w:t>
      </w:r>
      <w:proofErr w:type="spellStart"/>
      <w:r w:rsidRPr="00444B2E">
        <w:rPr>
          <w:rFonts w:ascii="Calibri" w:hAnsi="Calibri" w:cs="Calibri"/>
          <w:sz w:val="16"/>
          <w:szCs w:val="16"/>
        </w:rPr>
        <w:t>nedbalost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žádným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způsobem</w:t>
      </w:r>
      <w:proofErr w:type="spellEnd"/>
      <w:r w:rsidRPr="00444B2E">
        <w:rPr>
          <w:rFonts w:ascii="Calibri" w:hAnsi="Calibri" w:cs="Calibri"/>
          <w:sz w:val="16"/>
          <w:szCs w:val="16"/>
        </w:rPr>
        <w:t xml:space="preserve"> s </w:t>
      </w:r>
      <w:proofErr w:type="spellStart"/>
      <w:r w:rsidRPr="00444B2E">
        <w:rPr>
          <w:rFonts w:ascii="Calibri" w:hAnsi="Calibri" w:cs="Calibri"/>
          <w:sz w:val="16"/>
          <w:szCs w:val="16"/>
        </w:rPr>
        <w:t>ohledem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v </w:t>
      </w:r>
      <w:proofErr w:type="spellStart"/>
      <w:r w:rsidRPr="00444B2E">
        <w:rPr>
          <w:rFonts w:ascii="Calibri" w:hAnsi="Calibri" w:cs="Calibri"/>
          <w:sz w:val="16"/>
          <w:szCs w:val="16"/>
        </w:rPr>
        <w:t>souvislosti</w:t>
      </w:r>
      <w:proofErr w:type="spellEnd"/>
      <w:r w:rsidRPr="00444B2E">
        <w:rPr>
          <w:rFonts w:ascii="Calibri" w:hAnsi="Calibri" w:cs="Calibri"/>
          <w:sz w:val="16"/>
          <w:szCs w:val="16"/>
        </w:rPr>
        <w:t xml:space="preserve"> s </w:t>
      </w:r>
      <w:proofErr w:type="spellStart"/>
      <w:r w:rsidRPr="00444B2E">
        <w:rPr>
          <w:rFonts w:ascii="Calibri" w:hAnsi="Calibri" w:cs="Calibri"/>
          <w:sz w:val="16"/>
          <w:szCs w:val="16"/>
        </w:rPr>
        <w:t>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proti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jakékoli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skupiny</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kromě</w:t>
      </w:r>
      <w:proofErr w:type="spellEnd"/>
      <w:r w:rsidRPr="00444B2E">
        <w:rPr>
          <w:rFonts w:ascii="Calibri" w:hAnsi="Calibri" w:cs="Calibri"/>
          <w:sz w:val="16"/>
          <w:szCs w:val="16"/>
        </w:rPr>
        <w:t xml:space="preserve"> Deloitte) a (c) </w:t>
      </w:r>
      <w:proofErr w:type="spellStart"/>
      <w:r w:rsidRPr="00444B2E">
        <w:rPr>
          <w:rFonts w:ascii="Calibri" w:hAnsi="Calibri" w:cs="Calibri"/>
          <w:sz w:val="16"/>
          <w:szCs w:val="16"/>
        </w:rPr>
        <w:t>Klient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zároveň</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zajistí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žádný</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člen</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skupiny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který</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nevznese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nárok</w:t>
      </w:r>
      <w:proofErr w:type="spellEnd"/>
      <w:r w:rsidRPr="00444B2E">
        <w:rPr>
          <w:rFonts w:ascii="Calibri" w:hAnsi="Calibri" w:cs="Calibri"/>
          <w:sz w:val="16"/>
          <w:szCs w:val="16"/>
        </w:rPr>
        <w:t xml:space="preserve"> ani </w:t>
      </w:r>
      <w:proofErr w:type="spellStart"/>
      <w:r w:rsidRPr="00444B2E">
        <w:rPr>
          <w:rFonts w:ascii="Calibri" w:hAnsi="Calibri" w:cs="Calibri"/>
          <w:sz w:val="16"/>
          <w:szCs w:val="16"/>
        </w:rPr>
        <w:t>nezahájí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řízení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jakékoli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povahy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ať</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jde</w:t>
      </w:r>
      <w:proofErr w:type="spellEnd"/>
      <w:r w:rsidRPr="00444B2E">
        <w:rPr>
          <w:rFonts w:ascii="Calibri" w:hAnsi="Calibri" w:cs="Calibri"/>
          <w:sz w:val="16"/>
          <w:szCs w:val="16"/>
        </w:rPr>
        <w:t xml:space="preserve"> o </w:t>
      </w:r>
      <w:proofErr w:type="spellStart"/>
      <w:r w:rsidRPr="00444B2E">
        <w:rPr>
          <w:rFonts w:ascii="Calibri" w:hAnsi="Calibri" w:cs="Calibri"/>
          <w:sz w:val="16"/>
          <w:szCs w:val="16"/>
        </w:rPr>
        <w:t>smlouvu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občanskoprávní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delikt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porušení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zákonné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povinnosti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jinou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záležitost</w:t>
      </w:r>
      <w:proofErr w:type="spellEnd"/>
      <w:r w:rsidRPr="00444B2E">
        <w:rPr>
          <w:rFonts w:ascii="Calibri" w:hAnsi="Calibri" w:cs="Calibri"/>
          <w:sz w:val="16"/>
          <w:szCs w:val="16"/>
        </w:rPr>
        <w:t xml:space="preserve">, a to </w:t>
      </w:r>
      <w:proofErr w:type="spellStart"/>
      <w:r w:rsidRPr="00444B2E">
        <w:rPr>
          <w:rFonts w:ascii="Calibri" w:hAnsi="Calibri" w:cs="Calibri"/>
          <w:sz w:val="16"/>
          <w:szCs w:val="16"/>
        </w:rPr>
        <w:t>včetně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mj</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žaloby</w:t>
      </w:r>
      <w:proofErr w:type="spellEnd"/>
      <w:r w:rsidRPr="00444B2E">
        <w:rPr>
          <w:rFonts w:ascii="Calibri" w:hAnsi="Calibri" w:cs="Calibri"/>
          <w:sz w:val="16"/>
          <w:szCs w:val="16"/>
        </w:rPr>
        <w:t xml:space="preserve"> pro </w:t>
      </w:r>
      <w:proofErr w:type="spellStart"/>
      <w:r w:rsidRPr="00444B2E">
        <w:rPr>
          <w:rFonts w:ascii="Calibri" w:hAnsi="Calibri" w:cs="Calibri"/>
          <w:sz w:val="16"/>
          <w:szCs w:val="16"/>
        </w:rPr>
        <w:t>nedbalost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jakýmkoli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způsobem</w:t>
      </w:r>
      <w:proofErr w:type="spellEnd"/>
      <w:r w:rsidRPr="00444B2E">
        <w:rPr>
          <w:rFonts w:ascii="Calibri" w:hAnsi="Calibri" w:cs="Calibri"/>
          <w:sz w:val="16"/>
          <w:szCs w:val="16"/>
        </w:rPr>
        <w:t xml:space="preserve"> s </w:t>
      </w:r>
      <w:proofErr w:type="spellStart"/>
      <w:r w:rsidRPr="00444B2E">
        <w:rPr>
          <w:rFonts w:ascii="Calibri" w:hAnsi="Calibri" w:cs="Calibri"/>
          <w:sz w:val="16"/>
          <w:szCs w:val="16"/>
        </w:rPr>
        <w:t>ohledem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v </w:t>
      </w:r>
      <w:proofErr w:type="spellStart"/>
      <w:r w:rsidRPr="00444B2E">
        <w:rPr>
          <w:rFonts w:ascii="Calibri" w:hAnsi="Calibri" w:cs="Calibri"/>
          <w:sz w:val="16"/>
          <w:szCs w:val="16"/>
        </w:rPr>
        <w:t>souvislosti</w:t>
      </w:r>
      <w:proofErr w:type="spellEnd"/>
      <w:r w:rsidRPr="00444B2E">
        <w:rPr>
          <w:rFonts w:ascii="Calibri" w:hAnsi="Calibri" w:cs="Calibri"/>
          <w:sz w:val="16"/>
          <w:szCs w:val="16"/>
        </w:rPr>
        <w:t xml:space="preserve"> s </w:t>
      </w:r>
      <w:proofErr w:type="spellStart"/>
      <w:r w:rsidRPr="00444B2E">
        <w:rPr>
          <w:rFonts w:ascii="Calibri" w:hAnsi="Calibri" w:cs="Calibri"/>
          <w:sz w:val="16"/>
          <w:szCs w:val="16"/>
        </w:rPr>
        <w:t>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proti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skupiny</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Žádný</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jednotlivý</w:t>
      </w:r>
      <w:proofErr w:type="spellEnd"/>
      <w:r w:rsidRPr="00444B2E">
        <w:rPr>
          <w:rFonts w:ascii="Calibri" w:hAnsi="Calibri" w:cs="Calibri"/>
          <w:sz w:val="16"/>
          <w:szCs w:val="16"/>
        </w:rPr>
        <w:t xml:space="preserve"> partner ani </w:t>
      </w:r>
      <w:proofErr w:type="spellStart"/>
      <w:r w:rsidRPr="00444B2E">
        <w:rPr>
          <w:rFonts w:ascii="Calibri" w:hAnsi="Calibri" w:cs="Calibri"/>
          <w:sz w:val="16"/>
          <w:szCs w:val="16"/>
        </w:rPr>
        <w:t>zaměstnanec</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nepřevezme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odpovědnost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včetně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odpovědnosti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sám</w:t>
      </w:r>
      <w:proofErr w:type="spellEnd"/>
      <w:r w:rsidRPr="00444B2E">
        <w:rPr>
          <w:rFonts w:ascii="Calibri" w:hAnsi="Calibri" w:cs="Calibri"/>
          <w:sz w:val="16"/>
          <w:szCs w:val="16"/>
        </w:rPr>
        <w:t xml:space="preserve"> za </w:t>
      </w:r>
      <w:proofErr w:type="spellStart"/>
      <w:r w:rsidRPr="00444B2E">
        <w:rPr>
          <w:rFonts w:ascii="Calibri" w:hAnsi="Calibri" w:cs="Calibri"/>
          <w:sz w:val="16"/>
          <w:szCs w:val="16"/>
        </w:rPr>
        <w:t>sebe</w:t>
      </w:r>
      <w:proofErr w:type="spellEnd"/>
      <w:r w:rsidRPr="00444B2E">
        <w:rPr>
          <w:rFonts w:ascii="Calibri" w:hAnsi="Calibri" w:cs="Calibri"/>
          <w:sz w:val="16"/>
          <w:szCs w:val="16"/>
        </w:rPr>
        <w:t xml:space="preserve">) za </w:t>
      </w:r>
      <w:proofErr w:type="spellStart"/>
      <w:r w:rsidRPr="00444B2E">
        <w:rPr>
          <w:rFonts w:ascii="Calibri" w:hAnsi="Calibri" w:cs="Calibri"/>
          <w:sz w:val="16"/>
          <w:szCs w:val="16"/>
        </w:rPr>
        <w:t>Služby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poskytované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podle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této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souhlasí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nevznese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žádný</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nárok</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vůči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jakémukoli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jednotlivému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partnerovi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zaměstnanci</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jelikož</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zůstává</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právně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odpovědná</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vůči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Klientovi</w:t>
      </w:r>
      <w:proofErr w:type="spellEnd"/>
      <w:r w:rsidRPr="00444B2E">
        <w:rPr>
          <w:rFonts w:ascii="Calibri" w:hAnsi="Calibri" w:cs="Calibri"/>
          <w:sz w:val="16"/>
          <w:szCs w:val="16"/>
        </w:rPr>
        <w:t xml:space="preserve"> za </w:t>
      </w:r>
      <w:proofErr w:type="spellStart"/>
      <w:r w:rsidRPr="00444B2E">
        <w:rPr>
          <w:rFonts w:ascii="Calibri" w:hAnsi="Calibri" w:cs="Calibri"/>
          <w:sz w:val="16"/>
          <w:szCs w:val="16"/>
        </w:rPr>
        <w:t>jednání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opomenutí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vztahu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Službám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poskytovaným</w:t>
      </w:r>
      <w:proofErr w:type="spellEnd"/>
      <w:r w:rsidRPr="00444B2E">
        <w:rPr>
          <w:rFonts w:ascii="Calibri" w:hAnsi="Calibri" w:cs="Calibri"/>
          <w:sz w:val="16"/>
          <w:szCs w:val="16"/>
        </w:rPr>
        <w:t xml:space="preserve"> za </w:t>
      </w:r>
      <w:proofErr w:type="spellStart"/>
      <w:r w:rsidRPr="00444B2E">
        <w:rPr>
          <w:rFonts w:ascii="Calibri" w:hAnsi="Calibri" w:cs="Calibri"/>
          <w:sz w:val="16"/>
          <w:szCs w:val="16"/>
        </w:rPr>
        <w:t>podmínek</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této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
    <w:p w14:paraId="1BA23F30" w14:textId="067DB294" w:rsidR="007E1716" w:rsidRPr="00444B2E" w:rsidRDefault="001F117F" w:rsidP="00903C7E">
      <w:pPr>
        <w:numPr>
          <w:ilvl w:val="0"/>
          <w:numId w:val="11"/>
        </w:numPr>
        <w:spacing w:after="120" w:line="120" w:lineRule="atLeast"/>
        <w:ind w:left="568" w:hanging="284"/>
        <w:jc w:val="both"/>
        <w:rPr>
          <w:rFonts w:ascii="Calibri" w:hAnsi="Calibri" w:cs="Calibri"/>
          <w:sz w:val="16"/>
          <w:szCs w:val="16"/>
        </w:rPr>
      </w:pPr>
      <w:proofErr w:type="spellStart"/>
      <w:r w:rsidRPr="00444B2E">
        <w:rPr>
          <w:rFonts w:ascii="Calibri" w:hAnsi="Calibri" w:cs="Calibri"/>
          <w:sz w:val="16"/>
          <w:szCs w:val="16"/>
        </w:rPr>
        <w:t>Pojem</w:t>
      </w:r>
      <w:proofErr w:type="spellEnd"/>
      <w:r w:rsidRPr="00444B2E">
        <w:rPr>
          <w:rFonts w:ascii="Calibri" w:hAnsi="Calibri" w:cs="Calibri"/>
          <w:sz w:val="16"/>
          <w:szCs w:val="16"/>
        </w:rPr>
        <w:t xml:space="preserve"> </w:t>
      </w:r>
      <w:r w:rsidR="007E1716" w:rsidRPr="00444B2E">
        <w:rPr>
          <w:rFonts w:ascii="Calibri" w:hAnsi="Calibri" w:cs="Calibri"/>
          <w:sz w:val="16"/>
          <w:szCs w:val="16"/>
        </w:rPr>
        <w:t>„</w:t>
      </w:r>
      <w:proofErr w:type="gramStart"/>
      <w:r w:rsidR="007E1716" w:rsidRPr="00444B2E">
        <w:rPr>
          <w:rFonts w:ascii="Calibri" w:hAnsi="Calibri" w:cs="Calibri"/>
          <w:sz w:val="16"/>
          <w:szCs w:val="16"/>
        </w:rPr>
        <w:t xml:space="preserve">Deloitte“ </w:t>
      </w:r>
      <w:proofErr w:type="spellStart"/>
      <w:r w:rsidR="007E1716" w:rsidRPr="00444B2E">
        <w:rPr>
          <w:rFonts w:ascii="Calibri" w:hAnsi="Calibri" w:cs="Calibri"/>
          <w:sz w:val="16"/>
          <w:szCs w:val="16"/>
        </w:rPr>
        <w:t>znamená</w:t>
      </w:r>
      <w:proofErr w:type="spellEnd"/>
      <w:proofErr w:type="gramEnd"/>
      <w:r w:rsidR="007E1716" w:rsidRPr="00444B2E">
        <w:rPr>
          <w:rFonts w:ascii="Calibri" w:hAnsi="Calibri" w:cs="Calibri"/>
          <w:sz w:val="16"/>
          <w:szCs w:val="16"/>
        </w:rPr>
        <w:t xml:space="preserve"> Deloitte Advisory </w:t>
      </w:r>
      <w:proofErr w:type="spellStart"/>
      <w:r w:rsidR="007E1716" w:rsidRPr="00444B2E">
        <w:rPr>
          <w:rFonts w:ascii="Calibri" w:hAnsi="Calibri" w:cs="Calibri"/>
          <w:sz w:val="16"/>
          <w:szCs w:val="16"/>
        </w:rPr>
        <w:t>s.r.o.</w:t>
      </w:r>
      <w:proofErr w:type="spellEnd"/>
      <w:r w:rsidR="007E1716" w:rsidRPr="00444B2E">
        <w:rPr>
          <w:rFonts w:ascii="Calibri" w:hAnsi="Calibri" w:cs="Calibri"/>
          <w:sz w:val="16"/>
          <w:szCs w:val="16"/>
        </w:rPr>
        <w:t xml:space="preserve">, IČO: 27582167, se </w:t>
      </w:r>
      <w:proofErr w:type="spellStart"/>
      <w:r w:rsidR="007E1716" w:rsidRPr="00444B2E">
        <w:rPr>
          <w:rFonts w:ascii="Calibri" w:hAnsi="Calibri" w:cs="Calibri"/>
          <w:sz w:val="16"/>
          <w:szCs w:val="16"/>
        </w:rPr>
        <w:t>sídlem</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Italská</w:t>
      </w:r>
      <w:proofErr w:type="spellEnd"/>
      <w:r w:rsidR="007E1716" w:rsidRPr="00444B2E">
        <w:rPr>
          <w:rFonts w:ascii="Calibri" w:hAnsi="Calibri" w:cs="Calibri"/>
          <w:sz w:val="16"/>
          <w:szCs w:val="16"/>
        </w:rPr>
        <w:t xml:space="preserve"> 2581/67, Vinohrady, 120 00 Praha 2, </w:t>
      </w:r>
      <w:proofErr w:type="spellStart"/>
      <w:r w:rsidR="007E1716" w:rsidRPr="00444B2E">
        <w:rPr>
          <w:rFonts w:ascii="Calibri" w:hAnsi="Calibri" w:cs="Calibri"/>
          <w:sz w:val="16"/>
          <w:szCs w:val="16"/>
        </w:rPr>
        <w:t>Česká</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republika</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zapsanou</w:t>
      </w:r>
      <w:proofErr w:type="spellEnd"/>
      <w:r w:rsidR="007E1716" w:rsidRPr="00444B2E">
        <w:rPr>
          <w:rFonts w:ascii="Calibri" w:hAnsi="Calibri" w:cs="Calibri"/>
          <w:sz w:val="16"/>
          <w:szCs w:val="16"/>
        </w:rPr>
        <w:t xml:space="preserve"> v </w:t>
      </w:r>
      <w:proofErr w:type="spellStart"/>
      <w:r w:rsidR="007E1716" w:rsidRPr="00444B2E">
        <w:rPr>
          <w:rFonts w:ascii="Calibri" w:hAnsi="Calibri" w:cs="Calibri"/>
          <w:sz w:val="16"/>
          <w:szCs w:val="16"/>
        </w:rPr>
        <w:t>obchodním</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rejstříku</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vedeném</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Městským</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soudem</w:t>
      </w:r>
      <w:proofErr w:type="spellEnd"/>
      <w:r w:rsidR="007E1716" w:rsidRPr="00444B2E">
        <w:rPr>
          <w:rFonts w:ascii="Calibri" w:hAnsi="Calibri" w:cs="Calibri"/>
          <w:sz w:val="16"/>
          <w:szCs w:val="16"/>
        </w:rPr>
        <w:t xml:space="preserve"> v </w:t>
      </w:r>
      <w:proofErr w:type="spellStart"/>
      <w:r w:rsidR="007E1716" w:rsidRPr="00444B2E">
        <w:rPr>
          <w:rFonts w:ascii="Calibri" w:hAnsi="Calibri" w:cs="Calibri"/>
          <w:sz w:val="16"/>
          <w:szCs w:val="16"/>
        </w:rPr>
        <w:t>Praze</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spis</w:t>
      </w:r>
      <w:proofErr w:type="spellEnd"/>
      <w:r w:rsidR="007E1716" w:rsidRPr="00444B2E">
        <w:rPr>
          <w:rFonts w:ascii="Calibri" w:hAnsi="Calibri" w:cs="Calibri"/>
          <w:sz w:val="16"/>
          <w:szCs w:val="16"/>
        </w:rPr>
        <w:t xml:space="preserve">. </w:t>
      </w:r>
      <w:proofErr w:type="spellStart"/>
      <w:r w:rsidR="007E1716" w:rsidRPr="00444B2E">
        <w:rPr>
          <w:rFonts w:ascii="Calibri" w:hAnsi="Calibri" w:cs="Calibri"/>
          <w:sz w:val="16"/>
          <w:szCs w:val="16"/>
        </w:rPr>
        <w:t>zn</w:t>
      </w:r>
      <w:proofErr w:type="spellEnd"/>
      <w:r w:rsidR="007E1716" w:rsidRPr="00444B2E">
        <w:rPr>
          <w:rFonts w:ascii="Calibri" w:hAnsi="Calibri" w:cs="Calibri"/>
          <w:sz w:val="16"/>
          <w:szCs w:val="16"/>
        </w:rPr>
        <w:t>.: C 113225</w:t>
      </w:r>
      <w:r w:rsidR="001250DD" w:rsidRPr="00444B2E">
        <w:rPr>
          <w:rFonts w:ascii="Calibri" w:hAnsi="Calibri" w:cs="Calibri"/>
          <w:sz w:val="16"/>
          <w:szCs w:val="16"/>
        </w:rPr>
        <w:t>.</w:t>
      </w:r>
    </w:p>
    <w:p w14:paraId="73521BD2" w14:textId="3BE1CDD0" w:rsidR="00903C7E" w:rsidRPr="00444B2E" w:rsidRDefault="007E1716" w:rsidP="00903C7E">
      <w:pPr>
        <w:numPr>
          <w:ilvl w:val="0"/>
          <w:numId w:val="11"/>
        </w:numPr>
        <w:spacing w:after="120" w:line="120" w:lineRule="atLeast"/>
        <w:ind w:left="568" w:hanging="284"/>
        <w:jc w:val="both"/>
        <w:rPr>
          <w:rFonts w:ascii="Calibri" w:hAnsi="Calibri" w:cs="Calibri"/>
          <w:sz w:val="16"/>
          <w:szCs w:val="16"/>
        </w:rPr>
      </w:pPr>
      <w:proofErr w:type="spellStart"/>
      <w:r w:rsidRPr="00444B2E">
        <w:rPr>
          <w:rFonts w:ascii="Calibri" w:hAnsi="Calibri" w:cs="Calibri"/>
          <w:sz w:val="16"/>
          <w:szCs w:val="16"/>
        </w:rPr>
        <w:t>Pojem</w:t>
      </w:r>
      <w:proofErr w:type="spellEnd"/>
      <w:r w:rsidRPr="00444B2E">
        <w:rPr>
          <w:rFonts w:ascii="Calibri" w:hAnsi="Calibri" w:cs="Calibri"/>
          <w:sz w:val="16"/>
          <w:szCs w:val="16"/>
        </w:rPr>
        <w:t xml:space="preserve"> </w:t>
      </w:r>
      <w:r w:rsidR="001F117F" w:rsidRPr="00444B2E">
        <w:rPr>
          <w:rFonts w:ascii="Calibri" w:hAnsi="Calibri" w:cs="Calibri"/>
          <w:sz w:val="16"/>
          <w:szCs w:val="16"/>
        </w:rPr>
        <w:t>„</w:t>
      </w:r>
      <w:proofErr w:type="spellStart"/>
      <w:r w:rsidR="001F117F" w:rsidRPr="00444B2E">
        <w:rPr>
          <w:rFonts w:ascii="Calibri" w:hAnsi="Calibri" w:cs="Calibri"/>
          <w:sz w:val="16"/>
          <w:szCs w:val="16"/>
        </w:rPr>
        <w:t>Společnosti</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skupiny</w:t>
      </w:r>
      <w:proofErr w:type="spellEnd"/>
      <w:r w:rsidR="001F117F" w:rsidRPr="00444B2E">
        <w:rPr>
          <w:rFonts w:ascii="Calibri" w:hAnsi="Calibri" w:cs="Calibri"/>
          <w:sz w:val="16"/>
          <w:szCs w:val="16"/>
        </w:rPr>
        <w:t xml:space="preserve"> </w:t>
      </w:r>
      <w:proofErr w:type="gramStart"/>
      <w:r w:rsidR="001F117F" w:rsidRPr="00444B2E">
        <w:rPr>
          <w:rFonts w:ascii="Calibri" w:hAnsi="Calibri" w:cs="Calibri"/>
          <w:sz w:val="16"/>
          <w:szCs w:val="16"/>
        </w:rPr>
        <w:t xml:space="preserve">Deloitte“ </w:t>
      </w:r>
      <w:proofErr w:type="spellStart"/>
      <w:r w:rsidR="001F117F" w:rsidRPr="00444B2E">
        <w:rPr>
          <w:rFonts w:ascii="Calibri" w:hAnsi="Calibri" w:cs="Calibri"/>
          <w:sz w:val="16"/>
          <w:szCs w:val="16"/>
        </w:rPr>
        <w:t>znamená</w:t>
      </w:r>
      <w:proofErr w:type="spellEnd"/>
      <w:proofErr w:type="gram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jednu</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či</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více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globální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sítě</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členských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společností</w:t>
      </w:r>
      <w:proofErr w:type="spellEnd"/>
      <w:r w:rsidR="001F117F" w:rsidRPr="00444B2E">
        <w:rPr>
          <w:rFonts w:ascii="Calibri" w:hAnsi="Calibri" w:cs="Calibri"/>
          <w:sz w:val="16"/>
          <w:szCs w:val="16"/>
        </w:rPr>
        <w:t xml:space="preserve"> Deloitte Touche Tohmatsu Limited („DTTL“) a </w:t>
      </w:r>
      <w:proofErr w:type="spellStart"/>
      <w:r w:rsidR="001F117F" w:rsidRPr="00444B2E">
        <w:rPr>
          <w:rFonts w:ascii="Calibri" w:hAnsi="Calibri" w:cs="Calibri"/>
          <w:sz w:val="16"/>
          <w:szCs w:val="16"/>
        </w:rPr>
        <w:t>jejich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dceřiné</w:t>
      </w:r>
      <w:proofErr w:type="spell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přidružené</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subjekty</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souhrnně</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jen</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organizace</w:t>
      </w:r>
      <w:proofErr w:type="spellEnd"/>
      <w:r w:rsidR="001F117F" w:rsidRPr="00444B2E">
        <w:rPr>
          <w:rFonts w:ascii="Calibri" w:hAnsi="Calibri" w:cs="Calibri"/>
          <w:sz w:val="16"/>
          <w:szCs w:val="16"/>
        </w:rPr>
        <w:t xml:space="preserve"> Deloitte“), </w:t>
      </w:r>
      <w:proofErr w:type="spellStart"/>
      <w:r w:rsidR="001F117F" w:rsidRPr="00444B2E">
        <w:rPr>
          <w:rFonts w:ascii="Calibri" w:hAnsi="Calibri" w:cs="Calibri"/>
          <w:sz w:val="16"/>
          <w:szCs w:val="16"/>
        </w:rPr>
        <w:t>jejich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právní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předchůdce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nástupce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postupníky</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včetně</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jejich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partnerů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představitelů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členů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statutárního</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orgánu</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majitelů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ředitelů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zaměstnanců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subdodavatelů</w:t>
      </w:r>
      <w:proofErr w:type="spell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zástupců</w:t>
      </w:r>
      <w:proofErr w:type="spellEnd"/>
      <w:r w:rsidR="001F117F" w:rsidRPr="00444B2E">
        <w:rPr>
          <w:rFonts w:ascii="Calibri" w:hAnsi="Calibri" w:cs="Calibri"/>
          <w:sz w:val="16"/>
          <w:szCs w:val="16"/>
        </w:rPr>
        <w:t>. DTTL (</w:t>
      </w:r>
      <w:proofErr w:type="spellStart"/>
      <w:r w:rsidR="001F117F" w:rsidRPr="00444B2E">
        <w:rPr>
          <w:rFonts w:ascii="Calibri" w:hAnsi="Calibri" w:cs="Calibri"/>
          <w:sz w:val="16"/>
          <w:szCs w:val="16"/>
        </w:rPr>
        <w:t>také</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označována</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jako</w:t>
      </w:r>
      <w:proofErr w:type="spellEnd"/>
      <w:r w:rsidR="001F117F" w:rsidRPr="00444B2E">
        <w:rPr>
          <w:rFonts w:ascii="Calibri" w:hAnsi="Calibri" w:cs="Calibri"/>
          <w:sz w:val="16"/>
          <w:szCs w:val="16"/>
        </w:rPr>
        <w:t xml:space="preserve"> „Deloitte </w:t>
      </w:r>
      <w:proofErr w:type="gramStart"/>
      <w:r w:rsidR="001F117F" w:rsidRPr="00444B2E">
        <w:rPr>
          <w:rFonts w:ascii="Calibri" w:hAnsi="Calibri" w:cs="Calibri"/>
          <w:sz w:val="16"/>
          <w:szCs w:val="16"/>
        </w:rPr>
        <w:t>Global“</w:t>
      </w:r>
      <w:proofErr w:type="gram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každá</w:t>
      </w:r>
      <w:proofErr w:type="spellEnd"/>
      <w:r w:rsidR="001F117F" w:rsidRPr="00444B2E">
        <w:rPr>
          <w:rFonts w:ascii="Calibri" w:hAnsi="Calibri" w:cs="Calibri"/>
          <w:sz w:val="16"/>
          <w:szCs w:val="16"/>
        </w:rPr>
        <w:t xml:space="preserve"> z </w:t>
      </w:r>
      <w:proofErr w:type="spellStart"/>
      <w:r w:rsidR="001F117F" w:rsidRPr="00444B2E">
        <w:rPr>
          <w:rFonts w:ascii="Calibri" w:hAnsi="Calibri" w:cs="Calibri"/>
          <w:sz w:val="16"/>
          <w:szCs w:val="16"/>
        </w:rPr>
        <w:t>jejích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členských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společností</w:t>
      </w:r>
      <w:proofErr w:type="spell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jejich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přidružených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subjektů</w:t>
      </w:r>
      <w:proofErr w:type="spellEnd"/>
      <w:r w:rsidR="001F117F" w:rsidRPr="00444B2E">
        <w:rPr>
          <w:rFonts w:ascii="Calibri" w:hAnsi="Calibri" w:cs="Calibri"/>
          <w:sz w:val="16"/>
          <w:szCs w:val="16"/>
        </w:rPr>
        <w:t xml:space="preserve"> je </w:t>
      </w:r>
      <w:proofErr w:type="spellStart"/>
      <w:r w:rsidR="001F117F" w:rsidRPr="00444B2E">
        <w:rPr>
          <w:rFonts w:ascii="Calibri" w:hAnsi="Calibri" w:cs="Calibri"/>
          <w:sz w:val="16"/>
          <w:szCs w:val="16"/>
        </w:rPr>
        <w:t>samostatným</w:t>
      </w:r>
      <w:proofErr w:type="spell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nezávislým</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právním</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subjektem</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který</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není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oprávněn</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zavazovat</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jinou</w:t>
      </w:r>
      <w:proofErr w:type="spellEnd"/>
      <w:r w:rsidR="001F117F" w:rsidRPr="00444B2E">
        <w:rPr>
          <w:rFonts w:ascii="Calibri" w:hAnsi="Calibri" w:cs="Calibri"/>
          <w:sz w:val="16"/>
          <w:szCs w:val="16"/>
        </w:rPr>
        <w:t xml:space="preserve"> z </w:t>
      </w:r>
      <w:proofErr w:type="spellStart"/>
      <w:r w:rsidR="001F117F" w:rsidRPr="00444B2E">
        <w:rPr>
          <w:rFonts w:ascii="Calibri" w:hAnsi="Calibri" w:cs="Calibri"/>
          <w:sz w:val="16"/>
          <w:szCs w:val="16"/>
        </w:rPr>
        <w:t>těchto</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členských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společností</w:t>
      </w:r>
      <w:proofErr w:type="spell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jejich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přidružených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ve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vztahu</w:t>
      </w:r>
      <w:proofErr w:type="spellEnd"/>
      <w:r w:rsidR="001F117F" w:rsidRPr="00444B2E">
        <w:rPr>
          <w:rFonts w:ascii="Calibri" w:hAnsi="Calibri" w:cs="Calibri"/>
          <w:sz w:val="16"/>
          <w:szCs w:val="16"/>
        </w:rPr>
        <w:t xml:space="preserve"> k </w:t>
      </w:r>
      <w:proofErr w:type="spellStart"/>
      <w:r w:rsidR="001F117F" w:rsidRPr="00444B2E">
        <w:rPr>
          <w:rFonts w:ascii="Calibri" w:hAnsi="Calibri" w:cs="Calibri"/>
          <w:sz w:val="16"/>
          <w:szCs w:val="16"/>
        </w:rPr>
        <w:t>třetím</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stranám</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Není</w:t>
      </w:r>
      <w:proofErr w:type="spellEnd"/>
      <w:r w:rsidR="001F117F" w:rsidRPr="00444B2E">
        <w:rPr>
          <w:rFonts w:ascii="Calibri" w:hAnsi="Calibri" w:cs="Calibri"/>
          <w:sz w:val="16"/>
          <w:szCs w:val="16"/>
        </w:rPr>
        <w:t>-li v </w:t>
      </w:r>
      <w:proofErr w:type="spellStart"/>
      <w:r w:rsidR="001F117F" w:rsidRPr="00444B2E">
        <w:rPr>
          <w:rFonts w:ascii="Calibri" w:hAnsi="Calibri" w:cs="Calibri"/>
          <w:sz w:val="16"/>
          <w:szCs w:val="16"/>
        </w:rPr>
        <w:t>této</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Smlouvě</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výslovně</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uvedeno</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jinak</w:t>
      </w:r>
      <w:proofErr w:type="spellEnd"/>
      <w:r w:rsidR="001F117F" w:rsidRPr="00444B2E">
        <w:rPr>
          <w:rFonts w:ascii="Calibri" w:hAnsi="Calibri" w:cs="Calibri"/>
          <w:sz w:val="16"/>
          <w:szCs w:val="16"/>
        </w:rPr>
        <w:t xml:space="preserve">, DTTL a </w:t>
      </w:r>
      <w:proofErr w:type="spellStart"/>
      <w:r w:rsidR="001F117F" w:rsidRPr="00444B2E">
        <w:rPr>
          <w:rFonts w:ascii="Calibri" w:hAnsi="Calibri" w:cs="Calibri"/>
          <w:sz w:val="16"/>
          <w:szCs w:val="16"/>
        </w:rPr>
        <w:t>každá</w:t>
      </w:r>
      <w:proofErr w:type="spellEnd"/>
      <w:r w:rsidR="001F117F" w:rsidRPr="00444B2E">
        <w:rPr>
          <w:rFonts w:ascii="Calibri" w:hAnsi="Calibri" w:cs="Calibri"/>
          <w:sz w:val="16"/>
          <w:szCs w:val="16"/>
        </w:rPr>
        <w:t xml:space="preserve"> z </w:t>
      </w:r>
      <w:proofErr w:type="spellStart"/>
      <w:r w:rsidR="001F117F" w:rsidRPr="00444B2E">
        <w:rPr>
          <w:rFonts w:ascii="Calibri" w:hAnsi="Calibri" w:cs="Calibri"/>
          <w:sz w:val="16"/>
          <w:szCs w:val="16"/>
        </w:rPr>
        <w:t>jejích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členských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společností</w:t>
      </w:r>
      <w:proofErr w:type="spell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přidružených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nese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odpovědnost</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pouze</w:t>
      </w:r>
      <w:proofErr w:type="spellEnd"/>
      <w:r w:rsidR="001F117F" w:rsidRPr="00444B2E">
        <w:rPr>
          <w:rFonts w:ascii="Calibri" w:hAnsi="Calibri" w:cs="Calibri"/>
          <w:sz w:val="16"/>
          <w:szCs w:val="16"/>
        </w:rPr>
        <w:t xml:space="preserve"> za </w:t>
      </w:r>
      <w:proofErr w:type="spellStart"/>
      <w:r w:rsidR="001F117F" w:rsidRPr="00444B2E">
        <w:rPr>
          <w:rFonts w:ascii="Calibri" w:hAnsi="Calibri" w:cs="Calibri"/>
          <w:sz w:val="16"/>
          <w:szCs w:val="16"/>
        </w:rPr>
        <w:t>své</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vlastní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jednání</w:t>
      </w:r>
      <w:proofErr w:type="spellEnd"/>
      <w:r w:rsidR="001F117F" w:rsidRPr="00444B2E">
        <w:rPr>
          <w:rFonts w:ascii="Calibri" w:hAnsi="Calibri" w:cs="Calibri"/>
          <w:sz w:val="16"/>
          <w:szCs w:val="16"/>
        </w:rPr>
        <w:t xml:space="preserve"> </w:t>
      </w:r>
      <w:proofErr w:type="gramStart"/>
      <w:r w:rsidR="001F117F" w:rsidRPr="00444B2E">
        <w:rPr>
          <w:rFonts w:ascii="Calibri" w:hAnsi="Calibri" w:cs="Calibri"/>
          <w:sz w:val="16"/>
          <w:szCs w:val="16"/>
        </w:rPr>
        <w:t>a</w:t>
      </w:r>
      <w:proofErr w:type="gram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opomenutí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nikoli</w:t>
      </w:r>
      <w:proofErr w:type="spellEnd"/>
      <w:r w:rsidR="001F117F" w:rsidRPr="00444B2E">
        <w:rPr>
          <w:rFonts w:ascii="Calibri" w:hAnsi="Calibri" w:cs="Calibri"/>
          <w:sz w:val="16"/>
          <w:szCs w:val="16"/>
        </w:rPr>
        <w:t xml:space="preserve"> za </w:t>
      </w:r>
      <w:proofErr w:type="spellStart"/>
      <w:r w:rsidR="001F117F" w:rsidRPr="00444B2E">
        <w:rPr>
          <w:rFonts w:ascii="Calibri" w:hAnsi="Calibri" w:cs="Calibri"/>
          <w:sz w:val="16"/>
          <w:szCs w:val="16"/>
        </w:rPr>
        <w:t>jednání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či</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opomenutí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jiných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členských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či</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přidružených</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subjektů</w:t>
      </w:r>
      <w:proofErr w:type="spellEnd"/>
      <w:r w:rsidR="001F117F" w:rsidRPr="00444B2E">
        <w:rPr>
          <w:rFonts w:ascii="Calibri" w:hAnsi="Calibri" w:cs="Calibri"/>
          <w:sz w:val="16"/>
          <w:szCs w:val="16"/>
        </w:rPr>
        <w:t xml:space="preserve">. „Deloitte </w:t>
      </w:r>
      <w:proofErr w:type="spellStart"/>
      <w:r w:rsidR="001F117F" w:rsidRPr="00444B2E">
        <w:rPr>
          <w:rFonts w:ascii="Calibri" w:hAnsi="Calibri" w:cs="Calibri"/>
          <w:sz w:val="16"/>
          <w:szCs w:val="16"/>
        </w:rPr>
        <w:t>ve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střední</w:t>
      </w:r>
      <w:proofErr w:type="spellEnd"/>
      <w:r w:rsidR="001F117F" w:rsidRPr="00444B2E">
        <w:rPr>
          <w:rFonts w:ascii="Calibri" w:hAnsi="Calibri" w:cs="Calibri"/>
          <w:sz w:val="16"/>
          <w:szCs w:val="16"/>
        </w:rPr>
        <w:t xml:space="preserve"> </w:t>
      </w:r>
      <w:proofErr w:type="spellStart"/>
      <w:proofErr w:type="gramStart"/>
      <w:r w:rsidR="001F117F" w:rsidRPr="00444B2E">
        <w:rPr>
          <w:rFonts w:ascii="Calibri" w:hAnsi="Calibri" w:cs="Calibri"/>
          <w:sz w:val="16"/>
          <w:szCs w:val="16"/>
        </w:rPr>
        <w:t>Evropě</w:t>
      </w:r>
      <w:proofErr w:type="spellEnd"/>
      <w:r w:rsidR="001F117F" w:rsidRPr="00444B2E">
        <w:rPr>
          <w:rFonts w:ascii="Calibri" w:hAnsi="Calibri" w:cs="Calibri"/>
          <w:sz w:val="16"/>
          <w:szCs w:val="16"/>
        </w:rPr>
        <w:t>“</w:t>
      </w:r>
      <w:proofErr w:type="gramEnd"/>
      <w:r w:rsidR="001F117F" w:rsidRPr="00444B2E">
        <w:rPr>
          <w:rFonts w:ascii="Calibri" w:hAnsi="Calibri" w:cs="Calibri"/>
          <w:sz w:val="16"/>
          <w:szCs w:val="16"/>
        </w:rPr>
        <w:t xml:space="preserve">, „Deloitte CE“ </w:t>
      </w:r>
      <w:proofErr w:type="spellStart"/>
      <w:r w:rsidR="001F117F" w:rsidRPr="00444B2E">
        <w:rPr>
          <w:rFonts w:ascii="Calibri" w:hAnsi="Calibri" w:cs="Calibri"/>
          <w:sz w:val="16"/>
          <w:szCs w:val="16"/>
        </w:rPr>
        <w:t>označuje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jeden</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nebo</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více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subjektů</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sdružených</w:t>
      </w:r>
      <w:proofErr w:type="spellEnd"/>
      <w:r w:rsidR="001F117F" w:rsidRPr="00444B2E">
        <w:rPr>
          <w:rFonts w:ascii="Calibri" w:hAnsi="Calibri" w:cs="Calibri"/>
          <w:sz w:val="16"/>
          <w:szCs w:val="16"/>
        </w:rPr>
        <w:t xml:space="preserve"> pod </w:t>
      </w:r>
      <w:proofErr w:type="spellStart"/>
      <w:r w:rsidR="001F117F" w:rsidRPr="00444B2E">
        <w:rPr>
          <w:rFonts w:ascii="Calibri" w:hAnsi="Calibri" w:cs="Calibri"/>
          <w:sz w:val="16"/>
          <w:szCs w:val="16"/>
        </w:rPr>
        <w:t>záštitou</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společnosti</w:t>
      </w:r>
      <w:proofErr w:type="spellEnd"/>
      <w:r w:rsidR="001F117F" w:rsidRPr="00444B2E">
        <w:rPr>
          <w:rFonts w:ascii="Calibri" w:hAnsi="Calibri" w:cs="Calibri"/>
          <w:sz w:val="16"/>
          <w:szCs w:val="16"/>
        </w:rPr>
        <w:t xml:space="preserve"> Deloitte Central Europe Holdings Limited, </w:t>
      </w:r>
      <w:proofErr w:type="spellStart"/>
      <w:r w:rsidR="001F117F" w:rsidRPr="00444B2E">
        <w:rPr>
          <w:rFonts w:ascii="Calibri" w:hAnsi="Calibri" w:cs="Calibri"/>
          <w:sz w:val="16"/>
          <w:szCs w:val="16"/>
        </w:rPr>
        <w:t>která</w:t>
      </w:r>
      <w:proofErr w:type="spellEnd"/>
      <w:r w:rsidR="001F117F" w:rsidRPr="00444B2E">
        <w:rPr>
          <w:rFonts w:ascii="Calibri" w:hAnsi="Calibri" w:cs="Calibri"/>
          <w:sz w:val="16"/>
          <w:szCs w:val="16"/>
        </w:rPr>
        <w:t xml:space="preserve"> je </w:t>
      </w:r>
      <w:proofErr w:type="spellStart"/>
      <w:r w:rsidR="001F117F" w:rsidRPr="00444B2E">
        <w:rPr>
          <w:rFonts w:ascii="Calibri" w:hAnsi="Calibri" w:cs="Calibri"/>
          <w:sz w:val="16"/>
          <w:szCs w:val="16"/>
        </w:rPr>
        <w:t>členskou</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společností</w:t>
      </w:r>
      <w:proofErr w:type="spellEnd"/>
      <w:r w:rsidR="001F117F" w:rsidRPr="00444B2E">
        <w:rPr>
          <w:rFonts w:ascii="Calibri" w:hAnsi="Calibri" w:cs="Calibri"/>
          <w:sz w:val="16"/>
          <w:szCs w:val="16"/>
        </w:rPr>
        <w:t xml:space="preserve"> Deloitte Touche Tohmatsu Limited </w:t>
      </w:r>
      <w:proofErr w:type="spellStart"/>
      <w:r w:rsidR="001F117F" w:rsidRPr="00444B2E">
        <w:rPr>
          <w:rFonts w:ascii="Calibri" w:hAnsi="Calibri" w:cs="Calibri"/>
          <w:sz w:val="16"/>
          <w:szCs w:val="16"/>
        </w:rPr>
        <w:t>ve</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střední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Evropě</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Odborné</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služby</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poskytují</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dceřiné</w:t>
      </w:r>
      <w:proofErr w:type="spell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přidružené</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subjekty</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společnosti</w:t>
      </w:r>
      <w:proofErr w:type="spellEnd"/>
      <w:r w:rsidR="001F117F" w:rsidRPr="00444B2E">
        <w:rPr>
          <w:rFonts w:ascii="Calibri" w:hAnsi="Calibri" w:cs="Calibri"/>
          <w:sz w:val="16"/>
          <w:szCs w:val="16"/>
        </w:rPr>
        <w:t xml:space="preserve"> Deloitte Central Europe Holdings Limited (</w:t>
      </w:r>
      <w:proofErr w:type="spellStart"/>
      <w:r w:rsidR="001F117F" w:rsidRPr="00444B2E">
        <w:rPr>
          <w:rFonts w:ascii="Calibri" w:hAnsi="Calibri" w:cs="Calibri"/>
          <w:sz w:val="16"/>
          <w:szCs w:val="16"/>
        </w:rPr>
        <w:t>spřízněné</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společnosti</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které</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jsou</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samostatnými</w:t>
      </w:r>
      <w:proofErr w:type="spellEnd"/>
      <w:r w:rsidR="001F117F" w:rsidRPr="00444B2E">
        <w:rPr>
          <w:rFonts w:ascii="Calibri" w:hAnsi="Calibri" w:cs="Calibri"/>
          <w:sz w:val="16"/>
          <w:szCs w:val="16"/>
        </w:rPr>
        <w:t xml:space="preserve"> a </w:t>
      </w:r>
      <w:proofErr w:type="spellStart"/>
      <w:r w:rsidR="001F117F" w:rsidRPr="00444B2E">
        <w:rPr>
          <w:rFonts w:ascii="Calibri" w:hAnsi="Calibri" w:cs="Calibri"/>
          <w:sz w:val="16"/>
          <w:szCs w:val="16"/>
        </w:rPr>
        <w:t>nezávislými</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právními</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subjekty</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w:t>
      </w:r>
      <w:proofErr w:type="spellEnd"/>
      <w:r w:rsidR="001F117F" w:rsidRPr="00444B2E">
        <w:rPr>
          <w:rFonts w:ascii="Calibri" w:hAnsi="Calibri" w:cs="Calibri"/>
          <w:sz w:val="16"/>
          <w:szCs w:val="16"/>
        </w:rPr>
        <w:t xml:space="preserve"> </w:t>
      </w:r>
      <w:r w:rsidR="001F117F" w:rsidRPr="00444B2E">
        <w:rPr>
          <w:rFonts w:ascii="Calibri" w:hAnsi="Calibri" w:cs="Calibri"/>
          <w:sz w:val="16"/>
          <w:szCs w:val="16"/>
          <w:lang w:val="cs-CZ"/>
        </w:rPr>
        <w:t>Deloitte Advisory s.r.o.</w:t>
      </w:r>
      <w:r w:rsidR="001F117F" w:rsidRPr="00444B2E">
        <w:rPr>
          <w:rFonts w:ascii="Calibri" w:hAnsi="Calibri" w:cs="Calibri"/>
          <w:sz w:val="16"/>
          <w:szCs w:val="16"/>
        </w:rPr>
        <w:t xml:space="preserve"> je </w:t>
      </w:r>
      <w:proofErr w:type="spellStart"/>
      <w:r w:rsidR="001F117F" w:rsidRPr="00444B2E">
        <w:rPr>
          <w:rFonts w:ascii="Calibri" w:hAnsi="Calibri" w:cs="Calibri"/>
          <w:sz w:val="16"/>
          <w:szCs w:val="16"/>
        </w:rPr>
        <w:t>dceřinou</w:t>
      </w:r>
      <w:proofErr w:type="spellEnd"/>
      <w:r w:rsidR="001F117F" w:rsidRPr="00444B2E">
        <w:rPr>
          <w:rFonts w:ascii="Calibri" w:hAnsi="Calibri" w:cs="Calibri"/>
          <w:sz w:val="16"/>
          <w:szCs w:val="16"/>
        </w:rPr>
        <w:t xml:space="preserve"> </w:t>
      </w:r>
      <w:proofErr w:type="spellStart"/>
      <w:r w:rsidR="001F117F" w:rsidRPr="00444B2E">
        <w:rPr>
          <w:rFonts w:ascii="Calibri" w:hAnsi="Calibri" w:cs="Calibri"/>
          <w:sz w:val="16"/>
          <w:szCs w:val="16"/>
        </w:rPr>
        <w:t>společností</w:t>
      </w:r>
      <w:proofErr w:type="spellEnd"/>
      <w:r w:rsidR="001F117F" w:rsidRPr="00444B2E">
        <w:rPr>
          <w:rFonts w:ascii="Calibri" w:hAnsi="Calibri" w:cs="Calibri"/>
          <w:sz w:val="16"/>
          <w:szCs w:val="16"/>
        </w:rPr>
        <w:t xml:space="preserve"> Deloitte Central Europe Holdings Limited.</w:t>
      </w:r>
    </w:p>
    <w:p w14:paraId="30023B0E" w14:textId="77777777" w:rsidR="00903C7E" w:rsidRPr="00444B2E" w:rsidRDefault="00903C7E" w:rsidP="00903C7E">
      <w:pPr>
        <w:keepNext/>
        <w:numPr>
          <w:ilvl w:val="0"/>
          <w:numId w:val="12"/>
        </w:numPr>
        <w:spacing w:after="120" w:line="120" w:lineRule="atLeast"/>
        <w:ind w:left="568" w:right="68" w:hanging="284"/>
        <w:jc w:val="both"/>
        <w:outlineLvl w:val="0"/>
        <w:rPr>
          <w:rFonts w:ascii="Calibri" w:hAnsi="Calibri" w:cs="Calibri"/>
          <w:b/>
          <w:kern w:val="28"/>
          <w:sz w:val="16"/>
          <w:szCs w:val="16"/>
        </w:rPr>
      </w:pPr>
      <w:proofErr w:type="spellStart"/>
      <w:r w:rsidRPr="00444B2E">
        <w:rPr>
          <w:rFonts w:ascii="Calibri" w:hAnsi="Calibri" w:cs="Calibri"/>
          <w:b/>
          <w:kern w:val="28"/>
          <w:sz w:val="16"/>
          <w:szCs w:val="16"/>
        </w:rPr>
        <w:t>Odpovědnosti</w:t>
      </w:r>
      <w:proofErr w:type="spellEnd"/>
      <w:r w:rsidRPr="00444B2E">
        <w:rPr>
          <w:rFonts w:ascii="Calibri" w:hAnsi="Calibri" w:cs="Calibri"/>
          <w:b/>
          <w:kern w:val="28"/>
          <w:sz w:val="16"/>
          <w:szCs w:val="16"/>
        </w:rPr>
        <w:t xml:space="preserve"> </w:t>
      </w:r>
      <w:proofErr w:type="spellStart"/>
      <w:r w:rsidRPr="00444B2E">
        <w:rPr>
          <w:rFonts w:ascii="Calibri" w:hAnsi="Calibri" w:cs="Calibri"/>
          <w:b/>
          <w:kern w:val="28"/>
          <w:sz w:val="16"/>
          <w:szCs w:val="16"/>
        </w:rPr>
        <w:t>Klienta</w:t>
      </w:r>
      <w:proofErr w:type="spellEnd"/>
      <w:r w:rsidRPr="00444B2E">
        <w:rPr>
          <w:rFonts w:ascii="Calibri" w:hAnsi="Calibri" w:cs="Calibri"/>
          <w:b/>
          <w:kern w:val="28"/>
          <w:sz w:val="16"/>
          <w:szCs w:val="16"/>
        </w:rPr>
        <w:t xml:space="preserve"> a Deloitte </w:t>
      </w:r>
    </w:p>
    <w:p w14:paraId="60A053FD" w14:textId="77777777" w:rsidR="00903C7E" w:rsidRPr="00444B2E" w:rsidRDefault="00903C7E" w:rsidP="00903C7E">
      <w:pPr>
        <w:numPr>
          <w:ilvl w:val="0"/>
          <w:numId w:val="15"/>
        </w:numPr>
        <w:spacing w:after="120" w:line="120" w:lineRule="atLeast"/>
        <w:ind w:left="568" w:hanging="284"/>
        <w:jc w:val="both"/>
        <w:rPr>
          <w:rFonts w:ascii="Calibri" w:hAnsi="Calibri" w:cs="Calibri"/>
          <w:b/>
          <w:sz w:val="16"/>
          <w:szCs w:val="16"/>
        </w:rPr>
      </w:pPr>
      <w:proofErr w:type="spellStart"/>
      <w:r w:rsidRPr="00444B2E">
        <w:rPr>
          <w:rFonts w:ascii="Calibri" w:hAnsi="Calibri" w:cs="Calibri"/>
          <w:b/>
          <w:sz w:val="16"/>
          <w:szCs w:val="16"/>
        </w:rPr>
        <w:t>Odpovědnosti</w:t>
      </w:r>
      <w:proofErr w:type="spellEnd"/>
      <w:r w:rsidRPr="00444B2E">
        <w:rPr>
          <w:rFonts w:ascii="Calibri" w:hAnsi="Calibri" w:cs="Calibri"/>
          <w:b/>
          <w:sz w:val="16"/>
          <w:szCs w:val="16"/>
        </w:rPr>
        <w:t xml:space="preserve"> </w:t>
      </w:r>
      <w:proofErr w:type="spellStart"/>
      <w:r w:rsidRPr="00444B2E">
        <w:rPr>
          <w:rFonts w:ascii="Calibri" w:hAnsi="Calibri" w:cs="Calibri"/>
          <w:b/>
          <w:sz w:val="16"/>
          <w:szCs w:val="16"/>
        </w:rPr>
        <w:t>Klienta</w:t>
      </w:r>
      <w:proofErr w:type="spellEnd"/>
    </w:p>
    <w:p w14:paraId="01C2EAD4" w14:textId="33B1AB28" w:rsidR="00903C7E" w:rsidRPr="00444B2E" w:rsidRDefault="00903C7E" w:rsidP="00903C7E">
      <w:pPr>
        <w:numPr>
          <w:ilvl w:val="0"/>
          <w:numId w:val="10"/>
        </w:numPr>
        <w:tabs>
          <w:tab w:val="left" w:pos="567"/>
        </w:tabs>
        <w:spacing w:after="120" w:line="120" w:lineRule="atLeast"/>
        <w:ind w:left="568" w:right="70" w:hanging="284"/>
        <w:jc w:val="both"/>
        <w:rPr>
          <w:rFonts w:ascii="Calibri" w:hAnsi="Calibri" w:cs="Calibri"/>
          <w:sz w:val="16"/>
          <w:szCs w:val="16"/>
          <w:lang w:val="de-DE"/>
        </w:rPr>
      </w:pPr>
      <w:r w:rsidRPr="00444B2E">
        <w:rPr>
          <w:rFonts w:ascii="Calibri" w:hAnsi="Calibri" w:cs="Calibri"/>
          <w:sz w:val="16"/>
          <w:szCs w:val="16"/>
          <w:lang w:val="de-DE"/>
        </w:rPr>
        <w:t xml:space="preserve">Klient je </w:t>
      </w:r>
      <w:proofErr w:type="spellStart"/>
      <w:r w:rsidRPr="00444B2E">
        <w:rPr>
          <w:rFonts w:ascii="Calibri" w:hAnsi="Calibri" w:cs="Calibri"/>
          <w:sz w:val="16"/>
          <w:szCs w:val="16"/>
          <w:lang w:val="de-DE"/>
        </w:rPr>
        <w:t>odpovědný</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stanovení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rozsahu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Klient </w:t>
      </w:r>
      <w:proofErr w:type="spellStart"/>
      <w:r w:rsidRPr="00444B2E">
        <w:rPr>
          <w:rFonts w:ascii="Calibri" w:hAnsi="Calibri" w:cs="Calibri"/>
          <w:sz w:val="16"/>
          <w:szCs w:val="16"/>
          <w:lang w:val="de-DE"/>
        </w:rPr>
        <w:t>poskytne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součinnost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společnosti</w:t>
      </w:r>
      <w:proofErr w:type="spellEnd"/>
      <w:r w:rsidRPr="00444B2E">
        <w:rPr>
          <w:rFonts w:ascii="Calibri" w:hAnsi="Calibri" w:cs="Calibri"/>
          <w:sz w:val="16"/>
          <w:szCs w:val="16"/>
          <w:lang w:val="de-DE"/>
        </w:rPr>
        <w:t xml:space="preserve"> Deloitte a </w:t>
      </w:r>
      <w:proofErr w:type="spellStart"/>
      <w:r w:rsidRPr="00444B2E">
        <w:rPr>
          <w:rFonts w:ascii="Calibri" w:hAnsi="Calibri" w:cs="Calibri"/>
          <w:sz w:val="16"/>
          <w:szCs w:val="16"/>
          <w:lang w:val="de-DE"/>
        </w:rPr>
        <w:t>jejím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Subdodavatelům</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souvislosti</w:t>
      </w:r>
      <w:proofErr w:type="spellEnd"/>
      <w:r w:rsidRPr="00444B2E">
        <w:rPr>
          <w:rFonts w:ascii="Calibri" w:hAnsi="Calibri" w:cs="Calibri"/>
          <w:sz w:val="16"/>
          <w:szCs w:val="16"/>
          <w:lang w:val="de-DE"/>
        </w:rPr>
        <w:t xml:space="preserve"> s </w:t>
      </w:r>
      <w:proofErr w:type="spellStart"/>
      <w:r w:rsidRPr="00444B2E">
        <w:rPr>
          <w:rFonts w:ascii="Calibri" w:hAnsi="Calibri" w:cs="Calibri"/>
          <w:sz w:val="16"/>
          <w:szCs w:val="16"/>
          <w:lang w:val="de-DE"/>
        </w:rPr>
        <w:t>poskytováním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včetně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mj</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poskytnutí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společnosti</w:t>
      </w:r>
      <w:proofErr w:type="spellEnd"/>
      <w:r w:rsidRPr="00444B2E">
        <w:rPr>
          <w:rFonts w:ascii="Calibri" w:hAnsi="Calibri" w:cs="Calibri"/>
          <w:sz w:val="16"/>
          <w:szCs w:val="16"/>
          <w:lang w:val="de-DE"/>
        </w:rPr>
        <w:t xml:space="preserve"> Deloitte a </w:t>
      </w:r>
      <w:proofErr w:type="spellStart"/>
      <w:r w:rsidRPr="00444B2E">
        <w:rPr>
          <w:rFonts w:ascii="Calibri" w:hAnsi="Calibri" w:cs="Calibri"/>
          <w:sz w:val="16"/>
          <w:szCs w:val="16"/>
          <w:lang w:val="de-DE"/>
        </w:rPr>
        <w:t>jejím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Subdodavatelům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přiměřeného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zařízení</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včasného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přístupu</w:t>
      </w:r>
      <w:proofErr w:type="spellEnd"/>
      <w:r w:rsidRPr="00444B2E">
        <w:rPr>
          <w:rFonts w:ascii="Calibri" w:hAnsi="Calibri" w:cs="Calibri"/>
          <w:sz w:val="16"/>
          <w:szCs w:val="16"/>
          <w:lang w:val="de-DE"/>
        </w:rPr>
        <w:t xml:space="preserve"> k </w:t>
      </w:r>
      <w:proofErr w:type="spellStart"/>
      <w:r w:rsidRPr="00444B2E">
        <w:rPr>
          <w:rFonts w:ascii="Calibri" w:hAnsi="Calibri" w:cs="Calibri"/>
          <w:sz w:val="16"/>
          <w:szCs w:val="16"/>
          <w:lang w:val="de-DE"/>
        </w:rPr>
        <w:t>údajům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systémům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informacím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prostorám</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personálu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skupiny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jiných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osob</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jejichž</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součinnost</w:t>
      </w:r>
      <w:proofErr w:type="spellEnd"/>
      <w:r w:rsidRPr="00444B2E">
        <w:rPr>
          <w:rFonts w:ascii="Calibri" w:hAnsi="Calibri" w:cs="Calibri"/>
          <w:sz w:val="16"/>
          <w:szCs w:val="16"/>
          <w:lang w:val="de-DE"/>
        </w:rPr>
        <w:t xml:space="preserve"> je </w:t>
      </w:r>
      <w:proofErr w:type="spellStart"/>
      <w:r w:rsidRPr="00444B2E">
        <w:rPr>
          <w:rFonts w:ascii="Calibri" w:hAnsi="Calibri" w:cs="Calibri"/>
          <w:sz w:val="16"/>
          <w:szCs w:val="16"/>
          <w:lang w:val="de-DE"/>
        </w:rPr>
        <w:t>nezbytná</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jež</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mají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příslušné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dovednosti</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zkušenosti</w:t>
      </w:r>
      <w:proofErr w:type="spellEnd"/>
      <w:r w:rsidRPr="00444B2E">
        <w:rPr>
          <w:rFonts w:ascii="Calibri" w:hAnsi="Calibri" w:cs="Calibri"/>
          <w:sz w:val="16"/>
          <w:szCs w:val="16"/>
          <w:lang w:val="de-DE"/>
        </w:rPr>
        <w:t xml:space="preserve"> pro </w:t>
      </w:r>
      <w:proofErr w:type="spellStart"/>
      <w:r w:rsidRPr="00444B2E">
        <w:rPr>
          <w:rFonts w:ascii="Calibri" w:hAnsi="Calibri" w:cs="Calibri"/>
          <w:sz w:val="16"/>
          <w:szCs w:val="16"/>
          <w:lang w:val="de-DE"/>
        </w:rPr>
        <w:t>poskytování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Klient </w:t>
      </w:r>
      <w:proofErr w:type="spellStart"/>
      <w:r w:rsidRPr="00444B2E">
        <w:rPr>
          <w:rFonts w:ascii="Calibri" w:hAnsi="Calibri" w:cs="Calibri"/>
          <w:sz w:val="16"/>
          <w:szCs w:val="16"/>
          <w:lang w:val="de-DE"/>
        </w:rPr>
        <w:t>bude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odpovědný</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řízení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takového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personálu</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jeho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výkonnost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včetně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časových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harmonogramů</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kvality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jejich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vstupů</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práce</w:t>
      </w:r>
      <w:proofErr w:type="spellEnd"/>
      <w:r w:rsidRPr="00444B2E">
        <w:rPr>
          <w:rFonts w:ascii="Calibri" w:hAnsi="Calibri" w:cs="Calibri"/>
          <w:sz w:val="16"/>
          <w:szCs w:val="16"/>
          <w:lang w:val="de-DE"/>
        </w:rPr>
        <w:t xml:space="preserve">. Klient je </w:t>
      </w:r>
      <w:proofErr w:type="spellStart"/>
      <w:r w:rsidRPr="00444B2E">
        <w:rPr>
          <w:rFonts w:ascii="Calibri" w:hAnsi="Calibri" w:cs="Calibri"/>
          <w:sz w:val="16"/>
          <w:szCs w:val="16"/>
          <w:lang w:val="de-DE"/>
        </w:rPr>
        <w:t>odpovědný</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činnost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svého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personálu</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zástupců</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včasnost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přesnost</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úplnost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všech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údajů</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informací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včetně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všech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finančních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informací</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výkazů</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poskytnutých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společnosti</w:t>
      </w:r>
      <w:proofErr w:type="spellEnd"/>
      <w:r w:rsidRPr="00444B2E">
        <w:rPr>
          <w:rFonts w:ascii="Calibri" w:hAnsi="Calibri" w:cs="Calibri"/>
          <w:sz w:val="16"/>
          <w:szCs w:val="16"/>
          <w:lang w:val="de-DE"/>
        </w:rPr>
        <w:t xml:space="preserve"> Deloitte a </w:t>
      </w:r>
      <w:proofErr w:type="spellStart"/>
      <w:r w:rsidRPr="00444B2E">
        <w:rPr>
          <w:rFonts w:ascii="Calibri" w:hAnsi="Calibri" w:cs="Calibri"/>
          <w:sz w:val="16"/>
          <w:szCs w:val="16"/>
          <w:lang w:val="de-DE"/>
        </w:rPr>
        <w:t>jejím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Subdodavatelům</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implementaci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všech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výstupů</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stanovisek</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zpráv</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jiných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výsledků</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práce</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jakékoli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formě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Výstup</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poskytnutých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společností</w:t>
      </w:r>
      <w:proofErr w:type="spellEnd"/>
      <w:r w:rsidRPr="00444B2E">
        <w:rPr>
          <w:rFonts w:ascii="Calibri" w:hAnsi="Calibri" w:cs="Calibri"/>
          <w:sz w:val="16"/>
          <w:szCs w:val="16"/>
          <w:lang w:val="de-DE"/>
        </w:rPr>
        <w:t xml:space="preserve"> Deloitte </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jejím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jménem</w:t>
      </w:r>
      <w:proofErr w:type="spellEnd"/>
      <w:r w:rsidRPr="00444B2E">
        <w:rPr>
          <w:rFonts w:ascii="Calibri" w:hAnsi="Calibri" w:cs="Calibri"/>
          <w:sz w:val="16"/>
          <w:szCs w:val="16"/>
          <w:lang w:val="de-DE"/>
        </w:rPr>
        <w:t xml:space="preserve"> a/</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jejími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Subdodavateli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či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jejich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jménem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jako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součást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Pokud</w:t>
      </w:r>
      <w:proofErr w:type="spellEnd"/>
      <w:r w:rsidRPr="00444B2E">
        <w:rPr>
          <w:rFonts w:ascii="Calibri" w:hAnsi="Calibri" w:cs="Calibri"/>
          <w:sz w:val="16"/>
          <w:szCs w:val="16"/>
          <w:lang w:val="de-DE"/>
        </w:rPr>
        <w:t xml:space="preserve"> se Klient </w:t>
      </w:r>
      <w:proofErr w:type="spellStart"/>
      <w:r w:rsidRPr="00444B2E">
        <w:rPr>
          <w:rFonts w:ascii="Calibri" w:hAnsi="Calibri" w:cs="Calibri"/>
          <w:sz w:val="16"/>
          <w:szCs w:val="16"/>
          <w:lang w:val="de-DE"/>
        </w:rPr>
        <w:t>dozví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že</w:t>
      </w:r>
      <w:proofErr w:type="spellEnd"/>
      <w:r w:rsidRPr="00444B2E">
        <w:rPr>
          <w:rFonts w:ascii="Calibri" w:hAnsi="Calibri" w:cs="Calibri"/>
          <w:sz w:val="16"/>
          <w:szCs w:val="16"/>
          <w:lang w:val="de-DE"/>
        </w:rPr>
        <w:t xml:space="preserve"> je </w:t>
      </w:r>
      <w:proofErr w:type="spellStart"/>
      <w:r w:rsidRPr="00444B2E">
        <w:rPr>
          <w:rFonts w:ascii="Calibri" w:hAnsi="Calibri" w:cs="Calibri"/>
          <w:sz w:val="16"/>
          <w:szCs w:val="16"/>
          <w:lang w:val="de-DE"/>
        </w:rPr>
        <w:t>jakákoli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informace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nepravdivá</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zavádějící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bude</w:t>
      </w:r>
      <w:proofErr w:type="spellEnd"/>
      <w:r w:rsidRPr="00444B2E">
        <w:rPr>
          <w:rFonts w:ascii="Calibri" w:hAnsi="Calibri" w:cs="Calibri"/>
          <w:sz w:val="16"/>
          <w:szCs w:val="16"/>
          <w:lang w:val="de-DE"/>
        </w:rPr>
        <w:t xml:space="preserve"> o </w:t>
      </w:r>
      <w:proofErr w:type="spellStart"/>
      <w:r w:rsidRPr="00444B2E">
        <w:rPr>
          <w:rFonts w:ascii="Calibri" w:hAnsi="Calibri" w:cs="Calibri"/>
          <w:sz w:val="16"/>
          <w:szCs w:val="16"/>
          <w:lang w:val="de-DE"/>
        </w:rPr>
        <w:t>takové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skutečnosti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bezodkladně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informovat</w:t>
      </w:r>
      <w:proofErr w:type="spellEnd"/>
      <w:r w:rsidRPr="00444B2E">
        <w:rPr>
          <w:rFonts w:ascii="Calibri" w:hAnsi="Calibri" w:cs="Calibri"/>
          <w:sz w:val="16"/>
          <w:szCs w:val="16"/>
          <w:lang w:val="de-DE"/>
        </w:rPr>
        <w:t xml:space="preserve"> Deloitte. </w:t>
      </w:r>
      <w:proofErr w:type="spellStart"/>
      <w:r w:rsidRPr="00444B2E">
        <w:rPr>
          <w:rFonts w:ascii="Calibri" w:hAnsi="Calibri" w:cs="Calibri"/>
          <w:sz w:val="16"/>
          <w:szCs w:val="16"/>
          <w:lang w:val="de-DE"/>
        </w:rPr>
        <w:t>Společnost</w:t>
      </w:r>
      <w:proofErr w:type="spellEnd"/>
      <w:r w:rsidRPr="00444B2E">
        <w:rPr>
          <w:rFonts w:ascii="Calibri" w:hAnsi="Calibri" w:cs="Calibri"/>
          <w:sz w:val="16"/>
          <w:szCs w:val="16"/>
          <w:lang w:val="de-DE"/>
        </w:rPr>
        <w:t xml:space="preserve"> Deloitte a </w:t>
      </w:r>
      <w:proofErr w:type="spellStart"/>
      <w:r w:rsidRPr="00444B2E">
        <w:rPr>
          <w:rFonts w:ascii="Calibri" w:hAnsi="Calibri" w:cs="Calibri"/>
          <w:sz w:val="16"/>
          <w:szCs w:val="16"/>
          <w:lang w:val="de-DE"/>
        </w:rPr>
        <w:t>její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Subdodavatelé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mohou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používat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informace</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údaje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dodané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Klientem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jinými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osobami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identifikovanými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Klientem</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spoléhat</w:t>
      </w:r>
      <w:proofErr w:type="spellEnd"/>
      <w:r w:rsidRPr="00444B2E">
        <w:rPr>
          <w:rFonts w:ascii="Calibri" w:hAnsi="Calibri" w:cs="Calibri"/>
          <w:sz w:val="16"/>
          <w:szCs w:val="16"/>
          <w:lang w:val="de-DE"/>
        </w:rPr>
        <w:t xml:space="preserve"> se na </w:t>
      </w:r>
      <w:proofErr w:type="spellStart"/>
      <w:r w:rsidRPr="00444B2E">
        <w:rPr>
          <w:rFonts w:ascii="Calibri" w:hAnsi="Calibri" w:cs="Calibri"/>
          <w:sz w:val="16"/>
          <w:szCs w:val="16"/>
          <w:lang w:val="de-DE"/>
        </w:rPr>
        <w:t>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bez</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ověření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Poskytování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závisí</w:t>
      </w:r>
      <w:proofErr w:type="spellEnd"/>
      <w:r w:rsidRPr="00444B2E">
        <w:rPr>
          <w:rFonts w:ascii="Calibri" w:hAnsi="Calibri" w:cs="Calibri"/>
          <w:sz w:val="16"/>
          <w:szCs w:val="16"/>
          <w:lang w:val="de-DE"/>
        </w:rPr>
        <w:t xml:space="preserve"> na </w:t>
      </w:r>
      <w:proofErr w:type="spellStart"/>
      <w:r w:rsidRPr="00444B2E">
        <w:rPr>
          <w:rFonts w:ascii="Calibri" w:hAnsi="Calibri" w:cs="Calibri"/>
          <w:sz w:val="16"/>
          <w:szCs w:val="16"/>
          <w:lang w:val="de-DE"/>
        </w:rPr>
        <w:lastRenderedPageBreak/>
        <w:t>včasném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plnění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odpovědností</w:t>
      </w:r>
      <w:proofErr w:type="spellEnd"/>
      <w:r w:rsidRPr="00444B2E">
        <w:rPr>
          <w:rFonts w:ascii="Calibri" w:hAnsi="Calibri" w:cs="Calibri"/>
          <w:sz w:val="16"/>
          <w:szCs w:val="16"/>
          <w:lang w:val="de-DE"/>
        </w:rPr>
        <w:t xml:space="preserve"> ze </w:t>
      </w:r>
      <w:proofErr w:type="spellStart"/>
      <w:r w:rsidRPr="00444B2E">
        <w:rPr>
          <w:rFonts w:ascii="Calibri" w:hAnsi="Calibri" w:cs="Calibri"/>
          <w:sz w:val="16"/>
          <w:szCs w:val="16"/>
          <w:lang w:val="de-DE"/>
        </w:rPr>
        <w:t>strany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podle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této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Smlouvy</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včasných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rozhodnutích</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schváleních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Klienta</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souvislosti</w:t>
      </w:r>
      <w:proofErr w:type="spellEnd"/>
      <w:r w:rsidRPr="00444B2E">
        <w:rPr>
          <w:rFonts w:ascii="Calibri" w:hAnsi="Calibri" w:cs="Calibri"/>
          <w:sz w:val="16"/>
          <w:szCs w:val="16"/>
          <w:lang w:val="de-DE"/>
        </w:rPr>
        <w:t xml:space="preserve"> se </w:t>
      </w:r>
      <w:proofErr w:type="spellStart"/>
      <w:r w:rsidRPr="00444B2E">
        <w:rPr>
          <w:rFonts w:ascii="Calibri" w:hAnsi="Calibri" w:cs="Calibri"/>
          <w:sz w:val="16"/>
          <w:szCs w:val="16"/>
          <w:lang w:val="de-DE"/>
        </w:rPr>
        <w:t>Službami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Společnost</w:t>
      </w:r>
      <w:proofErr w:type="spellEnd"/>
      <w:r w:rsidRPr="00444B2E">
        <w:rPr>
          <w:rFonts w:ascii="Calibri" w:hAnsi="Calibri" w:cs="Calibri"/>
          <w:sz w:val="16"/>
          <w:szCs w:val="16"/>
          <w:lang w:val="de-DE"/>
        </w:rPr>
        <w:t xml:space="preserve"> Deloitte a </w:t>
      </w:r>
      <w:proofErr w:type="spellStart"/>
      <w:r w:rsidRPr="00444B2E">
        <w:rPr>
          <w:rFonts w:ascii="Calibri" w:hAnsi="Calibri" w:cs="Calibri"/>
          <w:sz w:val="16"/>
          <w:szCs w:val="16"/>
          <w:lang w:val="de-DE"/>
        </w:rPr>
        <w:t>její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Subdodavatelé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mají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právo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spoléhat</w:t>
      </w:r>
      <w:proofErr w:type="spellEnd"/>
      <w:r w:rsidRPr="00444B2E">
        <w:rPr>
          <w:rFonts w:ascii="Calibri" w:hAnsi="Calibri" w:cs="Calibri"/>
          <w:sz w:val="16"/>
          <w:szCs w:val="16"/>
          <w:lang w:val="de-DE"/>
        </w:rPr>
        <w:t xml:space="preserve"> se na </w:t>
      </w:r>
      <w:proofErr w:type="spellStart"/>
      <w:r w:rsidRPr="00444B2E">
        <w:rPr>
          <w:rFonts w:ascii="Calibri" w:hAnsi="Calibri" w:cs="Calibri"/>
          <w:sz w:val="16"/>
          <w:szCs w:val="16"/>
          <w:lang w:val="de-DE"/>
        </w:rPr>
        <w:t>všechna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rozhodnutí</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schválení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Klienta</w:t>
      </w:r>
      <w:proofErr w:type="spellEnd"/>
      <w:r w:rsidRPr="00444B2E">
        <w:rPr>
          <w:rFonts w:ascii="Calibri" w:hAnsi="Calibri" w:cs="Calibri"/>
          <w:sz w:val="16"/>
          <w:szCs w:val="16"/>
          <w:lang w:val="de-DE"/>
        </w:rPr>
        <w:t xml:space="preserve">. Klient </w:t>
      </w:r>
      <w:proofErr w:type="spellStart"/>
      <w:r w:rsidRPr="00444B2E">
        <w:rPr>
          <w:rFonts w:ascii="Calibri" w:hAnsi="Calibri" w:cs="Calibri"/>
          <w:sz w:val="16"/>
          <w:szCs w:val="16"/>
          <w:lang w:val="de-DE"/>
        </w:rPr>
        <w:t>souhlasí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že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veškeré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údaje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informace</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dokumentace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nezbytné</w:t>
      </w:r>
      <w:proofErr w:type="spellEnd"/>
      <w:r w:rsidRPr="00444B2E">
        <w:rPr>
          <w:rFonts w:ascii="Calibri" w:hAnsi="Calibri" w:cs="Calibri"/>
          <w:sz w:val="16"/>
          <w:szCs w:val="16"/>
          <w:lang w:val="de-DE"/>
        </w:rPr>
        <w:t xml:space="preserve"> pro </w:t>
      </w:r>
      <w:proofErr w:type="spellStart"/>
      <w:r w:rsidRPr="00444B2E">
        <w:rPr>
          <w:rFonts w:ascii="Calibri" w:hAnsi="Calibri" w:cs="Calibri"/>
          <w:sz w:val="16"/>
          <w:szCs w:val="16"/>
          <w:lang w:val="de-DE"/>
        </w:rPr>
        <w:t>poskytování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musí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být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poskytnuty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přímo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personálu</w:t>
      </w:r>
      <w:proofErr w:type="spellEnd"/>
      <w:r w:rsidRPr="00444B2E">
        <w:rPr>
          <w:rFonts w:ascii="Calibri" w:hAnsi="Calibri" w:cs="Calibri"/>
          <w:sz w:val="16"/>
          <w:szCs w:val="16"/>
          <w:lang w:val="de-DE"/>
        </w:rPr>
        <w:t xml:space="preserve"> Deloitte </w:t>
      </w:r>
      <w:proofErr w:type="spellStart"/>
      <w:r w:rsidRPr="00444B2E">
        <w:rPr>
          <w:rFonts w:ascii="Calibri" w:hAnsi="Calibri" w:cs="Calibri"/>
          <w:sz w:val="16"/>
          <w:szCs w:val="16"/>
          <w:lang w:val="de-DE"/>
        </w:rPr>
        <w:t>poskytujícímu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Služby</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to</w:t>
      </w:r>
      <w:proofErr w:type="spellEnd"/>
      <w:r w:rsidRPr="00444B2E">
        <w:rPr>
          <w:rFonts w:ascii="Calibri" w:hAnsi="Calibri" w:cs="Calibri"/>
          <w:sz w:val="16"/>
          <w:szCs w:val="16"/>
          <w:lang w:val="de-DE"/>
        </w:rPr>
        <w:t xml:space="preserve"> i v </w:t>
      </w:r>
      <w:proofErr w:type="spellStart"/>
      <w:r w:rsidRPr="00444B2E">
        <w:rPr>
          <w:rFonts w:ascii="Calibri" w:hAnsi="Calibri" w:cs="Calibri"/>
          <w:sz w:val="16"/>
          <w:szCs w:val="16"/>
          <w:lang w:val="de-DE"/>
        </w:rPr>
        <w:t>případě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že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takové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údaje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informace</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dokumentace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již</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byly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poskytnuty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jinému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personálu</w:t>
      </w:r>
      <w:proofErr w:type="spellEnd"/>
      <w:r w:rsidRPr="00444B2E">
        <w:rPr>
          <w:rFonts w:ascii="Calibri" w:hAnsi="Calibri" w:cs="Calibri"/>
          <w:sz w:val="16"/>
          <w:szCs w:val="16"/>
          <w:lang w:val="de-DE"/>
        </w:rPr>
        <w:t xml:space="preserve"> Deloitte v </w:t>
      </w:r>
      <w:proofErr w:type="spellStart"/>
      <w:r w:rsidRPr="00444B2E">
        <w:rPr>
          <w:rFonts w:ascii="Calibri" w:hAnsi="Calibri" w:cs="Calibri"/>
          <w:sz w:val="16"/>
          <w:szCs w:val="16"/>
          <w:lang w:val="de-DE"/>
        </w:rPr>
        <w:t>průběhu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zakázky</w:t>
      </w:r>
      <w:proofErr w:type="spellEnd"/>
      <w:r w:rsidRPr="00444B2E">
        <w:rPr>
          <w:rFonts w:ascii="Calibri" w:hAnsi="Calibri" w:cs="Calibri"/>
          <w:sz w:val="16"/>
          <w:szCs w:val="16"/>
          <w:lang w:val="de-DE"/>
        </w:rPr>
        <w:t xml:space="preserve">. </w:t>
      </w:r>
    </w:p>
    <w:p w14:paraId="2DB7794B" w14:textId="77777777" w:rsidR="00903C7E" w:rsidRPr="00444B2E" w:rsidRDefault="00903C7E" w:rsidP="00903C7E">
      <w:pPr>
        <w:numPr>
          <w:ilvl w:val="0"/>
          <w:numId w:val="10"/>
        </w:numPr>
        <w:tabs>
          <w:tab w:val="left" w:pos="567"/>
        </w:tabs>
        <w:spacing w:after="120" w:line="120" w:lineRule="atLeast"/>
        <w:ind w:left="568" w:right="70" w:hanging="284"/>
        <w:jc w:val="both"/>
        <w:rPr>
          <w:rFonts w:ascii="Calibri" w:hAnsi="Calibri" w:cs="Calibri"/>
          <w:sz w:val="16"/>
          <w:szCs w:val="16"/>
          <w:lang w:val="de-DE"/>
        </w:rPr>
      </w:pPr>
      <w:r w:rsidRPr="00444B2E">
        <w:rPr>
          <w:rFonts w:ascii="Calibri" w:hAnsi="Calibri" w:cs="Calibri"/>
          <w:sz w:val="16"/>
          <w:szCs w:val="16"/>
          <w:lang w:val="de-DE"/>
        </w:rPr>
        <w:t xml:space="preserve">Klient </w:t>
      </w:r>
      <w:proofErr w:type="spellStart"/>
      <w:r w:rsidRPr="00444B2E">
        <w:rPr>
          <w:rFonts w:ascii="Calibri" w:hAnsi="Calibri" w:cs="Calibri"/>
          <w:sz w:val="16"/>
          <w:szCs w:val="16"/>
          <w:lang w:val="de-DE"/>
        </w:rPr>
        <w:t>bude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výhradně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odpovědný</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mimo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provádění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všech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manažerských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úsudků</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rozhodnutí</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převzetí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všech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manažerských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odpovědností</w:t>
      </w:r>
      <w:proofErr w:type="spellEnd"/>
      <w:r w:rsidRPr="00444B2E">
        <w:rPr>
          <w:rFonts w:ascii="Calibri" w:hAnsi="Calibri" w:cs="Calibri"/>
          <w:sz w:val="16"/>
          <w:szCs w:val="16"/>
          <w:lang w:val="de-DE"/>
        </w:rPr>
        <w:t xml:space="preserve">, (B) </w:t>
      </w:r>
      <w:proofErr w:type="spellStart"/>
      <w:r w:rsidRPr="00444B2E">
        <w:rPr>
          <w:rFonts w:ascii="Calibri" w:hAnsi="Calibri" w:cs="Calibri"/>
          <w:sz w:val="16"/>
          <w:szCs w:val="16"/>
          <w:lang w:val="de-DE"/>
        </w:rPr>
        <w:t>jmenování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osoby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pokud</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možno</w:t>
      </w:r>
      <w:proofErr w:type="spellEnd"/>
      <w:r w:rsidRPr="00444B2E">
        <w:rPr>
          <w:rFonts w:ascii="Calibri" w:hAnsi="Calibri" w:cs="Calibri"/>
          <w:sz w:val="16"/>
          <w:szCs w:val="16"/>
          <w:lang w:val="de-DE"/>
        </w:rPr>
        <w:t xml:space="preserve"> z </w:t>
      </w:r>
      <w:proofErr w:type="spellStart"/>
      <w:r w:rsidRPr="00444B2E">
        <w:rPr>
          <w:rFonts w:ascii="Calibri" w:hAnsi="Calibri" w:cs="Calibri"/>
          <w:sz w:val="16"/>
          <w:szCs w:val="16"/>
          <w:lang w:val="de-DE"/>
        </w:rPr>
        <w:t>řad</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vyššího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vedení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která</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bude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odpovědná</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Klientova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rozhodnutí</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bude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dohlížet</w:t>
      </w:r>
      <w:proofErr w:type="spellEnd"/>
      <w:r w:rsidRPr="00444B2E">
        <w:rPr>
          <w:rFonts w:ascii="Calibri" w:hAnsi="Calibri" w:cs="Calibri"/>
          <w:sz w:val="16"/>
          <w:szCs w:val="16"/>
          <w:lang w:val="de-DE"/>
        </w:rPr>
        <w:t xml:space="preserve"> na </w:t>
      </w:r>
      <w:proofErr w:type="spellStart"/>
      <w:r w:rsidRPr="00444B2E">
        <w:rPr>
          <w:rFonts w:ascii="Calibri" w:hAnsi="Calibri" w:cs="Calibri"/>
          <w:sz w:val="16"/>
          <w:szCs w:val="16"/>
          <w:lang w:val="de-DE"/>
        </w:rPr>
        <w:t>Služby</w:t>
      </w:r>
      <w:proofErr w:type="spellEnd"/>
      <w:r w:rsidRPr="00444B2E">
        <w:rPr>
          <w:rFonts w:ascii="Calibri" w:hAnsi="Calibri" w:cs="Calibri"/>
          <w:sz w:val="16"/>
          <w:szCs w:val="16"/>
          <w:lang w:val="de-DE"/>
        </w:rPr>
        <w:t xml:space="preserve">, (C) </w:t>
      </w:r>
      <w:proofErr w:type="spellStart"/>
      <w:r w:rsidRPr="00444B2E">
        <w:rPr>
          <w:rFonts w:ascii="Calibri" w:hAnsi="Calibri" w:cs="Calibri"/>
          <w:sz w:val="16"/>
          <w:szCs w:val="16"/>
          <w:lang w:val="de-DE"/>
        </w:rPr>
        <w:t>provádění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dohledu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nad</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Službami</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posuzování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přiměřenosti</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výsledků</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(D) </w:t>
      </w:r>
      <w:proofErr w:type="spellStart"/>
      <w:r w:rsidRPr="00444B2E">
        <w:rPr>
          <w:rFonts w:ascii="Calibri" w:hAnsi="Calibri" w:cs="Calibri"/>
          <w:sz w:val="16"/>
          <w:szCs w:val="16"/>
          <w:lang w:val="de-DE"/>
        </w:rPr>
        <w:t>přijetí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odpovědnosti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případné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kroky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učiněné</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návaznosti</w:t>
      </w:r>
      <w:proofErr w:type="spellEnd"/>
      <w:r w:rsidRPr="00444B2E">
        <w:rPr>
          <w:rFonts w:ascii="Calibri" w:hAnsi="Calibri" w:cs="Calibri"/>
          <w:sz w:val="16"/>
          <w:szCs w:val="16"/>
          <w:lang w:val="de-DE"/>
        </w:rPr>
        <w:t xml:space="preserve"> na </w:t>
      </w:r>
      <w:proofErr w:type="spellStart"/>
      <w:r w:rsidRPr="00444B2E">
        <w:rPr>
          <w:rFonts w:ascii="Calibri" w:hAnsi="Calibri" w:cs="Calibri"/>
          <w:sz w:val="16"/>
          <w:szCs w:val="16"/>
          <w:lang w:val="de-DE"/>
        </w:rPr>
        <w:t>výsledky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w:t>
      </w:r>
    </w:p>
    <w:p w14:paraId="3EFC851D" w14:textId="6D5BF395" w:rsidR="00903C7E" w:rsidRPr="00444B2E" w:rsidRDefault="00903C7E" w:rsidP="00903C7E">
      <w:pPr>
        <w:numPr>
          <w:ilvl w:val="0"/>
          <w:numId w:val="10"/>
        </w:numPr>
        <w:tabs>
          <w:tab w:val="left" w:pos="567"/>
        </w:tabs>
        <w:spacing w:after="120" w:line="120" w:lineRule="atLeast"/>
        <w:ind w:left="568" w:right="70" w:hanging="284"/>
        <w:jc w:val="both"/>
        <w:rPr>
          <w:rFonts w:ascii="Calibri" w:hAnsi="Calibri" w:cs="Calibri"/>
          <w:sz w:val="16"/>
          <w:szCs w:val="16"/>
          <w:lang w:val="de-DE"/>
        </w:rPr>
      </w:pPr>
      <w:r w:rsidRPr="00444B2E">
        <w:rPr>
          <w:rFonts w:ascii="Calibri" w:hAnsi="Calibri" w:cs="Calibri"/>
          <w:sz w:val="16"/>
          <w:szCs w:val="16"/>
          <w:lang w:val="de-DE"/>
        </w:rPr>
        <w:t xml:space="preserve">Klient </w:t>
      </w:r>
      <w:proofErr w:type="spellStart"/>
      <w:r w:rsidRPr="00444B2E">
        <w:rPr>
          <w:rFonts w:ascii="Calibri" w:hAnsi="Calibri" w:cs="Calibri"/>
          <w:sz w:val="16"/>
          <w:szCs w:val="16"/>
          <w:lang w:val="de-DE"/>
        </w:rPr>
        <w:t>přijme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Výstup</w:t>
      </w:r>
      <w:proofErr w:type="spellEnd"/>
      <w:r w:rsidRPr="00444B2E">
        <w:rPr>
          <w:rFonts w:ascii="Calibri" w:hAnsi="Calibri" w:cs="Calibri"/>
          <w:sz w:val="16"/>
          <w:szCs w:val="16"/>
          <w:lang w:val="de-DE"/>
        </w:rPr>
        <w:t xml:space="preserve"> a/</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dodávky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souladu</w:t>
      </w:r>
      <w:proofErr w:type="spellEnd"/>
      <w:r w:rsidRPr="00444B2E">
        <w:rPr>
          <w:rFonts w:ascii="Calibri" w:hAnsi="Calibri" w:cs="Calibri"/>
          <w:sz w:val="16"/>
          <w:szCs w:val="16"/>
          <w:lang w:val="de-DE"/>
        </w:rPr>
        <w:t xml:space="preserve"> s </w:t>
      </w:r>
      <w:proofErr w:type="spellStart"/>
      <w:r w:rsidRPr="00444B2E">
        <w:rPr>
          <w:rFonts w:ascii="Calibri" w:hAnsi="Calibri" w:cs="Calibri"/>
          <w:sz w:val="16"/>
          <w:szCs w:val="16"/>
          <w:lang w:val="de-DE"/>
        </w:rPr>
        <w:t>touto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Smlouvou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pokud</w:t>
      </w:r>
      <w:proofErr w:type="spellEnd"/>
      <w:r w:rsidRPr="00444B2E">
        <w:rPr>
          <w:rFonts w:ascii="Calibri" w:hAnsi="Calibri" w:cs="Calibri"/>
          <w:sz w:val="16"/>
          <w:szCs w:val="16"/>
          <w:lang w:val="de-DE"/>
        </w:rPr>
        <w:t xml:space="preserve"> (i) </w:t>
      </w:r>
      <w:proofErr w:type="spellStart"/>
      <w:r w:rsidRPr="00444B2E">
        <w:rPr>
          <w:rFonts w:ascii="Calibri" w:hAnsi="Calibri" w:cs="Calibri"/>
          <w:sz w:val="16"/>
          <w:szCs w:val="16"/>
          <w:lang w:val="de-DE"/>
        </w:rPr>
        <w:t>splňují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požadavky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této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Smlouvy</w:t>
      </w:r>
      <w:proofErr w:type="spellEnd"/>
      <w:r w:rsidRPr="00444B2E">
        <w:rPr>
          <w:rFonts w:ascii="Calibri" w:hAnsi="Calibri" w:cs="Calibri"/>
          <w:sz w:val="16"/>
          <w:szCs w:val="16"/>
          <w:lang w:val="de-DE"/>
        </w:rPr>
        <w:t xml:space="preserve">. Klient </w:t>
      </w:r>
      <w:proofErr w:type="spellStart"/>
      <w:r w:rsidRPr="00444B2E">
        <w:rPr>
          <w:rFonts w:ascii="Calibri" w:hAnsi="Calibri" w:cs="Calibri"/>
          <w:sz w:val="16"/>
          <w:szCs w:val="16"/>
          <w:lang w:val="de-DE"/>
        </w:rPr>
        <w:t>neprodleně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informuje</w:t>
      </w:r>
      <w:proofErr w:type="spellEnd"/>
      <w:r w:rsidRPr="00444B2E">
        <w:rPr>
          <w:rFonts w:ascii="Calibri" w:hAnsi="Calibri" w:cs="Calibri"/>
          <w:sz w:val="16"/>
          <w:szCs w:val="16"/>
          <w:lang w:val="de-DE"/>
        </w:rPr>
        <w:t xml:space="preserve"> Deloitte (</w:t>
      </w:r>
      <w:proofErr w:type="spellStart"/>
      <w:r w:rsidRPr="00444B2E">
        <w:rPr>
          <w:rFonts w:ascii="Calibri" w:hAnsi="Calibri" w:cs="Calibri"/>
          <w:sz w:val="16"/>
          <w:szCs w:val="16"/>
          <w:lang w:val="de-DE"/>
        </w:rPr>
        <w:t>nejpozději</w:t>
      </w:r>
      <w:proofErr w:type="spellEnd"/>
      <w:r w:rsidRPr="00444B2E">
        <w:rPr>
          <w:rFonts w:ascii="Calibri" w:hAnsi="Calibri" w:cs="Calibri"/>
          <w:sz w:val="16"/>
          <w:szCs w:val="16"/>
          <w:lang w:val="de-DE"/>
        </w:rPr>
        <w:t xml:space="preserve"> 5 </w:t>
      </w:r>
      <w:proofErr w:type="spellStart"/>
      <w:r w:rsidRPr="00444B2E">
        <w:rPr>
          <w:rFonts w:ascii="Calibri" w:hAnsi="Calibri" w:cs="Calibri"/>
          <w:sz w:val="16"/>
          <w:szCs w:val="16"/>
          <w:lang w:val="de-DE"/>
        </w:rPr>
        <w:t>dní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od</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doručení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Výstupu</w:t>
      </w:r>
      <w:proofErr w:type="spellEnd"/>
      <w:r w:rsidRPr="00444B2E">
        <w:rPr>
          <w:rFonts w:ascii="Calibri" w:hAnsi="Calibri" w:cs="Calibri"/>
          <w:sz w:val="16"/>
          <w:szCs w:val="16"/>
          <w:lang w:val="de-DE"/>
        </w:rPr>
        <w:t xml:space="preserve"> a/</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dodávky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pokud</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Výstup</w:t>
      </w:r>
      <w:proofErr w:type="spellEnd"/>
      <w:r w:rsidRPr="00444B2E">
        <w:rPr>
          <w:rFonts w:ascii="Calibri" w:hAnsi="Calibri" w:cs="Calibri"/>
          <w:sz w:val="16"/>
          <w:szCs w:val="16"/>
          <w:lang w:val="de-DE"/>
        </w:rPr>
        <w:t xml:space="preserve"> a/</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jiné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dodávky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nesplňují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tyto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požadavky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nesoulad</w:t>
      </w:r>
      <w:proofErr w:type="spellEnd"/>
      <w:r w:rsidRPr="00444B2E">
        <w:rPr>
          <w:rFonts w:ascii="Calibri" w:hAnsi="Calibri" w:cs="Calibri"/>
          <w:sz w:val="16"/>
          <w:szCs w:val="16"/>
          <w:lang w:val="de-DE"/>
        </w:rPr>
        <w:t xml:space="preserve">“) a Deloitte </w:t>
      </w:r>
      <w:proofErr w:type="spellStart"/>
      <w:r w:rsidRPr="00444B2E">
        <w:rPr>
          <w:rFonts w:ascii="Calibri" w:hAnsi="Calibri" w:cs="Calibri"/>
          <w:sz w:val="16"/>
          <w:szCs w:val="16"/>
          <w:lang w:val="de-DE"/>
        </w:rPr>
        <w:t>dostane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dostatek</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času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ale</w:t>
      </w:r>
      <w:proofErr w:type="spellEnd"/>
      <w:r w:rsidRPr="00444B2E">
        <w:rPr>
          <w:rFonts w:ascii="Calibri" w:hAnsi="Calibri" w:cs="Calibri"/>
          <w:sz w:val="16"/>
          <w:szCs w:val="16"/>
          <w:lang w:val="de-DE"/>
        </w:rPr>
        <w:t xml:space="preserve"> ne </w:t>
      </w:r>
      <w:proofErr w:type="spellStart"/>
      <w:r w:rsidRPr="00444B2E">
        <w:rPr>
          <w:rFonts w:ascii="Calibri" w:hAnsi="Calibri" w:cs="Calibri"/>
          <w:sz w:val="16"/>
          <w:szCs w:val="16"/>
          <w:lang w:val="de-DE"/>
        </w:rPr>
        <w:t>méně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než</w:t>
      </w:r>
      <w:proofErr w:type="spellEnd"/>
      <w:r w:rsidRPr="00444B2E">
        <w:rPr>
          <w:rFonts w:ascii="Calibri" w:hAnsi="Calibri" w:cs="Calibri"/>
          <w:sz w:val="16"/>
          <w:szCs w:val="16"/>
          <w:lang w:val="de-DE"/>
        </w:rPr>
        <w:t xml:space="preserve"> 5 </w:t>
      </w:r>
      <w:proofErr w:type="spellStart"/>
      <w:r w:rsidRPr="00444B2E">
        <w:rPr>
          <w:rFonts w:ascii="Calibri" w:hAnsi="Calibri" w:cs="Calibri"/>
          <w:sz w:val="16"/>
          <w:szCs w:val="16"/>
          <w:lang w:val="de-DE"/>
        </w:rPr>
        <w:t>pracovních</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dní</w:t>
      </w:r>
      <w:proofErr w:type="spellEnd"/>
      <w:r w:rsidRPr="00444B2E">
        <w:rPr>
          <w:rFonts w:ascii="Calibri" w:hAnsi="Calibri" w:cs="Calibri"/>
          <w:sz w:val="16"/>
          <w:szCs w:val="16"/>
          <w:lang w:val="de-DE"/>
        </w:rPr>
        <w:t xml:space="preserve">) na </w:t>
      </w:r>
      <w:proofErr w:type="spellStart"/>
      <w:r w:rsidRPr="00444B2E">
        <w:rPr>
          <w:rFonts w:ascii="Calibri" w:hAnsi="Calibri" w:cs="Calibri"/>
          <w:sz w:val="16"/>
          <w:szCs w:val="16"/>
          <w:lang w:val="de-DE"/>
        </w:rPr>
        <w:t>nápravu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takového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nesouladu</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závislosti</w:t>
      </w:r>
      <w:proofErr w:type="spellEnd"/>
      <w:r w:rsidRPr="00444B2E">
        <w:rPr>
          <w:rFonts w:ascii="Calibri" w:hAnsi="Calibri" w:cs="Calibri"/>
          <w:sz w:val="16"/>
          <w:szCs w:val="16"/>
          <w:lang w:val="de-DE"/>
        </w:rPr>
        <w:t xml:space="preserve"> na </w:t>
      </w:r>
      <w:proofErr w:type="spellStart"/>
      <w:r w:rsidRPr="00444B2E">
        <w:rPr>
          <w:rFonts w:ascii="Calibri" w:hAnsi="Calibri" w:cs="Calibri"/>
          <w:sz w:val="16"/>
          <w:szCs w:val="16"/>
          <w:lang w:val="de-DE"/>
        </w:rPr>
        <w:t>jeho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míře</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složitosti</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Pokud</w:t>
      </w:r>
      <w:proofErr w:type="spellEnd"/>
      <w:r w:rsidRPr="00444B2E">
        <w:rPr>
          <w:rFonts w:ascii="Calibri" w:hAnsi="Calibri" w:cs="Calibri"/>
          <w:sz w:val="16"/>
          <w:szCs w:val="16"/>
          <w:lang w:val="de-DE"/>
        </w:rPr>
        <w:t xml:space="preserve"> se </w:t>
      </w:r>
      <w:proofErr w:type="spellStart"/>
      <w:r w:rsidRPr="00444B2E">
        <w:rPr>
          <w:rFonts w:ascii="Calibri" w:hAnsi="Calibri" w:cs="Calibri"/>
          <w:sz w:val="16"/>
          <w:szCs w:val="16"/>
          <w:lang w:val="de-DE"/>
        </w:rPr>
        <w:t>neuplatní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výše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uvedené</w:t>
      </w:r>
      <w:proofErr w:type="spellEnd"/>
      <w:r w:rsidRPr="00444B2E">
        <w:rPr>
          <w:rFonts w:ascii="Calibri" w:hAnsi="Calibri" w:cs="Calibri"/>
          <w:sz w:val="16"/>
          <w:szCs w:val="16"/>
          <w:lang w:val="de-DE"/>
        </w:rPr>
        <w:t xml:space="preserve">, Klient </w:t>
      </w:r>
      <w:proofErr w:type="spellStart"/>
      <w:r w:rsidRPr="00444B2E">
        <w:rPr>
          <w:rFonts w:ascii="Calibri" w:hAnsi="Calibri" w:cs="Calibri"/>
          <w:sz w:val="16"/>
          <w:szCs w:val="16"/>
          <w:lang w:val="de-DE"/>
        </w:rPr>
        <w:t>souhlasí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že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dodávky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Služeb</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včetně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Výstupu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jsou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považovány</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za</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přijaté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Klientem</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během</w:t>
      </w:r>
      <w:proofErr w:type="spellEnd"/>
      <w:r w:rsidRPr="00444B2E">
        <w:rPr>
          <w:rFonts w:ascii="Calibri" w:hAnsi="Calibri" w:cs="Calibri"/>
          <w:sz w:val="16"/>
          <w:szCs w:val="16"/>
          <w:lang w:val="de-DE"/>
        </w:rPr>
        <w:t xml:space="preserve"> 5 </w:t>
      </w:r>
      <w:proofErr w:type="spellStart"/>
      <w:r w:rsidRPr="00444B2E">
        <w:rPr>
          <w:rFonts w:ascii="Calibri" w:hAnsi="Calibri" w:cs="Calibri"/>
          <w:sz w:val="16"/>
          <w:szCs w:val="16"/>
          <w:lang w:val="de-DE"/>
        </w:rPr>
        <w:t>dní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dodání</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konečné</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podobě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jak</w:t>
      </w:r>
      <w:proofErr w:type="spellEnd"/>
      <w:r w:rsidRPr="00444B2E">
        <w:rPr>
          <w:rFonts w:ascii="Calibri" w:hAnsi="Calibri" w:cs="Calibri"/>
          <w:sz w:val="16"/>
          <w:szCs w:val="16"/>
          <w:lang w:val="de-DE"/>
        </w:rPr>
        <w:t xml:space="preserve"> je </w:t>
      </w:r>
      <w:proofErr w:type="spellStart"/>
      <w:r w:rsidRPr="00444B2E">
        <w:rPr>
          <w:rFonts w:ascii="Calibri" w:hAnsi="Calibri" w:cs="Calibri"/>
          <w:sz w:val="16"/>
          <w:szCs w:val="16"/>
          <w:lang w:val="de-DE"/>
        </w:rPr>
        <w:t>specifikováno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Sml</w:t>
      </w:r>
      <w:r w:rsidR="002F38DE" w:rsidRPr="00444B2E">
        <w:rPr>
          <w:rFonts w:ascii="Calibri" w:hAnsi="Calibri" w:cs="Calibri"/>
          <w:sz w:val="16"/>
          <w:szCs w:val="16"/>
          <w:lang w:val="de-DE"/>
        </w:rPr>
        <w:t>o</w:t>
      </w:r>
      <w:r w:rsidRPr="00444B2E">
        <w:rPr>
          <w:rFonts w:ascii="Calibri" w:hAnsi="Calibri" w:cs="Calibri"/>
          <w:sz w:val="16"/>
          <w:szCs w:val="16"/>
          <w:lang w:val="de-DE"/>
        </w:rPr>
        <w:t>uv</w:t>
      </w:r>
      <w:r w:rsidR="002F38DE" w:rsidRPr="00444B2E">
        <w:rPr>
          <w:rFonts w:ascii="Calibri" w:hAnsi="Calibri" w:cs="Calibri"/>
          <w:sz w:val="16"/>
          <w:szCs w:val="16"/>
          <w:lang w:val="de-DE"/>
        </w:rPr>
        <w:t>ě</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pokud</w:t>
      </w:r>
      <w:proofErr w:type="spellEnd"/>
      <w:r w:rsidRPr="00444B2E">
        <w:rPr>
          <w:rFonts w:ascii="Calibri" w:hAnsi="Calibri" w:cs="Calibri"/>
          <w:sz w:val="16"/>
          <w:szCs w:val="16"/>
          <w:lang w:val="de-DE"/>
        </w:rPr>
        <w:t xml:space="preserve"> je </w:t>
      </w:r>
      <w:proofErr w:type="spellStart"/>
      <w:r w:rsidRPr="00444B2E">
        <w:rPr>
          <w:rFonts w:ascii="Calibri" w:hAnsi="Calibri" w:cs="Calibri"/>
          <w:sz w:val="16"/>
          <w:szCs w:val="16"/>
          <w:lang w:val="de-DE"/>
        </w:rPr>
        <w:t>to</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této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Smlouvě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dohodnuto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včetně</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komentáře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Klienta</w:t>
      </w:r>
      <w:proofErr w:type="spellEnd"/>
      <w:r w:rsidRPr="00444B2E">
        <w:rPr>
          <w:rFonts w:ascii="Calibri" w:hAnsi="Calibri" w:cs="Calibri"/>
          <w:sz w:val="16"/>
          <w:szCs w:val="16"/>
          <w:lang w:val="de-DE"/>
        </w:rPr>
        <w:t xml:space="preserve"> k </w:t>
      </w:r>
      <w:proofErr w:type="spellStart"/>
      <w:r w:rsidRPr="00444B2E">
        <w:rPr>
          <w:rFonts w:ascii="Calibri" w:hAnsi="Calibri" w:cs="Calibri"/>
          <w:sz w:val="16"/>
          <w:szCs w:val="16"/>
          <w:lang w:val="de-DE"/>
        </w:rPr>
        <w:t>návrhu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dodávek</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návrhu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Výstupu</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nebo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jakmile</w:t>
      </w:r>
      <w:proofErr w:type="spellEnd"/>
      <w:r w:rsidRPr="00444B2E">
        <w:rPr>
          <w:rFonts w:ascii="Calibri" w:hAnsi="Calibri" w:cs="Calibri"/>
          <w:sz w:val="16"/>
          <w:szCs w:val="16"/>
          <w:lang w:val="de-DE"/>
        </w:rPr>
        <w:t xml:space="preserve"> je Klient </w:t>
      </w:r>
      <w:proofErr w:type="spellStart"/>
      <w:r w:rsidRPr="00444B2E">
        <w:rPr>
          <w:rFonts w:ascii="Calibri" w:hAnsi="Calibri" w:cs="Calibri"/>
          <w:sz w:val="16"/>
          <w:szCs w:val="16"/>
          <w:lang w:val="de-DE"/>
        </w:rPr>
        <w:t>poprvé</w:t>
      </w:r>
      <w:proofErr w:type="spellEnd"/>
      <w:r w:rsidRPr="00444B2E">
        <w:rPr>
          <w:rFonts w:ascii="Calibri" w:hAnsi="Calibri" w:cs="Calibri"/>
          <w:sz w:val="16"/>
          <w:szCs w:val="16"/>
          <w:lang w:val="de-DE"/>
        </w:rPr>
        <w:t xml:space="preserve"> v </w:t>
      </w:r>
      <w:proofErr w:type="spellStart"/>
      <w:r w:rsidRPr="00444B2E">
        <w:rPr>
          <w:rFonts w:ascii="Calibri" w:hAnsi="Calibri" w:cs="Calibri"/>
          <w:sz w:val="16"/>
          <w:szCs w:val="16"/>
          <w:lang w:val="de-DE"/>
        </w:rPr>
        <w:t>podnikání</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použije</w:t>
      </w:r>
      <w:proofErr w:type="spellEnd"/>
      <w:r w:rsidRPr="00444B2E">
        <w:rPr>
          <w:rFonts w:ascii="Calibri" w:hAnsi="Calibri" w:cs="Calibri"/>
          <w:sz w:val="16"/>
          <w:szCs w:val="16"/>
          <w:lang w:val="de-DE"/>
        </w:rPr>
        <w:t xml:space="preserve">, a </w:t>
      </w:r>
      <w:proofErr w:type="spellStart"/>
      <w:r w:rsidRPr="00444B2E">
        <w:rPr>
          <w:rFonts w:ascii="Calibri" w:hAnsi="Calibri" w:cs="Calibri"/>
          <w:sz w:val="16"/>
          <w:szCs w:val="16"/>
          <w:lang w:val="de-DE"/>
        </w:rPr>
        <w:t>to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podle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toho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která</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skutečnost</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nastane</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jako</w:t>
      </w:r>
      <w:proofErr w:type="spellEnd"/>
      <w:r w:rsidRPr="00444B2E">
        <w:rPr>
          <w:rFonts w:ascii="Calibri" w:hAnsi="Calibri" w:cs="Calibri"/>
          <w:sz w:val="16"/>
          <w:szCs w:val="16"/>
          <w:lang w:val="de-DE"/>
        </w:rPr>
        <w:t xml:space="preserve"> </w:t>
      </w:r>
      <w:proofErr w:type="spellStart"/>
      <w:r w:rsidRPr="00444B2E">
        <w:rPr>
          <w:rFonts w:ascii="Calibri" w:hAnsi="Calibri" w:cs="Calibri"/>
          <w:sz w:val="16"/>
          <w:szCs w:val="16"/>
          <w:lang w:val="de-DE"/>
        </w:rPr>
        <w:t>první</w:t>
      </w:r>
      <w:proofErr w:type="spellEnd"/>
      <w:r w:rsidRPr="00444B2E">
        <w:rPr>
          <w:rFonts w:ascii="Calibri" w:hAnsi="Calibri" w:cs="Calibri"/>
          <w:sz w:val="16"/>
          <w:szCs w:val="16"/>
          <w:lang w:val="de-DE"/>
        </w:rPr>
        <w:t>.</w:t>
      </w:r>
    </w:p>
    <w:p w14:paraId="788B8817" w14:textId="77777777" w:rsidR="00903C7E" w:rsidRPr="00444B2E" w:rsidRDefault="00903C7E" w:rsidP="00903C7E">
      <w:pPr>
        <w:numPr>
          <w:ilvl w:val="0"/>
          <w:numId w:val="15"/>
        </w:numPr>
        <w:spacing w:after="120" w:line="120" w:lineRule="atLeast"/>
        <w:ind w:left="568" w:right="70" w:hanging="284"/>
        <w:jc w:val="both"/>
        <w:rPr>
          <w:rFonts w:ascii="Calibri" w:hAnsi="Calibri" w:cs="Calibri"/>
          <w:b/>
          <w:sz w:val="16"/>
          <w:szCs w:val="16"/>
        </w:rPr>
      </w:pPr>
      <w:proofErr w:type="spellStart"/>
      <w:r w:rsidRPr="00444B2E">
        <w:rPr>
          <w:rFonts w:ascii="Calibri" w:hAnsi="Calibri" w:cs="Calibri"/>
          <w:b/>
          <w:sz w:val="16"/>
          <w:szCs w:val="16"/>
        </w:rPr>
        <w:t>Odpovědnosti</w:t>
      </w:r>
      <w:proofErr w:type="spellEnd"/>
      <w:r w:rsidRPr="00444B2E">
        <w:rPr>
          <w:rFonts w:ascii="Calibri" w:hAnsi="Calibri" w:cs="Calibri"/>
          <w:b/>
          <w:sz w:val="16"/>
          <w:szCs w:val="16"/>
        </w:rPr>
        <w:t xml:space="preserve"> Deloitte</w:t>
      </w:r>
    </w:p>
    <w:p w14:paraId="1BF0E367" w14:textId="77777777" w:rsidR="00903C7E" w:rsidRPr="00444B2E" w:rsidRDefault="00903C7E" w:rsidP="00903C7E">
      <w:pPr>
        <w:numPr>
          <w:ilvl w:val="0"/>
          <w:numId w:val="13"/>
        </w:numPr>
        <w:tabs>
          <w:tab w:val="left" w:pos="567"/>
        </w:tabs>
        <w:spacing w:after="120" w:line="120" w:lineRule="atLeast"/>
        <w:ind w:left="568" w:right="70" w:hanging="284"/>
        <w:jc w:val="both"/>
        <w:rPr>
          <w:rFonts w:ascii="Calibri" w:hAnsi="Calibri" w:cs="Calibri"/>
          <w:sz w:val="16"/>
          <w:szCs w:val="16"/>
        </w:rPr>
      </w:pPr>
      <w:r w:rsidRPr="00444B2E">
        <w:rPr>
          <w:rFonts w:ascii="Calibri" w:hAnsi="Calibri" w:cs="Calibri"/>
          <w:sz w:val="16"/>
          <w:szCs w:val="16"/>
        </w:rPr>
        <w:t xml:space="preserve">Deloitte </w:t>
      </w:r>
      <w:proofErr w:type="spellStart"/>
      <w:r w:rsidRPr="00444B2E">
        <w:rPr>
          <w:rFonts w:ascii="Calibri" w:hAnsi="Calibri" w:cs="Calibri"/>
          <w:sz w:val="16"/>
          <w:szCs w:val="16"/>
        </w:rPr>
        <w:t>ponese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odpovědnost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pouze</w:t>
      </w:r>
      <w:proofErr w:type="spellEnd"/>
      <w:r w:rsidRPr="00444B2E">
        <w:rPr>
          <w:rFonts w:ascii="Calibri" w:hAnsi="Calibri" w:cs="Calibri"/>
          <w:sz w:val="16"/>
          <w:szCs w:val="16"/>
        </w:rPr>
        <w:t xml:space="preserve"> za </w:t>
      </w:r>
      <w:proofErr w:type="spellStart"/>
      <w:r w:rsidRPr="00444B2E">
        <w:rPr>
          <w:rFonts w:ascii="Calibri" w:hAnsi="Calibri" w:cs="Calibri"/>
          <w:sz w:val="16"/>
          <w:szCs w:val="16"/>
        </w:rPr>
        <w:t>rady</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doporučení</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nenese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odpovědnost</w:t>
      </w:r>
      <w:proofErr w:type="spellEnd"/>
      <w:r w:rsidRPr="00444B2E">
        <w:rPr>
          <w:rFonts w:ascii="Calibri" w:hAnsi="Calibri" w:cs="Calibri"/>
          <w:sz w:val="16"/>
          <w:szCs w:val="16"/>
        </w:rPr>
        <w:t xml:space="preserve"> za </w:t>
      </w:r>
      <w:proofErr w:type="spellStart"/>
      <w:r w:rsidRPr="00444B2E">
        <w:rPr>
          <w:rFonts w:ascii="Calibri" w:hAnsi="Calibri" w:cs="Calibri"/>
          <w:sz w:val="16"/>
          <w:szCs w:val="16"/>
        </w:rPr>
        <w:t>finanční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účetnictví</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právní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rady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Poskytované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nejsou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závazné</w:t>
      </w:r>
      <w:proofErr w:type="spellEnd"/>
      <w:r w:rsidRPr="00444B2E">
        <w:rPr>
          <w:rFonts w:ascii="Calibri" w:hAnsi="Calibri" w:cs="Calibri"/>
          <w:sz w:val="16"/>
          <w:szCs w:val="16"/>
        </w:rPr>
        <w:t xml:space="preserve"> pro </w:t>
      </w:r>
      <w:proofErr w:type="spellStart"/>
      <w:r w:rsidRPr="00444B2E">
        <w:rPr>
          <w:rFonts w:ascii="Calibri" w:hAnsi="Calibri" w:cs="Calibri"/>
          <w:sz w:val="16"/>
          <w:szCs w:val="16"/>
        </w:rPr>
        <w:t>žádné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státní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regulační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orgány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soudy</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nepředstavují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tvrzení</w:t>
      </w:r>
      <w:proofErr w:type="spellEnd"/>
      <w:r w:rsidRPr="00444B2E">
        <w:rPr>
          <w:rFonts w:ascii="Calibri" w:hAnsi="Calibri" w:cs="Calibri"/>
          <w:sz w:val="16"/>
          <w:szCs w:val="16"/>
        </w:rPr>
        <w:t xml:space="preserve"> ani </w:t>
      </w:r>
      <w:proofErr w:type="spellStart"/>
      <w:r w:rsidRPr="00444B2E">
        <w:rPr>
          <w:rFonts w:ascii="Calibri" w:hAnsi="Calibri" w:cs="Calibri"/>
          <w:sz w:val="16"/>
          <w:szCs w:val="16"/>
        </w:rPr>
        <w:t>záruku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státní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regulační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orgány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soudy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budou</w:t>
      </w:r>
      <w:proofErr w:type="spellEnd"/>
      <w:r w:rsidRPr="00444B2E">
        <w:rPr>
          <w:rFonts w:ascii="Calibri" w:hAnsi="Calibri" w:cs="Calibri"/>
          <w:sz w:val="16"/>
          <w:szCs w:val="16"/>
        </w:rPr>
        <w:t xml:space="preserve"> s </w:t>
      </w:r>
      <w:proofErr w:type="spellStart"/>
      <w:r w:rsidRPr="00444B2E">
        <w:rPr>
          <w:rFonts w:ascii="Calibri" w:hAnsi="Calibri" w:cs="Calibri"/>
          <w:sz w:val="16"/>
          <w:szCs w:val="16"/>
        </w:rPr>
        <w:t>jakýmkoli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Výstupem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souhlasit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Veškeré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poskytnuté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společností</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jejím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jménem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budou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vycházet</w:t>
      </w:r>
      <w:proofErr w:type="spellEnd"/>
      <w:r w:rsidRPr="00444B2E">
        <w:rPr>
          <w:rFonts w:ascii="Calibri" w:hAnsi="Calibri" w:cs="Calibri"/>
          <w:sz w:val="16"/>
          <w:szCs w:val="16"/>
        </w:rPr>
        <w:t xml:space="preserve"> ze </w:t>
      </w:r>
      <w:proofErr w:type="spellStart"/>
      <w:r w:rsidRPr="00444B2E">
        <w:rPr>
          <w:rFonts w:ascii="Calibri" w:hAnsi="Calibri" w:cs="Calibri"/>
          <w:sz w:val="16"/>
          <w:szCs w:val="16"/>
        </w:rPr>
        <w:t>zákonů</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nařízení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případů</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rozhodnutí</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dalších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zákonných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práv</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účinných</w:t>
      </w:r>
      <w:proofErr w:type="spellEnd"/>
      <w:r w:rsidRPr="00444B2E">
        <w:rPr>
          <w:rFonts w:ascii="Calibri" w:hAnsi="Calibri" w:cs="Calibri"/>
          <w:sz w:val="16"/>
          <w:szCs w:val="16"/>
        </w:rPr>
        <w:t xml:space="preserve"> v </w:t>
      </w:r>
      <w:proofErr w:type="spellStart"/>
      <w:r w:rsidRPr="00444B2E">
        <w:rPr>
          <w:rFonts w:ascii="Calibri" w:hAnsi="Calibri" w:cs="Calibri"/>
          <w:sz w:val="16"/>
          <w:szCs w:val="16"/>
        </w:rPr>
        <w:t>době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kdy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jsou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konkrétní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poskytovány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Následné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změny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výše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uvedeného</w:t>
      </w:r>
      <w:proofErr w:type="spellEnd"/>
      <w:r w:rsidRPr="00444B2E">
        <w:rPr>
          <w:rFonts w:ascii="Calibri" w:hAnsi="Calibri" w:cs="Calibri"/>
          <w:sz w:val="16"/>
          <w:szCs w:val="16"/>
        </w:rPr>
        <w:t xml:space="preserve"> (o </w:t>
      </w:r>
      <w:proofErr w:type="spellStart"/>
      <w:r w:rsidRPr="00444B2E">
        <w:rPr>
          <w:rFonts w:ascii="Calibri" w:hAnsi="Calibri" w:cs="Calibri"/>
          <w:sz w:val="16"/>
          <w:szCs w:val="16"/>
        </w:rPr>
        <w:t>nichž</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nemusí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informovat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mohou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způsobit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poskytnuté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společností</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jejím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jménem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pozbydou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platnosti</w:t>
      </w:r>
      <w:proofErr w:type="spellEnd"/>
      <w:r w:rsidRPr="00444B2E">
        <w:rPr>
          <w:rFonts w:ascii="Calibri" w:hAnsi="Calibri" w:cs="Calibri"/>
          <w:sz w:val="16"/>
          <w:szCs w:val="16"/>
        </w:rPr>
        <w:t xml:space="preserve">. </w:t>
      </w:r>
    </w:p>
    <w:p w14:paraId="0350A271" w14:textId="7D0337E5" w:rsidR="00903C7E" w:rsidRPr="00444B2E" w:rsidRDefault="00903C7E" w:rsidP="00903C7E">
      <w:pPr>
        <w:numPr>
          <w:ilvl w:val="0"/>
          <w:numId w:val="13"/>
        </w:numPr>
        <w:tabs>
          <w:tab w:val="left" w:pos="567"/>
        </w:tabs>
        <w:spacing w:after="120" w:line="120" w:lineRule="atLeast"/>
        <w:ind w:left="568" w:hanging="284"/>
        <w:jc w:val="both"/>
        <w:rPr>
          <w:rFonts w:ascii="Calibri" w:hAnsi="Calibri" w:cs="Calibri"/>
          <w:sz w:val="16"/>
          <w:szCs w:val="16"/>
        </w:rPr>
      </w:pPr>
      <w:r w:rsidRPr="00444B2E">
        <w:rPr>
          <w:rFonts w:ascii="Calibri" w:hAnsi="Calibri" w:cs="Calibri"/>
          <w:sz w:val="16"/>
          <w:szCs w:val="16"/>
        </w:rPr>
        <w:t xml:space="preserve">Deloitte </w:t>
      </w:r>
      <w:proofErr w:type="spellStart"/>
      <w:r w:rsidRPr="00444B2E">
        <w:rPr>
          <w:rFonts w:ascii="Calibri" w:hAnsi="Calibri" w:cs="Calibri"/>
          <w:sz w:val="16"/>
          <w:szCs w:val="16"/>
        </w:rPr>
        <w:t>neponese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odpovědnost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pokud</w:t>
      </w:r>
      <w:proofErr w:type="spellEnd"/>
      <w:r w:rsidRPr="00444B2E">
        <w:rPr>
          <w:rFonts w:ascii="Calibri" w:hAnsi="Calibri" w:cs="Calibri"/>
          <w:sz w:val="16"/>
          <w:szCs w:val="16"/>
        </w:rPr>
        <w:t xml:space="preserve"> se </w:t>
      </w:r>
      <w:proofErr w:type="spellStart"/>
      <w:r w:rsidRPr="00444B2E">
        <w:rPr>
          <w:rFonts w:ascii="Calibri" w:hAnsi="Calibri" w:cs="Calibri"/>
          <w:sz w:val="16"/>
          <w:szCs w:val="16"/>
        </w:rPr>
        <w:t>Klient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jiné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osoby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rozhodnou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spoléhat</w:t>
      </w:r>
      <w:proofErr w:type="spellEnd"/>
      <w:r w:rsidRPr="00444B2E">
        <w:rPr>
          <w:rFonts w:ascii="Calibri" w:hAnsi="Calibri" w:cs="Calibri"/>
          <w:sz w:val="16"/>
          <w:szCs w:val="16"/>
        </w:rPr>
        <w:t xml:space="preserve"> se </w:t>
      </w:r>
      <w:proofErr w:type="spellStart"/>
      <w:r w:rsidRPr="00444B2E">
        <w:rPr>
          <w:rFonts w:ascii="Calibri" w:hAnsi="Calibri" w:cs="Calibri"/>
          <w:sz w:val="16"/>
          <w:szCs w:val="16"/>
        </w:rPr>
        <w:t>na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návrhy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ústní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Výstupy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jednat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nebo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nejednat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jejich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základě</w:t>
      </w:r>
      <w:proofErr w:type="spellEnd"/>
      <w:r w:rsidRPr="00444B2E">
        <w:rPr>
          <w:rFonts w:ascii="Calibri" w:hAnsi="Calibri" w:cs="Calibri"/>
          <w:sz w:val="16"/>
          <w:szCs w:val="16"/>
        </w:rPr>
        <w:t xml:space="preserve">. </w:t>
      </w:r>
    </w:p>
    <w:p w14:paraId="57F19A36" w14:textId="77777777" w:rsidR="00903C7E" w:rsidRPr="00444B2E" w:rsidRDefault="00903C7E" w:rsidP="00903C7E">
      <w:pPr>
        <w:numPr>
          <w:ilvl w:val="0"/>
          <w:numId w:val="13"/>
        </w:numPr>
        <w:tabs>
          <w:tab w:val="left" w:pos="567"/>
        </w:tabs>
        <w:spacing w:after="120" w:line="120" w:lineRule="atLeast"/>
        <w:ind w:left="568" w:hanging="284"/>
        <w:jc w:val="both"/>
        <w:rPr>
          <w:rFonts w:ascii="Calibri" w:hAnsi="Calibri" w:cs="Calibri"/>
          <w:sz w:val="16"/>
          <w:szCs w:val="16"/>
        </w:rPr>
      </w:pPr>
      <w:r w:rsidRPr="00444B2E">
        <w:rPr>
          <w:rFonts w:ascii="Calibri" w:hAnsi="Calibri" w:cs="Calibri"/>
          <w:sz w:val="16"/>
          <w:szCs w:val="16"/>
        </w:rPr>
        <w:t xml:space="preserve">Deloitte </w:t>
      </w:r>
      <w:proofErr w:type="spellStart"/>
      <w:r w:rsidRPr="00444B2E">
        <w:rPr>
          <w:rFonts w:ascii="Calibri" w:hAnsi="Calibri" w:cs="Calibri"/>
          <w:sz w:val="16"/>
          <w:szCs w:val="16"/>
        </w:rPr>
        <w:t>neponese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odpovědnost</w:t>
      </w:r>
      <w:proofErr w:type="spellEnd"/>
      <w:r w:rsidRPr="00444B2E">
        <w:rPr>
          <w:rFonts w:ascii="Calibri" w:hAnsi="Calibri" w:cs="Calibri"/>
          <w:sz w:val="16"/>
          <w:szCs w:val="16"/>
        </w:rPr>
        <w:t xml:space="preserve"> za </w:t>
      </w:r>
      <w:proofErr w:type="spellStart"/>
      <w:r w:rsidRPr="00444B2E">
        <w:rPr>
          <w:rFonts w:ascii="Calibri" w:hAnsi="Calibri" w:cs="Calibri"/>
          <w:sz w:val="16"/>
          <w:szCs w:val="16"/>
        </w:rPr>
        <w:t>sledování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událostí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nastalých</w:t>
      </w:r>
      <w:proofErr w:type="spellEnd"/>
      <w:r w:rsidRPr="00444B2E">
        <w:rPr>
          <w:rFonts w:ascii="Calibri" w:hAnsi="Calibri" w:cs="Calibri"/>
          <w:sz w:val="16"/>
          <w:szCs w:val="16"/>
        </w:rPr>
        <w:t xml:space="preserve"> po </w:t>
      </w:r>
      <w:proofErr w:type="spellStart"/>
      <w:r w:rsidRPr="00444B2E">
        <w:rPr>
          <w:rFonts w:ascii="Calibri" w:hAnsi="Calibri" w:cs="Calibri"/>
          <w:sz w:val="16"/>
          <w:szCs w:val="16"/>
        </w:rPr>
        <w:t>datu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Služeb</w:t>
      </w:r>
      <w:proofErr w:type="spellEnd"/>
      <w:r w:rsidRPr="00444B2E">
        <w:rPr>
          <w:rFonts w:ascii="Calibri" w:hAnsi="Calibri" w:cs="Calibri"/>
          <w:sz w:val="16"/>
          <w:szCs w:val="16"/>
        </w:rPr>
        <w:t xml:space="preserve"> ani za </w:t>
      </w:r>
      <w:proofErr w:type="spellStart"/>
      <w:r w:rsidRPr="00444B2E">
        <w:rPr>
          <w:rFonts w:ascii="Calibri" w:hAnsi="Calibri" w:cs="Calibri"/>
          <w:sz w:val="16"/>
          <w:szCs w:val="16"/>
        </w:rPr>
        <w:t>aktualizaci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Výstupů</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pokud</w:t>
      </w:r>
      <w:proofErr w:type="spellEnd"/>
      <w:r w:rsidRPr="00444B2E">
        <w:rPr>
          <w:rFonts w:ascii="Calibri" w:hAnsi="Calibri" w:cs="Calibri"/>
          <w:sz w:val="16"/>
          <w:szCs w:val="16"/>
        </w:rPr>
        <w:t xml:space="preserve"> se </w:t>
      </w:r>
      <w:proofErr w:type="spellStart"/>
      <w:r w:rsidRPr="00444B2E">
        <w:rPr>
          <w:rFonts w:ascii="Calibri" w:hAnsi="Calibri" w:cs="Calibri"/>
          <w:sz w:val="16"/>
          <w:szCs w:val="16"/>
        </w:rPr>
        <w:t>smluvní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výslovně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písemně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nedohodnou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jinak</w:t>
      </w:r>
      <w:proofErr w:type="spellEnd"/>
      <w:r w:rsidRPr="00444B2E">
        <w:rPr>
          <w:rFonts w:ascii="Calibri" w:hAnsi="Calibri" w:cs="Calibri"/>
          <w:sz w:val="16"/>
          <w:szCs w:val="16"/>
        </w:rPr>
        <w:t xml:space="preserve">. </w:t>
      </w:r>
    </w:p>
    <w:p w14:paraId="4C03F1BB" w14:textId="77777777" w:rsidR="00903C7E" w:rsidRPr="00444B2E" w:rsidRDefault="00903C7E" w:rsidP="00903C7E">
      <w:pPr>
        <w:keepNext/>
        <w:numPr>
          <w:ilvl w:val="0"/>
          <w:numId w:val="12"/>
        </w:numPr>
        <w:spacing w:after="120" w:line="120" w:lineRule="atLeast"/>
        <w:ind w:left="568" w:right="68" w:hanging="284"/>
        <w:jc w:val="both"/>
        <w:outlineLvl w:val="0"/>
        <w:rPr>
          <w:rFonts w:ascii="Calibri" w:hAnsi="Calibri" w:cs="Calibri"/>
          <w:b/>
          <w:kern w:val="28"/>
          <w:sz w:val="16"/>
          <w:szCs w:val="16"/>
        </w:rPr>
      </w:pPr>
      <w:bookmarkStart w:id="0" w:name="Doba"/>
      <w:bookmarkEnd w:id="0"/>
      <w:proofErr w:type="spellStart"/>
      <w:r w:rsidRPr="00444B2E">
        <w:rPr>
          <w:rFonts w:ascii="Calibri" w:hAnsi="Calibri" w:cs="Calibri"/>
          <w:b/>
          <w:kern w:val="28"/>
          <w:sz w:val="16"/>
          <w:szCs w:val="16"/>
        </w:rPr>
        <w:t>Vlastnictví</w:t>
      </w:r>
      <w:proofErr w:type="spellEnd"/>
      <w:r w:rsidRPr="00444B2E">
        <w:rPr>
          <w:rFonts w:ascii="Calibri" w:hAnsi="Calibri" w:cs="Calibri"/>
          <w:b/>
          <w:kern w:val="28"/>
          <w:sz w:val="16"/>
          <w:szCs w:val="16"/>
        </w:rPr>
        <w:t xml:space="preserve"> </w:t>
      </w:r>
      <w:proofErr w:type="spellStart"/>
      <w:r w:rsidRPr="00444B2E">
        <w:rPr>
          <w:rFonts w:ascii="Calibri" w:hAnsi="Calibri" w:cs="Calibri"/>
          <w:b/>
          <w:kern w:val="28"/>
          <w:sz w:val="16"/>
          <w:szCs w:val="16"/>
        </w:rPr>
        <w:t>majetku</w:t>
      </w:r>
      <w:proofErr w:type="spellEnd"/>
      <w:r w:rsidRPr="00444B2E">
        <w:rPr>
          <w:rFonts w:ascii="Calibri" w:hAnsi="Calibri" w:cs="Calibri"/>
          <w:b/>
          <w:kern w:val="28"/>
          <w:sz w:val="16"/>
          <w:szCs w:val="16"/>
        </w:rPr>
        <w:t xml:space="preserve"> Deloitte </w:t>
      </w:r>
    </w:p>
    <w:p w14:paraId="4E5D6E6C" w14:textId="0A0652BD" w:rsidR="00903C7E" w:rsidRPr="00444B2E" w:rsidRDefault="00903C7E" w:rsidP="00903C7E">
      <w:pPr>
        <w:numPr>
          <w:ilvl w:val="0"/>
          <w:numId w:val="17"/>
        </w:numPr>
        <w:spacing w:after="120" w:line="120" w:lineRule="atLeast"/>
        <w:ind w:left="568" w:right="70" w:hanging="284"/>
        <w:jc w:val="both"/>
        <w:rPr>
          <w:rFonts w:ascii="Calibri" w:eastAsia="Times New Roman" w:hAnsi="Calibri" w:cs="Calibri"/>
          <w:sz w:val="16"/>
          <w:szCs w:val="16"/>
          <w:lang w:val="cs-CZ"/>
        </w:rPr>
      </w:pPr>
      <w:r w:rsidRPr="00444B2E">
        <w:rPr>
          <w:rFonts w:ascii="Calibri" w:eastAsia="Times New Roman" w:hAnsi="Calibri" w:cs="Calibri"/>
          <w:sz w:val="16"/>
          <w:szCs w:val="16"/>
          <w:lang w:val="cs-CZ"/>
        </w:rPr>
        <w:t xml:space="preserve">S výjimkou případů stanovených níže a případů, kdy platí samostatná licenční smlouva, pokud Společnosti skupiny Deloitte použijí nebo vytvoří jakýkoli majetek (hmotný i nehmotný) v souvislosti s touto Smlouvou, tento majetek, včetně pracovních verzí, zůstává </w:t>
      </w:r>
      <w:r w:rsidRPr="00444B2E">
        <w:rPr>
          <w:rFonts w:ascii="Calibri" w:eastAsia="Times New Roman" w:hAnsi="Calibri" w:cs="Calibri"/>
          <w:sz w:val="16"/>
          <w:szCs w:val="16"/>
          <w:lang w:val="cs-CZ"/>
        </w:rPr>
        <w:t>majetkem příslušné Společnosti skupiny Deloitte. Na základě úhrady všech odměn Deloitte splatných v souvislosti se Službami a touto Smlouvou Klient získá nevýhradní, nepřevoditelnou, plně uhrazenou licenci na používání Výstupu způsobem a pro účel stanovený ve Smlouvě nebo ve Výstupu a v souladu s ostatními ustanoveními Smlouvy. Jakékoli poplatky za užívání (licenční poplatky) spojené s Výstupem (pokud existují) jsou zahrnuty do ceny odsouhlasené ve Smluvním dopisu. Klient nebude používat Výstup v jiných zemích, než jsou země, kde má své sídlo Příjemce Výstupu, jenž má výslovné povolení používat Výstup. Klient nebude (i) zveřejňovat a kopírovat Výstupy a související dokumentaci (k jiným než k interním účelům), (</w:t>
      </w:r>
      <w:proofErr w:type="spellStart"/>
      <w:r w:rsidRPr="00444B2E">
        <w:rPr>
          <w:rFonts w:ascii="Calibri" w:eastAsia="Times New Roman" w:hAnsi="Calibri" w:cs="Calibri"/>
          <w:sz w:val="16"/>
          <w:szCs w:val="16"/>
          <w:lang w:val="cs-CZ"/>
        </w:rPr>
        <w:t>ii</w:t>
      </w:r>
      <w:proofErr w:type="spellEnd"/>
      <w:r w:rsidRPr="00444B2E">
        <w:rPr>
          <w:rFonts w:ascii="Calibri" w:eastAsia="Times New Roman" w:hAnsi="Calibri" w:cs="Calibri"/>
          <w:sz w:val="16"/>
          <w:szCs w:val="16"/>
          <w:lang w:val="cs-CZ"/>
        </w:rPr>
        <w:t>) zveřejňovat, modifikovat nebo vytvářet vylepšené verze Výstupů, (</w:t>
      </w:r>
      <w:proofErr w:type="spellStart"/>
      <w:r w:rsidRPr="00444B2E">
        <w:rPr>
          <w:rFonts w:ascii="Calibri" w:eastAsia="Times New Roman" w:hAnsi="Calibri" w:cs="Calibri"/>
          <w:sz w:val="16"/>
          <w:szCs w:val="16"/>
          <w:lang w:val="cs-CZ"/>
        </w:rPr>
        <w:t>iii</w:t>
      </w:r>
      <w:proofErr w:type="spellEnd"/>
      <w:r w:rsidRPr="00444B2E">
        <w:rPr>
          <w:rFonts w:ascii="Calibri" w:eastAsia="Times New Roman" w:hAnsi="Calibri" w:cs="Calibri"/>
          <w:sz w:val="16"/>
          <w:szCs w:val="16"/>
          <w:lang w:val="cs-CZ"/>
        </w:rPr>
        <w:t>) měnit, slučovat, modifikovat, upravovat nebo překládat Výstupy, (</w:t>
      </w:r>
      <w:proofErr w:type="spellStart"/>
      <w:r w:rsidRPr="00444B2E">
        <w:rPr>
          <w:rFonts w:ascii="Calibri" w:eastAsia="Times New Roman" w:hAnsi="Calibri" w:cs="Calibri"/>
          <w:sz w:val="16"/>
          <w:szCs w:val="16"/>
          <w:lang w:val="cs-CZ"/>
        </w:rPr>
        <w:t>iv</w:t>
      </w:r>
      <w:proofErr w:type="spellEnd"/>
      <w:r w:rsidRPr="00444B2E">
        <w:rPr>
          <w:rFonts w:ascii="Calibri" w:eastAsia="Times New Roman" w:hAnsi="Calibri" w:cs="Calibri"/>
          <w:sz w:val="16"/>
          <w:szCs w:val="16"/>
          <w:lang w:val="cs-CZ"/>
        </w:rPr>
        <w:t xml:space="preserve">) provádět </w:t>
      </w:r>
      <w:proofErr w:type="spellStart"/>
      <w:r w:rsidRPr="00444B2E">
        <w:rPr>
          <w:rFonts w:ascii="Calibri" w:eastAsia="Times New Roman" w:hAnsi="Calibri" w:cs="Calibri"/>
          <w:sz w:val="16"/>
          <w:szCs w:val="16"/>
          <w:lang w:val="cs-CZ"/>
        </w:rPr>
        <w:t>dekompilaci</w:t>
      </w:r>
      <w:proofErr w:type="spellEnd"/>
      <w:r w:rsidRPr="00444B2E">
        <w:rPr>
          <w:rFonts w:ascii="Calibri" w:eastAsia="Times New Roman" w:hAnsi="Calibri" w:cs="Calibri"/>
          <w:sz w:val="16"/>
          <w:szCs w:val="16"/>
          <w:lang w:val="cs-CZ"/>
        </w:rPr>
        <w:t>, demontáž nebo reverzní inženýrství Výstupu jako celku nebo části, provádět převod ze zdrojového kódu Výstupů, (v) používat, kopírovat, reprodukovat, psát nebo vytvářet jakýkoli odvozený výtvor nebo jiný výtvor založený na celém Výstupu nebo jeho části, (</w:t>
      </w:r>
      <w:proofErr w:type="spellStart"/>
      <w:r w:rsidRPr="00444B2E">
        <w:rPr>
          <w:rFonts w:ascii="Calibri" w:eastAsia="Times New Roman" w:hAnsi="Calibri" w:cs="Calibri"/>
          <w:sz w:val="16"/>
          <w:szCs w:val="16"/>
          <w:lang w:val="cs-CZ"/>
        </w:rPr>
        <w:t>vi</w:t>
      </w:r>
      <w:proofErr w:type="spellEnd"/>
      <w:r w:rsidRPr="00444B2E">
        <w:rPr>
          <w:rFonts w:ascii="Calibri" w:eastAsia="Times New Roman" w:hAnsi="Calibri" w:cs="Calibri"/>
          <w:sz w:val="16"/>
          <w:szCs w:val="16"/>
          <w:lang w:val="cs-CZ"/>
        </w:rPr>
        <w:t>) měnit, zpracovávat a kombinovat Výstup s jinými výtvory a používat Výstup v kombinaci s jinými výtvory, (</w:t>
      </w:r>
      <w:proofErr w:type="spellStart"/>
      <w:r w:rsidRPr="00444B2E">
        <w:rPr>
          <w:rFonts w:ascii="Calibri" w:eastAsia="Times New Roman" w:hAnsi="Calibri" w:cs="Calibri"/>
          <w:sz w:val="16"/>
          <w:szCs w:val="16"/>
          <w:lang w:val="cs-CZ"/>
        </w:rPr>
        <w:t>vii</w:t>
      </w:r>
      <w:proofErr w:type="spellEnd"/>
      <w:r w:rsidRPr="00444B2E">
        <w:rPr>
          <w:rFonts w:ascii="Calibri" w:eastAsia="Times New Roman" w:hAnsi="Calibri" w:cs="Calibri"/>
          <w:sz w:val="16"/>
          <w:szCs w:val="16"/>
          <w:lang w:val="cs-CZ"/>
        </w:rPr>
        <w:t>) pronajímat a/nebo půjčovat Výstup a související dokumentaci nebo jejich kopie třetím stranám, a (</w:t>
      </w:r>
      <w:proofErr w:type="spellStart"/>
      <w:r w:rsidRPr="00444B2E">
        <w:rPr>
          <w:rFonts w:ascii="Calibri" w:eastAsia="Times New Roman" w:hAnsi="Calibri" w:cs="Calibri"/>
          <w:sz w:val="16"/>
          <w:szCs w:val="16"/>
          <w:lang w:val="cs-CZ"/>
        </w:rPr>
        <w:t>viii</w:t>
      </w:r>
      <w:proofErr w:type="spellEnd"/>
      <w:r w:rsidRPr="00444B2E">
        <w:rPr>
          <w:rFonts w:ascii="Calibri" w:eastAsia="Times New Roman" w:hAnsi="Calibri" w:cs="Calibri"/>
          <w:sz w:val="16"/>
          <w:szCs w:val="16"/>
          <w:lang w:val="cs-CZ"/>
        </w:rPr>
        <w:t xml:space="preserve">) poskytovat sublicenci třetím osobám s právy na použití Výstupu nad rámec stanovený Deloitte na základě vlastního uvážení. Cena za poskytnutí výše uvedené licence je zahrnuta v odměně odsouhlasené ve Smluvním dopise. Deloitte je nositelem veškerých práv k Výstupům (a to zejména autorských a ostatních práv k duševnímu vlastnictví) jakož i veškerých práv užívat a zpřístupňovat své myšlenky, koncepty, know-how, metodologie, technologie, procesy, dovednosti, včetně jejich úprav, v rámci své podnikatelské činnosti a Klient zajistí, aby žádní členové skupiny Klienta. </w:t>
      </w:r>
    </w:p>
    <w:p w14:paraId="7161F6C1" w14:textId="77777777" w:rsidR="00903C7E" w:rsidRPr="00444B2E" w:rsidRDefault="00903C7E" w:rsidP="00903C7E">
      <w:pPr>
        <w:numPr>
          <w:ilvl w:val="0"/>
          <w:numId w:val="17"/>
        </w:numPr>
        <w:spacing w:after="120" w:line="120" w:lineRule="atLeast"/>
        <w:ind w:left="568" w:right="70" w:hanging="284"/>
        <w:jc w:val="both"/>
        <w:rPr>
          <w:rFonts w:ascii="Calibri" w:hAnsi="Calibri" w:cs="Calibri"/>
          <w:sz w:val="16"/>
          <w:szCs w:val="16"/>
          <w:lang w:val="cs-CZ"/>
        </w:rPr>
      </w:pPr>
      <w:r w:rsidRPr="00444B2E">
        <w:rPr>
          <w:rFonts w:ascii="Calibri" w:hAnsi="Calibri" w:cs="Calibri"/>
          <w:sz w:val="16"/>
          <w:szCs w:val="16"/>
          <w:lang w:val="cs-CZ"/>
        </w:rPr>
        <w:t>Bez ohledu na jiná ustanovení této Smlouvy, Klient bere na vědomí, že společnost Deloitte a její Subdodavatelé mohou v souvislosti s poskytováním Služeb vytvořit či získat obecnou zkušenost, dovednosti, znalosti a myšlenky, které zůstanou v paměti jejich personálu. Klient souhlasí s tím, že Společnosti skupiny Deloitte mohou takovéto zkušenosti, dovednosti, znalosti a myšlenky bez omezení používat a zveřejňovat.</w:t>
      </w:r>
    </w:p>
    <w:p w14:paraId="4EF32856" w14:textId="127FE636" w:rsidR="00903C7E" w:rsidRPr="00444B2E" w:rsidRDefault="00903C7E" w:rsidP="00903C7E">
      <w:pPr>
        <w:numPr>
          <w:ilvl w:val="0"/>
          <w:numId w:val="17"/>
        </w:numPr>
        <w:spacing w:after="120" w:line="120" w:lineRule="atLeast"/>
        <w:ind w:left="568" w:right="70" w:hanging="284"/>
        <w:jc w:val="both"/>
        <w:rPr>
          <w:rFonts w:ascii="Calibri" w:hAnsi="Calibri" w:cs="Calibri"/>
          <w:sz w:val="16"/>
          <w:szCs w:val="16"/>
          <w:lang w:val="cs-CZ"/>
        </w:rPr>
      </w:pPr>
      <w:r w:rsidRPr="00444B2E">
        <w:rPr>
          <w:rFonts w:ascii="Calibri" w:hAnsi="Calibri" w:cs="Calibri"/>
          <w:sz w:val="16"/>
          <w:szCs w:val="16"/>
          <w:lang w:val="cs-CZ"/>
        </w:rPr>
        <w:t xml:space="preserve">Společnost Deloitte nesouhlasí s jakýmikoli podmínkami, které mohou být vykládány jako jakýmkoli způsobem vylučující nebo omezující její právo vytvářet pro sebe nebo pro ostatní materiály, které jsou konkurenční nebo podobné těm, jež jsou výsledkem Služeb, bez ohledu na jejich podobnost s Výstupem, v souladu s podmínkami zachování mlčenlivosti uvedenými v ustanovení čl. </w:t>
      </w:r>
      <w:r w:rsidR="000809C5" w:rsidRPr="00444B2E">
        <w:rPr>
          <w:rFonts w:ascii="Calibri" w:hAnsi="Calibri" w:cs="Calibri"/>
          <w:sz w:val="16"/>
          <w:szCs w:val="16"/>
          <w:lang w:val="cs-CZ"/>
        </w:rPr>
        <w:t>6</w:t>
      </w:r>
      <w:r w:rsidRPr="00444B2E">
        <w:rPr>
          <w:rFonts w:ascii="Calibri" w:hAnsi="Calibri" w:cs="Calibri"/>
          <w:sz w:val="16"/>
          <w:szCs w:val="16"/>
          <w:lang w:val="cs-CZ"/>
        </w:rPr>
        <w:t xml:space="preserve"> níže. </w:t>
      </w:r>
    </w:p>
    <w:p w14:paraId="615F3A24" w14:textId="77777777" w:rsidR="00903C7E" w:rsidRPr="00444B2E" w:rsidRDefault="00903C7E" w:rsidP="00903C7E">
      <w:pPr>
        <w:keepNext/>
        <w:numPr>
          <w:ilvl w:val="0"/>
          <w:numId w:val="12"/>
        </w:numPr>
        <w:spacing w:after="120" w:line="120" w:lineRule="atLeast"/>
        <w:ind w:left="568" w:right="68" w:hanging="284"/>
        <w:jc w:val="both"/>
        <w:outlineLvl w:val="0"/>
        <w:rPr>
          <w:rFonts w:ascii="Calibri" w:hAnsi="Calibri" w:cs="Calibri"/>
          <w:b/>
          <w:kern w:val="28"/>
          <w:sz w:val="16"/>
          <w:szCs w:val="16"/>
        </w:rPr>
      </w:pPr>
      <w:proofErr w:type="spellStart"/>
      <w:r w:rsidRPr="00444B2E">
        <w:rPr>
          <w:rFonts w:ascii="Calibri" w:hAnsi="Calibri" w:cs="Calibri"/>
          <w:b/>
          <w:kern w:val="28"/>
          <w:sz w:val="16"/>
          <w:szCs w:val="16"/>
        </w:rPr>
        <w:t>Odpovědnost</w:t>
      </w:r>
      <w:proofErr w:type="spellEnd"/>
      <w:r w:rsidRPr="00444B2E">
        <w:rPr>
          <w:rFonts w:ascii="Calibri" w:hAnsi="Calibri" w:cs="Calibri"/>
          <w:b/>
          <w:kern w:val="28"/>
          <w:sz w:val="16"/>
          <w:szCs w:val="16"/>
        </w:rPr>
        <w:t xml:space="preserve"> za </w:t>
      </w:r>
      <w:proofErr w:type="spellStart"/>
      <w:r w:rsidRPr="00444B2E">
        <w:rPr>
          <w:rFonts w:ascii="Calibri" w:hAnsi="Calibri" w:cs="Calibri"/>
          <w:b/>
          <w:kern w:val="28"/>
          <w:sz w:val="16"/>
          <w:szCs w:val="16"/>
        </w:rPr>
        <w:t>škody</w:t>
      </w:r>
      <w:proofErr w:type="spellEnd"/>
      <w:r w:rsidRPr="00444B2E">
        <w:rPr>
          <w:rFonts w:ascii="Calibri" w:hAnsi="Calibri" w:cs="Calibri"/>
          <w:b/>
          <w:kern w:val="28"/>
          <w:sz w:val="16"/>
          <w:szCs w:val="16"/>
        </w:rPr>
        <w:t xml:space="preserve"> </w:t>
      </w:r>
    </w:p>
    <w:p w14:paraId="1D465B2F" w14:textId="1CD847C7" w:rsidR="00903C7E" w:rsidRPr="00444B2E" w:rsidRDefault="00903C7E" w:rsidP="00903C7E">
      <w:pPr>
        <w:numPr>
          <w:ilvl w:val="0"/>
          <w:numId w:val="18"/>
        </w:numPr>
        <w:spacing w:after="120" w:line="120" w:lineRule="atLeast"/>
        <w:ind w:left="568" w:right="70" w:hanging="284"/>
        <w:jc w:val="both"/>
        <w:rPr>
          <w:rFonts w:ascii="Calibri" w:eastAsia="Times New Roman" w:hAnsi="Calibri" w:cs="Calibri"/>
          <w:sz w:val="16"/>
          <w:szCs w:val="16"/>
          <w:lang w:val="cs-CZ"/>
        </w:rPr>
      </w:pPr>
      <w:r w:rsidRPr="00444B2E">
        <w:rPr>
          <w:rFonts w:ascii="Calibri" w:eastAsia="Times New Roman" w:hAnsi="Calibri" w:cs="Calibri"/>
          <w:sz w:val="16"/>
          <w:szCs w:val="16"/>
          <w:lang w:val="cs-CZ"/>
        </w:rPr>
        <w:t>Společnost Deloitte nebude odpovědná vůči Klient</w:t>
      </w:r>
      <w:r w:rsidR="002F38DE" w:rsidRPr="00444B2E">
        <w:rPr>
          <w:rFonts w:ascii="Calibri" w:eastAsia="Times New Roman" w:hAnsi="Calibri" w:cs="Calibri"/>
          <w:sz w:val="16"/>
          <w:szCs w:val="16"/>
          <w:lang w:val="cs-CZ"/>
        </w:rPr>
        <w:t>ovi</w:t>
      </w:r>
      <w:r w:rsidRPr="00444B2E">
        <w:rPr>
          <w:rFonts w:ascii="Calibri" w:eastAsia="Times New Roman" w:hAnsi="Calibri" w:cs="Calibri"/>
          <w:sz w:val="16"/>
          <w:szCs w:val="16"/>
          <w:lang w:val="cs-CZ"/>
        </w:rPr>
        <w:t xml:space="preserve"> za jakékoli nároky, závazky, ztráty, škody, náklady nebo výdaje vyplývající ze Smlouvy nebo v souvislosti s ní bez ohledu na právní základ („Nároky“) v souhrnné částce převyšující cenu hrazenou podle této Smlouvy Klientem společnosti Deloitte za tu část Služeb, v souvislosti s kterými došlo ke vzniku Nároku, maximálně však do výše padesát tisíc eur, ani nebude povinna nahradit jakoukoliv škodu Klienta, která převyšuje shora uvedené limity, vyjma případů, kdy dle pravomocného soudního rozhodnutí Nárok původně vyplynul z</w:t>
      </w:r>
      <w:r w:rsidRPr="00444B2E">
        <w:rPr>
          <w:rFonts w:ascii="Calibri" w:eastAsia="Times New Roman" w:hAnsi="Calibri" w:cs="Calibri"/>
          <w:b/>
          <w:sz w:val="16"/>
          <w:szCs w:val="16"/>
          <w:lang w:val="cs-CZ"/>
        </w:rPr>
        <w:t xml:space="preserve"> </w:t>
      </w:r>
      <w:r w:rsidRPr="00444B2E">
        <w:rPr>
          <w:rFonts w:ascii="Calibri" w:eastAsia="Times New Roman" w:hAnsi="Calibri" w:cs="Calibri"/>
          <w:sz w:val="16"/>
          <w:szCs w:val="16"/>
          <w:lang w:val="cs-CZ"/>
        </w:rPr>
        <w:t>úmyslného pochybení nebo hrubé nedbalosti Deloitte nebo jakéhokoli Subdodavatele.</w:t>
      </w:r>
    </w:p>
    <w:p w14:paraId="2F24E754" w14:textId="77777777" w:rsidR="00903C7E" w:rsidRPr="00444B2E" w:rsidRDefault="00903C7E" w:rsidP="00903C7E">
      <w:pPr>
        <w:numPr>
          <w:ilvl w:val="0"/>
          <w:numId w:val="18"/>
        </w:numPr>
        <w:spacing w:after="120" w:line="120" w:lineRule="atLeast"/>
        <w:ind w:left="568" w:right="70" w:hanging="284"/>
        <w:jc w:val="both"/>
        <w:rPr>
          <w:rFonts w:ascii="Calibri" w:hAnsi="Calibri" w:cs="Calibri"/>
          <w:sz w:val="16"/>
          <w:szCs w:val="16"/>
          <w:lang w:val="cs-CZ"/>
        </w:rPr>
      </w:pPr>
      <w:r w:rsidRPr="00444B2E">
        <w:rPr>
          <w:rFonts w:ascii="Calibri" w:hAnsi="Calibri" w:cs="Calibri"/>
          <w:sz w:val="16"/>
          <w:szCs w:val="16"/>
          <w:lang w:val="cs-CZ"/>
        </w:rPr>
        <w:lastRenderedPageBreak/>
        <w:t xml:space="preserve">V rozsahu dovoleném zákonem nebude žádná Společnost skupiny Deloitte (včetně Deloitte a jejích Subdodavatelů) odpovědná za žádnou ztrátu užívání, smluv, údajů, goodwillu, výnosů nebo zisků (ať jsou považovány za přímé Nároky či nikoli) nebo jakoukoli následnou, zvláštní, nepřímou, náhodnou, represivní nebo exemplární ztrátu, škodu nebo náklad vyplývající ze Smlouvy nebo s ní související. </w:t>
      </w:r>
    </w:p>
    <w:p w14:paraId="35CB3F68" w14:textId="1710AAA9" w:rsidR="00903C7E" w:rsidRPr="00444B2E" w:rsidRDefault="00903C7E" w:rsidP="00903C7E">
      <w:pPr>
        <w:numPr>
          <w:ilvl w:val="0"/>
          <w:numId w:val="18"/>
        </w:numPr>
        <w:spacing w:after="120" w:line="120" w:lineRule="atLeast"/>
        <w:ind w:left="568" w:right="70" w:hanging="284"/>
        <w:jc w:val="both"/>
        <w:rPr>
          <w:rFonts w:ascii="Calibri" w:hAnsi="Calibri" w:cs="Calibri"/>
          <w:sz w:val="16"/>
          <w:szCs w:val="16"/>
          <w:lang w:val="cs-CZ"/>
        </w:rPr>
      </w:pPr>
      <w:r w:rsidRPr="00444B2E">
        <w:rPr>
          <w:rFonts w:ascii="Calibri" w:hAnsi="Calibri" w:cs="Calibri"/>
          <w:sz w:val="16"/>
          <w:szCs w:val="16"/>
          <w:lang w:val="cs-CZ"/>
        </w:rPr>
        <w:t xml:space="preserve">V případě, že budou všechna nebo část ustanovení tohoto článku </w:t>
      </w:r>
      <w:r w:rsidR="002F38DE" w:rsidRPr="00444B2E">
        <w:rPr>
          <w:rFonts w:ascii="Calibri" w:hAnsi="Calibri" w:cs="Calibri"/>
          <w:sz w:val="16"/>
          <w:szCs w:val="16"/>
          <w:lang w:val="cs-CZ"/>
        </w:rPr>
        <w:t>4</w:t>
      </w:r>
      <w:r w:rsidRPr="00444B2E">
        <w:rPr>
          <w:rFonts w:ascii="Calibri" w:hAnsi="Calibri" w:cs="Calibri"/>
          <w:sz w:val="16"/>
          <w:szCs w:val="16"/>
          <w:lang w:val="cs-CZ"/>
        </w:rPr>
        <w:t xml:space="preserve"> pravomocným rozhodnutím soudu stanovena jako nevymahatelná, úhrnná odpovědnost Deloitte a jakékoli Společnosti skupiny Deloitte za jakýkoli Nárok nepřekročí částku, která odpovídá míře jejich zavinění v poměru k veškerým dalším příčinám vzniku takového Nároku.</w:t>
      </w:r>
    </w:p>
    <w:p w14:paraId="514C53F8" w14:textId="4F4A801A" w:rsidR="00903C7E" w:rsidRPr="00444B2E" w:rsidRDefault="00903C7E" w:rsidP="00903C7E">
      <w:pPr>
        <w:numPr>
          <w:ilvl w:val="0"/>
          <w:numId w:val="18"/>
        </w:numPr>
        <w:spacing w:after="120" w:line="120" w:lineRule="atLeast"/>
        <w:ind w:left="568" w:hanging="284"/>
        <w:jc w:val="both"/>
        <w:rPr>
          <w:rFonts w:ascii="Calibri" w:hAnsi="Calibri" w:cs="Calibri"/>
          <w:sz w:val="16"/>
          <w:szCs w:val="16"/>
          <w:lang w:val="cs-CZ"/>
        </w:rPr>
      </w:pPr>
      <w:r w:rsidRPr="00444B2E">
        <w:rPr>
          <w:rFonts w:ascii="Calibri" w:hAnsi="Calibri" w:cs="Calibri"/>
          <w:sz w:val="16"/>
          <w:szCs w:val="16"/>
          <w:lang w:val="cs-CZ"/>
        </w:rPr>
        <w:t>Odpovědnost společnosti Deloitte za Služby se vztahuje pouze k</w:t>
      </w:r>
      <w:r w:rsidR="009E2745" w:rsidRPr="00444B2E">
        <w:rPr>
          <w:rFonts w:ascii="Calibri" w:hAnsi="Calibri" w:cs="Calibri"/>
          <w:sz w:val="16"/>
          <w:szCs w:val="16"/>
          <w:lang w:val="cs-CZ"/>
        </w:rPr>
        <w:t xml:space="preserve">e </w:t>
      </w:r>
      <w:r w:rsidRPr="00444B2E">
        <w:rPr>
          <w:rFonts w:ascii="Calibri" w:hAnsi="Calibri" w:cs="Calibri"/>
          <w:sz w:val="16"/>
          <w:szCs w:val="16"/>
          <w:lang w:val="cs-CZ"/>
        </w:rPr>
        <w:t>Klient</w:t>
      </w:r>
      <w:r w:rsidR="009E2745" w:rsidRPr="00444B2E">
        <w:rPr>
          <w:rFonts w:ascii="Calibri" w:hAnsi="Calibri" w:cs="Calibri"/>
          <w:sz w:val="16"/>
          <w:szCs w:val="16"/>
          <w:lang w:val="cs-CZ"/>
        </w:rPr>
        <w:t>ovi</w:t>
      </w:r>
      <w:r w:rsidRPr="00444B2E">
        <w:rPr>
          <w:rFonts w:ascii="Calibri" w:hAnsi="Calibri" w:cs="Calibri"/>
          <w:sz w:val="16"/>
          <w:szCs w:val="16"/>
          <w:lang w:val="cs-CZ"/>
        </w:rPr>
        <w:t xml:space="preserve">, a nikoli ve vztahu k jiným třetím stranám. </w:t>
      </w:r>
    </w:p>
    <w:p w14:paraId="783E2D1A" w14:textId="5B7BCE09" w:rsidR="00903C7E" w:rsidRPr="00444B2E" w:rsidRDefault="00903C7E" w:rsidP="00903C7E">
      <w:pPr>
        <w:numPr>
          <w:ilvl w:val="0"/>
          <w:numId w:val="18"/>
        </w:numPr>
        <w:spacing w:after="120" w:line="120" w:lineRule="atLeast"/>
        <w:ind w:left="568" w:hanging="284"/>
        <w:jc w:val="both"/>
        <w:rPr>
          <w:rFonts w:ascii="Calibri" w:hAnsi="Calibri" w:cs="Calibri"/>
          <w:sz w:val="16"/>
          <w:szCs w:val="16"/>
          <w:lang w:val="cs-CZ"/>
        </w:rPr>
      </w:pPr>
      <w:r w:rsidRPr="00444B2E">
        <w:rPr>
          <w:rFonts w:ascii="Calibri" w:hAnsi="Calibri" w:cs="Calibri"/>
          <w:sz w:val="16"/>
          <w:szCs w:val="16"/>
          <w:lang w:val="cs-CZ"/>
        </w:rPr>
        <w:t xml:space="preserve">Omezení odpovědnosti a výše náhrady škody uvedené v odstavci </w:t>
      </w:r>
      <w:r w:rsidR="001250DD" w:rsidRPr="00444B2E">
        <w:rPr>
          <w:rFonts w:ascii="Calibri" w:hAnsi="Calibri" w:cs="Calibri"/>
          <w:sz w:val="16"/>
          <w:szCs w:val="16"/>
          <w:lang w:val="cs-CZ"/>
        </w:rPr>
        <w:t>4</w:t>
      </w:r>
      <w:r w:rsidRPr="00444B2E">
        <w:rPr>
          <w:rFonts w:ascii="Calibri" w:hAnsi="Calibri" w:cs="Calibri"/>
          <w:sz w:val="16"/>
          <w:szCs w:val="16"/>
          <w:lang w:val="cs-CZ"/>
        </w:rPr>
        <w:t xml:space="preserve">(a) platí souhrnně pro všechny Nároky, které příležitostně vznikají v souvislosti s touto Smlouvou nebo Službami, ať již jsou takové Nároky vzneseny ve stejnou nebo různou dobu nebo jedním či více členy </w:t>
      </w:r>
      <w:r w:rsidR="001250DD" w:rsidRPr="00444B2E">
        <w:rPr>
          <w:rFonts w:ascii="Calibri" w:hAnsi="Calibri" w:cs="Calibri"/>
          <w:sz w:val="16"/>
          <w:szCs w:val="16"/>
          <w:lang w:val="cs-CZ"/>
        </w:rPr>
        <w:t>s</w:t>
      </w:r>
      <w:r w:rsidRPr="00444B2E">
        <w:rPr>
          <w:rFonts w:ascii="Calibri" w:hAnsi="Calibri" w:cs="Calibri"/>
          <w:sz w:val="16"/>
          <w:szCs w:val="16"/>
          <w:lang w:val="cs-CZ"/>
        </w:rPr>
        <w:t xml:space="preserve">kupiny Klienta a /nebo jinými osobami. Limit v odstavci </w:t>
      </w:r>
      <w:r w:rsidR="001250DD" w:rsidRPr="00444B2E">
        <w:rPr>
          <w:rFonts w:ascii="Calibri" w:hAnsi="Calibri" w:cs="Calibri"/>
          <w:sz w:val="16"/>
          <w:szCs w:val="16"/>
          <w:lang w:val="cs-CZ"/>
        </w:rPr>
        <w:t>4</w:t>
      </w:r>
      <w:r w:rsidRPr="00444B2E">
        <w:rPr>
          <w:rFonts w:ascii="Calibri" w:hAnsi="Calibri" w:cs="Calibri"/>
          <w:sz w:val="16"/>
          <w:szCs w:val="16"/>
          <w:lang w:val="cs-CZ"/>
        </w:rPr>
        <w:t xml:space="preserve">(a) platí také pro všechny Nároky vůči jakýmkoli jiným Společnostem skupiny Deloitte, včetně Subdodavatelů, pokud a pouze do té míry, že je právně stanoveno, že kdokoli z nich má odpovědnost podle této Smlouvy nebo Služeb či v souladu s nimi. </w:t>
      </w:r>
    </w:p>
    <w:p w14:paraId="045540C0" w14:textId="52781757" w:rsidR="00903C7E" w:rsidRPr="00444B2E" w:rsidRDefault="00903C7E" w:rsidP="00903C7E">
      <w:pPr>
        <w:numPr>
          <w:ilvl w:val="0"/>
          <w:numId w:val="18"/>
        </w:numPr>
        <w:spacing w:after="120" w:line="120" w:lineRule="atLeast"/>
        <w:ind w:left="568" w:hanging="284"/>
        <w:jc w:val="both"/>
        <w:rPr>
          <w:rFonts w:ascii="Calibri" w:hAnsi="Calibri" w:cs="Calibri"/>
          <w:sz w:val="16"/>
          <w:szCs w:val="16"/>
          <w:lang w:val="cs-CZ"/>
        </w:rPr>
      </w:pPr>
      <w:r w:rsidRPr="00444B2E">
        <w:rPr>
          <w:rFonts w:ascii="Calibri" w:hAnsi="Calibri" w:cs="Calibri"/>
          <w:sz w:val="16"/>
          <w:szCs w:val="16"/>
          <w:lang w:val="cs-CZ"/>
        </w:rPr>
        <w:t xml:space="preserve">Pokud omezení odpovědnosti pro jiné Společnosti skupiny Deloitte obsažené v článku 1 d) je z jakéhokoli důvodu neúčinné, pak omezení odpovědnosti specifikované v článku </w:t>
      </w:r>
      <w:r w:rsidR="00FC0478" w:rsidRPr="00444B2E">
        <w:rPr>
          <w:rFonts w:ascii="Calibri" w:hAnsi="Calibri" w:cs="Calibri"/>
          <w:sz w:val="16"/>
          <w:szCs w:val="16"/>
          <w:lang w:val="cs-CZ"/>
        </w:rPr>
        <w:t>4</w:t>
      </w:r>
      <w:r w:rsidRPr="00444B2E">
        <w:rPr>
          <w:rFonts w:ascii="Calibri" w:hAnsi="Calibri" w:cs="Calibri"/>
          <w:sz w:val="16"/>
          <w:szCs w:val="16"/>
          <w:lang w:val="cs-CZ"/>
        </w:rPr>
        <w:t xml:space="preserve"> se vztahují na jiné Společnosti skupiny Deloitte, jako by v tomto článku byly uvedeny. Každý Příjemce Výstupu zajistí, že žádná z jeho přidružených společností (s výjimkou společnosti, která je sama o sobě Příjemcem Výstupu) nevznese žádný Nárok, ať je či není založen na tvrzení o nedbalosti Deloitte, proti jiné Společnosti skupiny Deloitte. </w:t>
      </w:r>
    </w:p>
    <w:p w14:paraId="55A1B46E" w14:textId="60337871" w:rsidR="00903C7E" w:rsidRPr="00444B2E" w:rsidRDefault="00903C7E" w:rsidP="00903C7E">
      <w:pPr>
        <w:numPr>
          <w:ilvl w:val="0"/>
          <w:numId w:val="18"/>
        </w:numPr>
        <w:spacing w:after="120" w:line="120" w:lineRule="atLeast"/>
        <w:ind w:left="568" w:hanging="284"/>
        <w:jc w:val="both"/>
        <w:rPr>
          <w:rFonts w:ascii="Calibri" w:hAnsi="Calibri" w:cs="Calibri"/>
          <w:sz w:val="16"/>
          <w:szCs w:val="16"/>
          <w:lang w:val="cs-CZ"/>
        </w:rPr>
      </w:pPr>
      <w:r w:rsidRPr="00444B2E">
        <w:rPr>
          <w:rFonts w:ascii="Calibri" w:hAnsi="Calibri" w:cs="Calibri"/>
          <w:sz w:val="16"/>
          <w:szCs w:val="16"/>
          <w:lang w:val="cs-CZ"/>
        </w:rPr>
        <w:t xml:space="preserve">Společnost Deloitte nenese odpovědnost ve vztahu k jakýmkoli produktům a službám třetích stran nebo ve vztahu ke ztrátám nebo škodám vzniklým Klientovi, členům skupiny Klienta a/nebo jiným Oprávněným osobám než těm, které jsou uvedeny v tomto článku. </w:t>
      </w:r>
    </w:p>
    <w:p w14:paraId="3793C005" w14:textId="77777777" w:rsidR="00903C7E" w:rsidRPr="00444B2E" w:rsidRDefault="00903C7E" w:rsidP="00903C7E">
      <w:pPr>
        <w:numPr>
          <w:ilvl w:val="0"/>
          <w:numId w:val="18"/>
        </w:numPr>
        <w:spacing w:after="120" w:line="120" w:lineRule="atLeast"/>
        <w:ind w:left="568" w:hanging="284"/>
        <w:jc w:val="both"/>
        <w:rPr>
          <w:rFonts w:ascii="Calibri" w:hAnsi="Calibri" w:cs="Calibri"/>
          <w:sz w:val="16"/>
          <w:szCs w:val="16"/>
          <w:lang w:val="cs-CZ"/>
        </w:rPr>
      </w:pPr>
      <w:r w:rsidRPr="00444B2E">
        <w:rPr>
          <w:rFonts w:ascii="Calibri" w:hAnsi="Calibri" w:cs="Calibri"/>
          <w:sz w:val="16"/>
          <w:szCs w:val="16"/>
          <w:lang w:val="cs-CZ"/>
        </w:rPr>
        <w:t xml:space="preserve">Za žádných okolností společnost Deloitte neponese odpovědnost v souvislosti se škodami způsobenými Příjemci Výstupu nebo jakoukoli třetí stranou nebo vzniklými jakýmkoli způsobem na základě nedbalosti nebo zanedbání, podvodného jednání nebo opomenutí, zkreslení nebo chyby na straně Příjemců Výstupu nebo jakékoli třetí strany nebo v souvislosti s nimi. </w:t>
      </w:r>
    </w:p>
    <w:p w14:paraId="3A3A5469" w14:textId="77777777" w:rsidR="00903C7E" w:rsidRPr="00444B2E" w:rsidRDefault="00903C7E" w:rsidP="00903C7E">
      <w:pPr>
        <w:keepNext/>
        <w:numPr>
          <w:ilvl w:val="0"/>
          <w:numId w:val="12"/>
        </w:numPr>
        <w:spacing w:after="120" w:line="120" w:lineRule="atLeast"/>
        <w:ind w:left="568" w:hanging="284"/>
        <w:jc w:val="both"/>
        <w:outlineLvl w:val="0"/>
        <w:rPr>
          <w:rFonts w:ascii="Calibri" w:hAnsi="Calibri" w:cs="Calibri"/>
          <w:b/>
          <w:kern w:val="28"/>
          <w:sz w:val="16"/>
          <w:szCs w:val="16"/>
        </w:rPr>
      </w:pPr>
      <w:proofErr w:type="spellStart"/>
      <w:r w:rsidRPr="00444B2E">
        <w:rPr>
          <w:rFonts w:ascii="Calibri" w:hAnsi="Calibri" w:cs="Calibri"/>
          <w:b/>
          <w:kern w:val="28"/>
          <w:sz w:val="16"/>
          <w:szCs w:val="16"/>
        </w:rPr>
        <w:t>Záruky</w:t>
      </w:r>
      <w:proofErr w:type="spellEnd"/>
      <w:r w:rsidRPr="00444B2E">
        <w:rPr>
          <w:rFonts w:ascii="Calibri" w:hAnsi="Calibri" w:cs="Calibri"/>
          <w:b/>
          <w:kern w:val="28"/>
          <w:sz w:val="16"/>
          <w:szCs w:val="16"/>
        </w:rPr>
        <w:t xml:space="preserve"> </w:t>
      </w:r>
    </w:p>
    <w:p w14:paraId="6AC51CC1" w14:textId="77777777" w:rsidR="00903C7E" w:rsidRPr="00444B2E" w:rsidRDefault="00903C7E" w:rsidP="00903C7E">
      <w:pPr>
        <w:numPr>
          <w:ilvl w:val="0"/>
          <w:numId w:val="19"/>
        </w:numPr>
        <w:spacing w:after="120" w:line="120" w:lineRule="atLeast"/>
        <w:ind w:left="568" w:hanging="284"/>
        <w:jc w:val="both"/>
        <w:rPr>
          <w:rFonts w:ascii="Calibri" w:hAnsi="Calibri" w:cs="Calibri"/>
          <w:sz w:val="16"/>
          <w:szCs w:val="16"/>
          <w:lang w:val="cs-CZ"/>
        </w:rPr>
      </w:pPr>
      <w:r w:rsidRPr="00444B2E">
        <w:rPr>
          <w:rFonts w:ascii="Calibri" w:eastAsia="Times New Roman" w:hAnsi="Calibri" w:cs="Calibri"/>
          <w:sz w:val="16"/>
          <w:szCs w:val="16"/>
          <w:lang w:val="cs-CZ"/>
        </w:rPr>
        <w:t>Tato smlouva je smlouvou o poskytování služeb. Deloitte se zaručuje, že bude Služby poskytovat v dobré víře a s odbornou péčí a dovedností. V plné míře povolené zákonem Deloitte odmítá veškeré záruky, ať výslovné či implicitní, včetně veškerých garancí nebo záruk aplikovatelných na prodeje, specifické činnosti či dodržování zákonů. Deloitte</w:t>
      </w:r>
      <w:r w:rsidRPr="00444B2E">
        <w:rPr>
          <w:rFonts w:ascii="Calibri" w:hAnsi="Calibri" w:cs="Calibri"/>
          <w:sz w:val="16"/>
          <w:szCs w:val="16"/>
          <w:lang w:val="cs-CZ"/>
        </w:rPr>
        <w:t xml:space="preserve"> odmítá veškeré záruky obchodovatelnosti či vhodnosti Služeb pro specifický účel.</w:t>
      </w:r>
    </w:p>
    <w:p w14:paraId="26ED056F" w14:textId="27233985" w:rsidR="00903C7E" w:rsidRPr="00444B2E" w:rsidRDefault="00903C7E" w:rsidP="00903C7E">
      <w:pPr>
        <w:numPr>
          <w:ilvl w:val="0"/>
          <w:numId w:val="19"/>
        </w:numPr>
        <w:spacing w:after="120" w:line="120" w:lineRule="atLeast"/>
        <w:ind w:left="568" w:right="70" w:hanging="284"/>
        <w:jc w:val="both"/>
        <w:rPr>
          <w:rFonts w:ascii="Calibri" w:hAnsi="Calibri" w:cs="Calibri"/>
          <w:sz w:val="16"/>
          <w:szCs w:val="16"/>
          <w:lang w:val="cs-CZ"/>
        </w:rPr>
      </w:pPr>
      <w:r w:rsidRPr="00444B2E">
        <w:rPr>
          <w:rFonts w:ascii="Calibri" w:hAnsi="Calibri" w:cs="Calibri"/>
          <w:sz w:val="16"/>
          <w:szCs w:val="16"/>
          <w:lang w:val="cs-CZ"/>
        </w:rPr>
        <w:t xml:space="preserve">Klient může požadovat odstranění jakýchkoli vad za předpokladu, že mohou být odstraněny za přiměřenou cenu a že Klient vady oznámil společnosti Deloitte písemně během třiceti dní anebo během záruční doby specifikované závaznými právními předpisy, přičemž </w:t>
      </w:r>
      <w:r w:rsidRPr="00444B2E">
        <w:rPr>
          <w:rFonts w:ascii="Calibri" w:hAnsi="Calibri" w:cs="Calibri"/>
          <w:sz w:val="16"/>
          <w:szCs w:val="16"/>
          <w:lang w:val="cs-CZ"/>
        </w:rPr>
        <w:t xml:space="preserve">výše uvedená doba začíná v okamžiku přijetí Výstupu a/nebo dodávek Služeb. Pokud vada nemůže být napravena nebo je pokus o nápravu vady neúspěšný, Klient může zrušit Smlouvu nebo požadovat snížení Ceny za Služby. </w:t>
      </w:r>
    </w:p>
    <w:p w14:paraId="6DF64DC3" w14:textId="77777777" w:rsidR="00903C7E" w:rsidRPr="00444B2E" w:rsidRDefault="00903C7E" w:rsidP="00903C7E">
      <w:pPr>
        <w:numPr>
          <w:ilvl w:val="0"/>
          <w:numId w:val="19"/>
        </w:numPr>
        <w:spacing w:after="120" w:line="120" w:lineRule="atLeast"/>
        <w:ind w:left="568" w:right="70" w:hanging="284"/>
        <w:jc w:val="both"/>
        <w:rPr>
          <w:rFonts w:ascii="Calibri" w:hAnsi="Calibri" w:cs="Calibri"/>
          <w:sz w:val="16"/>
          <w:szCs w:val="16"/>
          <w:lang w:val="cs-CZ"/>
        </w:rPr>
      </w:pPr>
      <w:r w:rsidRPr="00444B2E">
        <w:rPr>
          <w:rFonts w:ascii="Calibri" w:hAnsi="Calibri" w:cs="Calibri"/>
          <w:sz w:val="16"/>
          <w:szCs w:val="16"/>
          <w:lang w:val="cs-CZ"/>
        </w:rPr>
        <w:t xml:space="preserve">Služby budou poskytnuty objektivním, nestranným a profesionálním způsobem, neovlivněným jakýmkoli konkrétním obchodním zájmem Deloitte či kohokoli z jeho personálu a bez návaznosti na obdržení jakýchkoli odměn od jiné strany. </w:t>
      </w:r>
    </w:p>
    <w:p w14:paraId="1D1214E6" w14:textId="1A2860D3" w:rsidR="00903C7E" w:rsidRPr="00444B2E" w:rsidRDefault="00903C7E" w:rsidP="00903C7E">
      <w:pPr>
        <w:numPr>
          <w:ilvl w:val="0"/>
          <w:numId w:val="19"/>
        </w:numPr>
        <w:spacing w:after="120" w:line="120" w:lineRule="atLeast"/>
        <w:ind w:left="568" w:right="70" w:hanging="284"/>
        <w:jc w:val="both"/>
        <w:rPr>
          <w:rFonts w:ascii="Calibri" w:hAnsi="Calibri" w:cs="Calibri"/>
          <w:sz w:val="16"/>
          <w:szCs w:val="16"/>
          <w:lang w:val="cs-CZ"/>
        </w:rPr>
      </w:pPr>
      <w:r w:rsidRPr="00444B2E">
        <w:rPr>
          <w:rFonts w:ascii="Calibri" w:hAnsi="Calibri" w:cs="Calibri"/>
          <w:sz w:val="16"/>
          <w:szCs w:val="16"/>
          <w:lang w:val="cs-CZ"/>
        </w:rPr>
        <w:t xml:space="preserve">Společnost Deloitte </w:t>
      </w:r>
      <w:bookmarkStart w:id="1" w:name="_Hlk152575155"/>
      <w:r w:rsidR="000809C5" w:rsidRPr="00444B2E">
        <w:rPr>
          <w:rFonts w:ascii="Calibri" w:hAnsi="Calibri" w:cs="Calibri"/>
          <w:sz w:val="16"/>
          <w:szCs w:val="16"/>
          <w:lang w:val="cs-CZ"/>
        </w:rPr>
        <w:t xml:space="preserve">může používat informace poskytnuté jinými subjekty (informace třetích stran), </w:t>
      </w:r>
      <w:proofErr w:type="gramStart"/>
      <w:r w:rsidR="001250DD" w:rsidRPr="00444B2E">
        <w:rPr>
          <w:rFonts w:ascii="Calibri" w:hAnsi="Calibri" w:cs="Calibri"/>
          <w:sz w:val="16"/>
          <w:szCs w:val="16"/>
          <w:lang w:val="cs-CZ"/>
        </w:rPr>
        <w:t xml:space="preserve">bude </w:t>
      </w:r>
      <w:proofErr w:type="spellStart"/>
      <w:r w:rsidR="001250DD" w:rsidRPr="00444B2E">
        <w:rPr>
          <w:rFonts w:ascii="Calibri" w:hAnsi="Calibri" w:cs="Calibri"/>
          <w:sz w:val="16"/>
          <w:szCs w:val="16"/>
          <w:lang w:val="cs-CZ"/>
        </w:rPr>
        <w:t>li</w:t>
      </w:r>
      <w:proofErr w:type="spellEnd"/>
      <w:proofErr w:type="gramEnd"/>
      <w:r w:rsidR="000809C5" w:rsidRPr="00444B2E">
        <w:rPr>
          <w:rFonts w:ascii="Calibri" w:hAnsi="Calibri" w:cs="Calibri"/>
          <w:sz w:val="16"/>
          <w:szCs w:val="16"/>
          <w:lang w:val="cs-CZ"/>
        </w:rPr>
        <w:t xml:space="preserve"> přesv</w:t>
      </w:r>
      <w:r w:rsidR="001250DD" w:rsidRPr="00444B2E">
        <w:rPr>
          <w:rFonts w:ascii="Calibri" w:hAnsi="Calibri" w:cs="Calibri"/>
          <w:sz w:val="16"/>
          <w:szCs w:val="16"/>
          <w:lang w:val="cs-CZ"/>
        </w:rPr>
        <w:t>ě</w:t>
      </w:r>
      <w:r w:rsidR="000809C5" w:rsidRPr="00444B2E">
        <w:rPr>
          <w:rFonts w:ascii="Calibri" w:hAnsi="Calibri" w:cs="Calibri"/>
          <w:sz w:val="16"/>
          <w:szCs w:val="16"/>
          <w:lang w:val="cs-CZ"/>
        </w:rPr>
        <w:t xml:space="preserve">dčená o jejich spolehlivosti. </w:t>
      </w:r>
      <w:bookmarkEnd w:id="1"/>
      <w:r w:rsidR="001250DD" w:rsidRPr="00444B2E">
        <w:rPr>
          <w:rFonts w:ascii="Calibri" w:hAnsi="Calibri" w:cs="Calibri"/>
          <w:sz w:val="16"/>
          <w:szCs w:val="16"/>
          <w:lang w:val="cs-CZ"/>
        </w:rPr>
        <w:t>Deloitte však nenese žádnou odpovědnost za užití těchto informací, za jejich správnost, ani neposkytuje v této souvislosti žádné záruky</w:t>
      </w:r>
      <w:r w:rsidR="000809C5" w:rsidRPr="00444B2E">
        <w:rPr>
          <w:rFonts w:ascii="Calibri" w:hAnsi="Calibri" w:cs="Calibri"/>
          <w:sz w:val="16"/>
          <w:szCs w:val="16"/>
          <w:lang w:val="cs-CZ"/>
        </w:rPr>
        <w:t>.</w:t>
      </w:r>
      <w:r w:rsidRPr="00444B2E">
        <w:rPr>
          <w:rFonts w:ascii="Calibri" w:hAnsi="Calibri" w:cs="Calibri"/>
          <w:sz w:val="16"/>
          <w:szCs w:val="16"/>
          <w:lang w:val="cs-CZ"/>
        </w:rPr>
        <w:t xml:space="preserve"> </w:t>
      </w:r>
    </w:p>
    <w:p w14:paraId="193E6520" w14:textId="77777777" w:rsidR="00903C7E" w:rsidRPr="00444B2E" w:rsidRDefault="00903C7E" w:rsidP="00903C7E">
      <w:pPr>
        <w:keepNext/>
        <w:numPr>
          <w:ilvl w:val="0"/>
          <w:numId w:val="12"/>
        </w:numPr>
        <w:spacing w:after="120" w:line="120" w:lineRule="atLeast"/>
        <w:ind w:left="568" w:right="70" w:hanging="284"/>
        <w:jc w:val="both"/>
        <w:outlineLvl w:val="0"/>
        <w:rPr>
          <w:rFonts w:ascii="Calibri" w:hAnsi="Calibri" w:cs="Calibri"/>
          <w:b/>
          <w:kern w:val="28"/>
          <w:sz w:val="16"/>
          <w:szCs w:val="16"/>
        </w:rPr>
      </w:pPr>
      <w:proofErr w:type="spellStart"/>
      <w:r w:rsidRPr="00444B2E">
        <w:rPr>
          <w:rFonts w:ascii="Calibri" w:hAnsi="Calibri" w:cs="Calibri"/>
          <w:b/>
          <w:kern w:val="28"/>
          <w:sz w:val="16"/>
          <w:szCs w:val="16"/>
        </w:rPr>
        <w:t>Důvěrnost</w:t>
      </w:r>
      <w:proofErr w:type="spellEnd"/>
      <w:r w:rsidRPr="00444B2E">
        <w:rPr>
          <w:rFonts w:ascii="Calibri" w:hAnsi="Calibri" w:cs="Calibri"/>
          <w:b/>
          <w:kern w:val="28"/>
          <w:sz w:val="16"/>
          <w:szCs w:val="16"/>
        </w:rPr>
        <w:t xml:space="preserve"> </w:t>
      </w:r>
      <w:proofErr w:type="spellStart"/>
      <w:r w:rsidRPr="00444B2E">
        <w:rPr>
          <w:rFonts w:ascii="Calibri" w:hAnsi="Calibri" w:cs="Calibri"/>
          <w:b/>
          <w:kern w:val="28"/>
          <w:sz w:val="16"/>
          <w:szCs w:val="16"/>
        </w:rPr>
        <w:t>informací</w:t>
      </w:r>
      <w:proofErr w:type="spellEnd"/>
      <w:r w:rsidRPr="00444B2E">
        <w:rPr>
          <w:rFonts w:ascii="Calibri" w:hAnsi="Calibri" w:cs="Calibri"/>
          <w:b/>
          <w:kern w:val="28"/>
          <w:sz w:val="16"/>
          <w:szCs w:val="16"/>
        </w:rPr>
        <w:t xml:space="preserve"> </w:t>
      </w:r>
    </w:p>
    <w:p w14:paraId="09BA4A7B" w14:textId="77777777" w:rsidR="00903C7E" w:rsidRPr="00444B2E" w:rsidRDefault="00903C7E" w:rsidP="00903C7E">
      <w:pPr>
        <w:numPr>
          <w:ilvl w:val="0"/>
          <w:numId w:val="21"/>
        </w:numPr>
        <w:spacing w:after="120" w:line="120" w:lineRule="atLeast"/>
        <w:ind w:left="568" w:right="70" w:hanging="284"/>
        <w:jc w:val="both"/>
        <w:rPr>
          <w:rFonts w:ascii="Calibri" w:eastAsia="Times New Roman" w:hAnsi="Calibri" w:cs="Calibri"/>
          <w:sz w:val="16"/>
          <w:szCs w:val="16"/>
          <w:lang w:val="cs-CZ"/>
        </w:rPr>
      </w:pPr>
      <w:r w:rsidRPr="00444B2E">
        <w:rPr>
          <w:rFonts w:ascii="Calibri" w:eastAsia="Times New Roman" w:hAnsi="Calibri" w:cs="Calibri"/>
          <w:sz w:val="16"/>
          <w:szCs w:val="16"/>
          <w:lang w:val="cs-CZ"/>
        </w:rPr>
        <w:t>Pokud v souvislosti s touto Smlouvou Deloitte nebo Klient nebo jakýkoli Příjemce Výstupu, existuje-li („</w:t>
      </w:r>
      <w:proofErr w:type="spellStart"/>
      <w:r w:rsidRPr="00444B2E">
        <w:rPr>
          <w:rFonts w:ascii="Calibri" w:eastAsia="Times New Roman" w:hAnsi="Calibri" w:cs="Calibri"/>
          <w:sz w:val="16"/>
          <w:szCs w:val="16"/>
          <w:lang w:val="cs-CZ"/>
        </w:rPr>
        <w:t>příjímající</w:t>
      </w:r>
      <w:proofErr w:type="spellEnd"/>
      <w:r w:rsidRPr="00444B2E">
        <w:rPr>
          <w:rFonts w:ascii="Calibri" w:eastAsia="Times New Roman" w:hAnsi="Calibri" w:cs="Calibri"/>
          <w:sz w:val="16"/>
          <w:szCs w:val="16"/>
          <w:lang w:val="cs-CZ"/>
        </w:rPr>
        <w:t xml:space="preserve"> strana“) získá informace související se Službami, obchodním tajemstvím nebo jinými informacemi chráněnými vlastnickým právem, které jsou buď označeny sdělující stranou za důvěrné, nebo jsou svou povahou jasně důvěrné („Důvěrné informace“), </w:t>
      </w:r>
      <w:proofErr w:type="spellStart"/>
      <w:r w:rsidRPr="00444B2E">
        <w:rPr>
          <w:rFonts w:ascii="Calibri" w:eastAsia="Times New Roman" w:hAnsi="Calibri" w:cs="Calibri"/>
          <w:sz w:val="16"/>
          <w:szCs w:val="16"/>
          <w:lang w:val="cs-CZ"/>
        </w:rPr>
        <w:t>příjímající</w:t>
      </w:r>
      <w:proofErr w:type="spellEnd"/>
      <w:r w:rsidRPr="00444B2E">
        <w:rPr>
          <w:rFonts w:ascii="Calibri" w:eastAsia="Times New Roman" w:hAnsi="Calibri" w:cs="Calibri"/>
          <w:sz w:val="16"/>
          <w:szCs w:val="16"/>
          <w:lang w:val="cs-CZ"/>
        </w:rPr>
        <w:t xml:space="preserve"> strana je nesdělí žádné třetí straně bez souhlasu sdělující strany, vyjma právních poradců Klienta nebo Deloitte, a to pouze pro účel získání právní rady nebo pokud to vyžaduje zákon, nařízení, právní nebo správní proces. </w:t>
      </w:r>
    </w:p>
    <w:p w14:paraId="4AC7F998" w14:textId="77777777" w:rsidR="00903C7E" w:rsidRPr="00444B2E" w:rsidRDefault="00903C7E" w:rsidP="00903C7E">
      <w:pPr>
        <w:numPr>
          <w:ilvl w:val="0"/>
          <w:numId w:val="21"/>
        </w:numPr>
        <w:spacing w:after="120" w:line="120" w:lineRule="atLeast"/>
        <w:ind w:left="568" w:right="70" w:hanging="284"/>
        <w:jc w:val="both"/>
        <w:rPr>
          <w:rFonts w:ascii="Calibri" w:hAnsi="Calibri" w:cs="Calibri"/>
          <w:sz w:val="16"/>
          <w:szCs w:val="16"/>
          <w:lang w:val="cs-CZ"/>
        </w:rPr>
      </w:pPr>
      <w:r w:rsidRPr="00444B2E">
        <w:rPr>
          <w:rFonts w:ascii="Calibri" w:hAnsi="Calibri" w:cs="Calibri"/>
          <w:sz w:val="16"/>
          <w:szCs w:val="16"/>
          <w:lang w:val="cs-CZ"/>
        </w:rPr>
        <w:t>Klient nebo Příjemce Výstupu, existuje-li, tímto souhlasí, aby společnost Deloitte Důvěrné informace sdělila (i) jakékoli Společnosti skupiny Deloitte (včetně Subdodavatelů) a jejich personálu pro jakýkoli účel, včetně správy takových Důvěrných informací (včetně používání interních databází) při dodržení příslušných nařízení o ochraně soukromí a databází a (</w:t>
      </w:r>
      <w:proofErr w:type="spellStart"/>
      <w:r w:rsidRPr="00444B2E">
        <w:rPr>
          <w:rFonts w:ascii="Calibri" w:hAnsi="Calibri" w:cs="Calibri"/>
          <w:sz w:val="16"/>
          <w:szCs w:val="16"/>
          <w:lang w:val="cs-CZ"/>
        </w:rPr>
        <w:t>ii</w:t>
      </w:r>
      <w:proofErr w:type="spellEnd"/>
      <w:r w:rsidRPr="00444B2E">
        <w:rPr>
          <w:rFonts w:ascii="Calibri" w:hAnsi="Calibri" w:cs="Calibri"/>
          <w:sz w:val="16"/>
          <w:szCs w:val="16"/>
          <w:lang w:val="cs-CZ"/>
        </w:rPr>
        <w:t xml:space="preserve">) právním poradcům, auditorům a pojišťovnám, nebo jak může vyžadovat zákon, nařízení, právní nebo správní proces, nebo v souladu s příslušnými profesionálními standardy, nebo v souvislosti s potenciální nebo probíhající  mediací, arbitráží nebo soudním sporem. Není-li to zakázáno nařízeními o profesním tajemství, povinnost Deloitte zachovávat důvěrnost informací se nevztahuje na případy, kdy tyto Důvěrné informace (A) jsou nebo se stanou veřejně dostupnými (včetně mj. informací předkládaných státním orgánům a dostupné veřejnosti) jinak než v důsledku neplnění podmínek ze strany Deloitte, (B) se stanou dostupnými jakékoli Společnosti skupiny Deloitte, která není vázána mlčenlivostí, z jiného zdroje, než je sdělující strana, o níž se Deloitte domnívá, že jí není bráněno sdělovat takové Důvěrné informace společnosti Deloitte jakýmkoli závazkem zachování důvěrnosti informací, nebo (C) jsou známy jakékoli Společnosti skupiny Deloitte před získáním od sdělující strany bez závazku zachování důvěrnosti informací, nebo (D) na případy informací, které Společnost skupiny Deloitte vytvoří nezávisle na Důvěrných informacích zveřejněných sdělující stranou. </w:t>
      </w:r>
    </w:p>
    <w:p w14:paraId="74BF1CCC" w14:textId="77777777" w:rsidR="00903C7E" w:rsidRPr="00444B2E" w:rsidRDefault="00903C7E" w:rsidP="00903C7E">
      <w:pPr>
        <w:numPr>
          <w:ilvl w:val="0"/>
          <w:numId w:val="21"/>
        </w:numPr>
        <w:spacing w:after="120" w:line="120" w:lineRule="atLeast"/>
        <w:ind w:left="568" w:hanging="284"/>
        <w:jc w:val="both"/>
        <w:rPr>
          <w:rFonts w:ascii="Calibri" w:hAnsi="Calibri" w:cs="Calibri"/>
          <w:sz w:val="16"/>
          <w:szCs w:val="16"/>
          <w:lang w:val="cs-CZ"/>
        </w:rPr>
      </w:pPr>
      <w:r w:rsidRPr="00444B2E">
        <w:rPr>
          <w:rFonts w:ascii="Calibri" w:hAnsi="Calibri" w:cs="Calibri"/>
          <w:sz w:val="16"/>
          <w:szCs w:val="16"/>
          <w:lang w:val="cs-CZ"/>
        </w:rPr>
        <w:t>Příjemci Výstupu nesdělí žádné třetí straně jakýkoli Výstup bez výslovného písemného a podmíněného souhlasu Deloitte, tj. podmíněného podepsáním dalších dokumentů požadovaných Deloitte s následujícími výjimkami: (i) sdělení je provedeno do té míry, do jaké příslušné závazné právní předpisy, nařízení, pravidla a profesionální povinnosti zakazují omezování zveřejnění informací, (</w:t>
      </w:r>
      <w:proofErr w:type="spellStart"/>
      <w:r w:rsidRPr="00444B2E">
        <w:rPr>
          <w:rFonts w:ascii="Calibri" w:hAnsi="Calibri" w:cs="Calibri"/>
          <w:sz w:val="16"/>
          <w:szCs w:val="16"/>
          <w:lang w:val="cs-CZ"/>
        </w:rPr>
        <w:t>ii</w:t>
      </w:r>
      <w:proofErr w:type="spellEnd"/>
      <w:r w:rsidRPr="00444B2E">
        <w:rPr>
          <w:rFonts w:ascii="Calibri" w:hAnsi="Calibri" w:cs="Calibri"/>
          <w:sz w:val="16"/>
          <w:szCs w:val="16"/>
          <w:lang w:val="cs-CZ"/>
        </w:rPr>
        <w:t xml:space="preserve">) pokud Klient nebo jeho Přidružené podniky mají cenné papíry registrované Komisí pro </w:t>
      </w:r>
      <w:r w:rsidRPr="00444B2E">
        <w:rPr>
          <w:rFonts w:ascii="Calibri" w:hAnsi="Calibri" w:cs="Calibri"/>
          <w:sz w:val="16"/>
          <w:szCs w:val="16"/>
          <w:lang w:val="cs-CZ"/>
        </w:rPr>
        <w:lastRenderedPageBreak/>
        <w:t>cenné papíry a burzy USA a jakákoli Společnost skupiny Deloitte je auditorem Klienta nebo jeho Přidruženého podniku, kdy v takovém případe Deloitte nijak neomezuje sdělení daňového zacházení nebo daňové struktury spojené s daňovými Službami nebo transakcemi popsanými ve Smlouvě a Klient bere na vědomí, že žádný z jeho jiných poradců neuvalil nebo neuvalí omezení na takové daňové zacházení nebo daňovou strukturu, nebo (</w:t>
      </w:r>
      <w:proofErr w:type="spellStart"/>
      <w:r w:rsidRPr="00444B2E">
        <w:rPr>
          <w:rFonts w:ascii="Calibri" w:hAnsi="Calibri" w:cs="Calibri"/>
          <w:sz w:val="16"/>
          <w:szCs w:val="16"/>
          <w:lang w:val="cs-CZ"/>
        </w:rPr>
        <w:t>iii</w:t>
      </w:r>
      <w:proofErr w:type="spellEnd"/>
      <w:r w:rsidRPr="00444B2E">
        <w:rPr>
          <w:rFonts w:ascii="Calibri" w:hAnsi="Calibri" w:cs="Calibri"/>
          <w:sz w:val="16"/>
          <w:szCs w:val="16"/>
          <w:lang w:val="cs-CZ"/>
        </w:rPr>
        <w:t>) v míře, v jaké jsou uplatňovány daňový zákon USA a příslušné pokyny daňové správy související s důvěrnými daňovými útočišti (nebo srovnatelné zákony nebo pokyny jiných daňových úřadů v jiné jurisdikci), kdy v takovém případě neexistují omezení zveřejnění Výstupu, a (</w:t>
      </w:r>
      <w:proofErr w:type="spellStart"/>
      <w:r w:rsidRPr="00444B2E">
        <w:rPr>
          <w:rFonts w:ascii="Calibri" w:hAnsi="Calibri" w:cs="Calibri"/>
          <w:sz w:val="16"/>
          <w:szCs w:val="16"/>
          <w:lang w:val="cs-CZ"/>
        </w:rPr>
        <w:t>iv</w:t>
      </w:r>
      <w:proofErr w:type="spellEnd"/>
      <w:r w:rsidRPr="00444B2E">
        <w:rPr>
          <w:rFonts w:ascii="Calibri" w:hAnsi="Calibri" w:cs="Calibri"/>
          <w:sz w:val="16"/>
          <w:szCs w:val="16"/>
          <w:lang w:val="cs-CZ"/>
        </w:rPr>
        <w:t xml:space="preserve">) Klient může zveřejnit Výstup na základě potřeby znalosti jakýmkoli Přidruženým podnikům, které nejsou určeny ve Smluvním dopise, pouze pro informační účely, a to za podmínky, že se Klient zaručuje, že tyto Přidružené podniky budou uchovávat takový Výstup v tajnosti a neuplatní žádný nárok jakéhokoli druhu vůči Společnosti skupiny Deloitte ve vztahu k Výstupu nebo Službám. </w:t>
      </w:r>
    </w:p>
    <w:p w14:paraId="62C0C37B" w14:textId="77777777" w:rsidR="00903C7E" w:rsidRPr="00444B2E" w:rsidRDefault="00903C7E" w:rsidP="00903C7E">
      <w:pPr>
        <w:numPr>
          <w:ilvl w:val="0"/>
          <w:numId w:val="21"/>
        </w:numPr>
        <w:spacing w:after="120" w:line="120" w:lineRule="atLeast"/>
        <w:ind w:left="568" w:hanging="284"/>
        <w:jc w:val="both"/>
        <w:rPr>
          <w:rFonts w:ascii="Calibri" w:hAnsi="Calibri" w:cs="Calibri"/>
          <w:sz w:val="16"/>
          <w:szCs w:val="16"/>
          <w:lang w:val="cs-CZ"/>
        </w:rPr>
      </w:pPr>
      <w:r w:rsidRPr="00444B2E">
        <w:rPr>
          <w:rFonts w:ascii="Calibri" w:hAnsi="Calibri" w:cs="Calibri"/>
          <w:sz w:val="16"/>
          <w:szCs w:val="16"/>
          <w:lang w:val="cs-CZ"/>
        </w:rPr>
        <w:t>Klient a/nebo Příjemce Výstupu použije Výstup pouze pro účely specifikované ve Smlouvě nebo Výstupu, přičemž není zejména oprávněn</w:t>
      </w:r>
      <w:r w:rsidRPr="00444B2E" w:rsidDel="00D9489A">
        <w:rPr>
          <w:rFonts w:ascii="Calibri" w:hAnsi="Calibri" w:cs="Calibri"/>
          <w:sz w:val="16"/>
          <w:szCs w:val="16"/>
          <w:lang w:val="cs-CZ"/>
        </w:rPr>
        <w:t xml:space="preserve"> </w:t>
      </w:r>
      <w:r w:rsidRPr="00444B2E">
        <w:rPr>
          <w:rFonts w:ascii="Calibri" w:hAnsi="Calibri" w:cs="Calibri"/>
          <w:sz w:val="16"/>
          <w:szCs w:val="16"/>
          <w:lang w:val="cs-CZ"/>
        </w:rPr>
        <w:t xml:space="preserve">bez předchozího písemného souhlasu (včetně souhlasu prostřednictvím emailu) Deloitte použít jakýkoli Výstup v souvislosti s obchodními rozhodnutími jakékoli třetí strany nebo pro reklamní účely. Veškeré Služby jsou určeny pouze ve prospěch členů skupiny Klienta určených ve Smlouvě nebo Výstupech nebo ve prospěch Oprávněných osob, které mají právo spoléhat se na Výstup. Pouhé přijetí Výstupu jakýmikoli jinými osobami nebude důvodem pro vznik jakékoliv povinnosti, právního vztahu nebo současné či budoucí odpovědnosti mezi takovými osobami a společností Deloitte. Jsou-li tedy poskytnuty kopie Výstupu (nebo informací z něj odvozených) jiným osobám podle výjimek uvedených výše, stane se tak výhradně na základě toho, že Deloitte nebude mít jakoukoliv povinnost či odpovědnost vůči Třetím osobám, či dalším osobám, které získají výše uvedené. </w:t>
      </w:r>
    </w:p>
    <w:p w14:paraId="72559424" w14:textId="77777777" w:rsidR="00903C7E" w:rsidRPr="00444B2E" w:rsidRDefault="00903C7E" w:rsidP="00903C7E">
      <w:pPr>
        <w:numPr>
          <w:ilvl w:val="0"/>
          <w:numId w:val="21"/>
        </w:numPr>
        <w:spacing w:after="120" w:line="120" w:lineRule="atLeast"/>
        <w:ind w:left="568" w:right="70" w:hanging="284"/>
        <w:jc w:val="both"/>
        <w:rPr>
          <w:rFonts w:ascii="Calibri" w:hAnsi="Calibri" w:cs="Calibri"/>
          <w:sz w:val="16"/>
          <w:szCs w:val="16"/>
          <w:shd w:val="clear" w:color="auto" w:fill="FFFFFF"/>
          <w:lang w:val="cs-CZ"/>
        </w:rPr>
      </w:pPr>
      <w:r w:rsidRPr="00444B2E">
        <w:rPr>
          <w:rFonts w:ascii="Calibri" w:hAnsi="Calibri" w:cs="Calibri"/>
          <w:sz w:val="16"/>
          <w:szCs w:val="16"/>
          <w:shd w:val="clear" w:color="auto" w:fill="FFFFFF"/>
          <w:lang w:val="cs-CZ"/>
        </w:rPr>
        <w:t xml:space="preserve">Klient souhlasí, že nahradí jakékoli náklady, které mohou vzniknout jakékoli Společnosti skupiny Deloitte nebo jakémukoli Subdodavateli při plnění právních, profesionálních nebo regulačních nařízení o zveřejnění informací souvisejících se Službami a stanovených v jakémkoli řízení nebo regulatorním procesu, to se netýká významných nároků nebo řízení proti Společnosti skupiny Deloitte nebo Subdodavateli, a to za předpokladu, že je Klient informován okamžitě, a je-li to rozumně nebo právně možné, ještě před zveřejněním. </w:t>
      </w:r>
    </w:p>
    <w:p w14:paraId="0C56B3CA" w14:textId="77777777" w:rsidR="009440CF" w:rsidRPr="00444B2E" w:rsidRDefault="00903C7E" w:rsidP="00903C7E">
      <w:pPr>
        <w:numPr>
          <w:ilvl w:val="0"/>
          <w:numId w:val="21"/>
        </w:numPr>
        <w:spacing w:after="120" w:line="120" w:lineRule="atLeast"/>
        <w:ind w:left="568" w:right="70" w:hanging="284"/>
        <w:jc w:val="both"/>
        <w:rPr>
          <w:rFonts w:ascii="Calibri" w:hAnsi="Calibri" w:cs="Calibri"/>
          <w:sz w:val="16"/>
          <w:szCs w:val="16"/>
          <w:shd w:val="clear" w:color="auto" w:fill="FFFFFF"/>
          <w:lang w:val="cs-CZ"/>
        </w:rPr>
      </w:pPr>
      <w:r w:rsidRPr="00444B2E">
        <w:rPr>
          <w:rFonts w:ascii="Calibri" w:hAnsi="Calibri" w:cs="Calibri"/>
          <w:sz w:val="16"/>
          <w:szCs w:val="16"/>
          <w:shd w:val="clear" w:color="auto" w:fill="FFFFFF"/>
          <w:lang w:val="cs-CZ"/>
        </w:rPr>
        <w:t>Klient je oprávněn požadovat, aby určité části Výstupu byly staženy od Příjemců Výstupu, kterým byl Výstup vydán na základě Smlouvy za podmínky, že Klient informuje takové Příjemce Výstupu o skutečnosti, že vydaný Výstup byl editován nebo je neúplný.</w:t>
      </w:r>
    </w:p>
    <w:p w14:paraId="58211127" w14:textId="22D05514" w:rsidR="00903C7E" w:rsidRPr="00444B2E" w:rsidRDefault="009440CF" w:rsidP="00903C7E">
      <w:pPr>
        <w:numPr>
          <w:ilvl w:val="0"/>
          <w:numId w:val="21"/>
        </w:numPr>
        <w:spacing w:after="120" w:line="120" w:lineRule="atLeast"/>
        <w:ind w:left="568" w:right="70" w:hanging="284"/>
        <w:jc w:val="both"/>
        <w:rPr>
          <w:rFonts w:ascii="Calibri" w:hAnsi="Calibri" w:cs="Calibri"/>
          <w:sz w:val="16"/>
          <w:szCs w:val="16"/>
          <w:shd w:val="clear" w:color="auto" w:fill="FFFFFF"/>
          <w:lang w:val="cs-CZ"/>
        </w:rPr>
      </w:pPr>
      <w:r w:rsidRPr="00444B2E">
        <w:rPr>
          <w:rFonts w:ascii="Calibri" w:hAnsi="Calibri" w:cs="Calibri"/>
          <w:sz w:val="16"/>
          <w:szCs w:val="16"/>
          <w:shd w:val="clear" w:color="auto" w:fill="FFFFFF"/>
          <w:lang w:val="cs-CZ"/>
        </w:rPr>
        <w:t xml:space="preserve">Společnost Deloitte může být povinna oznámit příslušným orgánům určité typy ujednání a návrhy na realizaci takových ujednání. Výhradně na základě svého vlastního uvážení společnost Deloitte rozhodne o uskutečnění takového oznámení, o jeho načasování a o jeho obsahu. Nicméně společnost Deloitte může informovat Klienta, pokud společnost Deloitte navrhuje učinit nebo již učinila takové oznámení, které společnost Deloitte považuje za relevantní pro Služby. Společnost Deloitte může být rovněž povinna oznámit příslušným orgánům účastníky těchto ujednání. Klient nebo jakákoli Oprávněná osoba může mít podle stejných právních předpisů rovněž povinnost oznámit </w:t>
      </w:r>
      <w:r w:rsidRPr="00444B2E">
        <w:rPr>
          <w:rFonts w:ascii="Calibri" w:hAnsi="Calibri" w:cs="Calibri"/>
          <w:sz w:val="16"/>
          <w:szCs w:val="16"/>
          <w:shd w:val="clear" w:color="auto" w:fill="FFFFFF"/>
          <w:lang w:val="cs-CZ"/>
        </w:rPr>
        <w:t xml:space="preserve">taková ujednání. Pokud existují nebo v budoucnu budou existovat jiné právní předpisy nebo nařízení v jakékoli jurisdikci požadující zpřístupnění, které je relevantní pro Služby poskytované společností Deloitte, společnost Deloitte bude rovněž plnit tyto požadavky na zpřístupnění. Pro vyloučení všech pochybností, nic v této Smlouvě neomezuje žádnou stranu této Smlouvy ve zpřístupnění jakýchkoli Výstupů (nebo jejich návrhů) příslušnému daňovému nebo jinému veřejnému orgánu za předpokladu, že tato strana Smlouvy je povinna zpřístupnit takové Výstupy (nebo jejich návrhy) na základě příslušného právního předpisu, pokynu nebo rozhodnutí příslušného daňového nebo jiného veřejného orgánu. </w:t>
      </w:r>
      <w:r w:rsidR="00903C7E" w:rsidRPr="00444B2E">
        <w:rPr>
          <w:rFonts w:ascii="Calibri" w:hAnsi="Calibri" w:cs="Calibri"/>
          <w:sz w:val="16"/>
          <w:szCs w:val="16"/>
          <w:shd w:val="clear" w:color="auto" w:fill="FFFFFF"/>
          <w:lang w:val="cs-CZ"/>
        </w:rPr>
        <w:t xml:space="preserve"> </w:t>
      </w:r>
    </w:p>
    <w:p w14:paraId="1B50BC29" w14:textId="77777777" w:rsidR="00903C7E" w:rsidRPr="00444B2E" w:rsidRDefault="00903C7E" w:rsidP="00903C7E">
      <w:pPr>
        <w:keepNext/>
        <w:numPr>
          <w:ilvl w:val="0"/>
          <w:numId w:val="12"/>
        </w:numPr>
        <w:spacing w:after="120" w:line="120" w:lineRule="atLeast"/>
        <w:ind w:left="568" w:right="68" w:hanging="284"/>
        <w:jc w:val="both"/>
        <w:outlineLvl w:val="0"/>
        <w:rPr>
          <w:rFonts w:ascii="Calibri" w:hAnsi="Calibri" w:cs="Calibri"/>
          <w:b/>
          <w:kern w:val="28"/>
          <w:sz w:val="16"/>
          <w:szCs w:val="16"/>
        </w:rPr>
      </w:pPr>
      <w:proofErr w:type="spellStart"/>
      <w:r w:rsidRPr="00444B2E">
        <w:rPr>
          <w:rFonts w:ascii="Calibri" w:hAnsi="Calibri" w:cs="Calibri"/>
          <w:b/>
          <w:kern w:val="28"/>
          <w:sz w:val="16"/>
          <w:szCs w:val="16"/>
        </w:rPr>
        <w:t>Postoupení</w:t>
      </w:r>
      <w:proofErr w:type="spellEnd"/>
      <w:r w:rsidRPr="00444B2E">
        <w:rPr>
          <w:rFonts w:ascii="Calibri" w:hAnsi="Calibri" w:cs="Calibri"/>
          <w:b/>
          <w:kern w:val="28"/>
          <w:sz w:val="16"/>
          <w:szCs w:val="16"/>
        </w:rPr>
        <w:t xml:space="preserve"> </w:t>
      </w:r>
    </w:p>
    <w:p w14:paraId="034F2174" w14:textId="77777777" w:rsidR="00903C7E" w:rsidRPr="00444B2E" w:rsidRDefault="00903C7E" w:rsidP="00903C7E">
      <w:pPr>
        <w:spacing w:after="120" w:line="120" w:lineRule="atLeast"/>
        <w:ind w:left="568" w:right="68"/>
        <w:jc w:val="both"/>
        <w:rPr>
          <w:rFonts w:ascii="Calibri" w:hAnsi="Calibri" w:cs="Calibri"/>
          <w:sz w:val="16"/>
          <w:szCs w:val="16"/>
        </w:rPr>
      </w:pPr>
      <w:r w:rsidRPr="00444B2E">
        <w:rPr>
          <w:rFonts w:ascii="Calibri" w:hAnsi="Calibri" w:cs="Calibri"/>
          <w:sz w:val="16"/>
          <w:szCs w:val="16"/>
        </w:rPr>
        <w:t xml:space="preserve">Bez </w:t>
      </w:r>
      <w:proofErr w:type="spellStart"/>
      <w:r w:rsidRPr="00444B2E">
        <w:rPr>
          <w:rFonts w:ascii="Calibri" w:hAnsi="Calibri" w:cs="Calibri"/>
          <w:sz w:val="16"/>
          <w:szCs w:val="16"/>
        </w:rPr>
        <w:t>předchozího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výslovného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písemného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souhlasu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druhé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včetně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souhlasu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prostřednictvím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emailu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nesmí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žádná</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tuto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postoupit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jinak</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převést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vyjma</w:t>
      </w:r>
      <w:proofErr w:type="spellEnd"/>
      <w:r w:rsidRPr="00444B2E">
        <w:rPr>
          <w:rFonts w:ascii="Calibri" w:hAnsi="Calibri" w:cs="Calibri"/>
          <w:sz w:val="16"/>
          <w:szCs w:val="16"/>
        </w:rPr>
        <w:t xml:space="preserve"> toho, </w:t>
      </w:r>
      <w:proofErr w:type="spellStart"/>
      <w:r w:rsidRPr="00444B2E">
        <w:rPr>
          <w:rFonts w:ascii="Calibri" w:hAnsi="Calibri" w:cs="Calibri"/>
          <w:sz w:val="16"/>
          <w:szCs w:val="16"/>
        </w:rPr>
        <w:t>že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smí</w:t>
      </w:r>
      <w:proofErr w:type="spellEnd"/>
      <w:r w:rsidRPr="00444B2E">
        <w:rPr>
          <w:rFonts w:ascii="Calibri" w:hAnsi="Calibri" w:cs="Calibri"/>
          <w:sz w:val="16"/>
          <w:szCs w:val="16"/>
        </w:rPr>
        <w:t xml:space="preserve"> po </w:t>
      </w:r>
      <w:proofErr w:type="spellStart"/>
      <w:r w:rsidRPr="00444B2E">
        <w:rPr>
          <w:rFonts w:ascii="Calibri" w:hAnsi="Calibri" w:cs="Calibri"/>
          <w:sz w:val="16"/>
          <w:szCs w:val="16"/>
        </w:rPr>
        <w:t>předchozím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řádném</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upozornění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Klienta</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postoupit</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jakákoli</w:t>
      </w:r>
      <w:proofErr w:type="spellEnd"/>
      <w:r w:rsidRPr="00444B2E">
        <w:rPr>
          <w:rFonts w:ascii="Calibri" w:hAnsi="Calibri" w:cs="Calibri"/>
          <w:sz w:val="16"/>
          <w:szCs w:val="16"/>
        </w:rPr>
        <w:t xml:space="preserve"> ze </w:t>
      </w:r>
      <w:proofErr w:type="spellStart"/>
      <w:r w:rsidRPr="00444B2E">
        <w:rPr>
          <w:rFonts w:ascii="Calibri" w:hAnsi="Calibri" w:cs="Calibri"/>
          <w:sz w:val="16"/>
          <w:szCs w:val="16"/>
        </w:rPr>
        <w:t>svých</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práv</w:t>
      </w:r>
      <w:proofErr w:type="spellEnd"/>
      <w:r w:rsidRPr="00444B2E">
        <w:rPr>
          <w:rFonts w:ascii="Calibri" w:hAnsi="Calibri" w:cs="Calibri"/>
          <w:sz w:val="16"/>
          <w:szCs w:val="16"/>
        </w:rPr>
        <w:t xml:space="preserve"> a </w:t>
      </w:r>
      <w:proofErr w:type="spellStart"/>
      <w:r w:rsidRPr="00444B2E">
        <w:rPr>
          <w:rFonts w:ascii="Calibri" w:hAnsi="Calibri" w:cs="Calibri"/>
          <w:sz w:val="16"/>
          <w:szCs w:val="16"/>
        </w:rPr>
        <w:t>závazků</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dle</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této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jakékoliv</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Společnosti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skupiny</w:t>
      </w:r>
      <w:proofErr w:type="spellEnd"/>
      <w:r w:rsidRPr="00444B2E">
        <w:rPr>
          <w:rFonts w:ascii="Calibri" w:hAnsi="Calibri" w:cs="Calibri"/>
          <w:sz w:val="16"/>
          <w:szCs w:val="16"/>
        </w:rPr>
        <w:t xml:space="preserve"> Deloitte </w:t>
      </w:r>
      <w:proofErr w:type="spellStart"/>
      <w:r w:rsidRPr="00444B2E">
        <w:rPr>
          <w:rFonts w:ascii="Calibri" w:hAnsi="Calibri" w:cs="Calibri"/>
          <w:sz w:val="16"/>
          <w:szCs w:val="16"/>
        </w:rPr>
        <w:t>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svému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právnímu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nástupci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Žádná</w:t>
      </w:r>
      <w:proofErr w:type="spellEnd"/>
      <w:r w:rsidRPr="00444B2E">
        <w:rPr>
          <w:rFonts w:ascii="Calibri" w:hAnsi="Calibri" w:cs="Calibri"/>
          <w:sz w:val="16"/>
          <w:szCs w:val="16"/>
        </w:rPr>
        <w:t xml:space="preserve"> ze </w:t>
      </w:r>
      <w:proofErr w:type="spellStart"/>
      <w:r w:rsidRPr="00444B2E">
        <w:rPr>
          <w:rFonts w:ascii="Calibri" w:hAnsi="Calibri" w:cs="Calibri"/>
          <w:sz w:val="16"/>
          <w:szCs w:val="16"/>
        </w:rPr>
        <w:t>stran</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přímo</w:t>
      </w:r>
      <w:proofErr w:type="spellEnd"/>
      <w:r w:rsidRPr="00444B2E">
        <w:rPr>
          <w:rFonts w:ascii="Calibri" w:hAnsi="Calibri" w:cs="Calibri"/>
          <w:sz w:val="16"/>
          <w:szCs w:val="16"/>
        </w:rPr>
        <w:t xml:space="preserve"> ani </w:t>
      </w:r>
      <w:proofErr w:type="spellStart"/>
      <w:r w:rsidRPr="00444B2E">
        <w:rPr>
          <w:rFonts w:ascii="Calibri" w:hAnsi="Calibri" w:cs="Calibri"/>
          <w:sz w:val="16"/>
          <w:szCs w:val="16"/>
        </w:rPr>
        <w:t>nepřímo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neschválí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postoupení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převod</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jakéhokoli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Nároku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vůči</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druhé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vyplývající</w:t>
      </w:r>
      <w:proofErr w:type="spellEnd"/>
      <w:r w:rsidRPr="00444B2E">
        <w:rPr>
          <w:rFonts w:ascii="Calibri" w:hAnsi="Calibri" w:cs="Calibri"/>
          <w:sz w:val="16"/>
          <w:szCs w:val="16"/>
        </w:rPr>
        <w:t xml:space="preserve"> z </w:t>
      </w:r>
      <w:proofErr w:type="spellStart"/>
      <w:r w:rsidRPr="00444B2E">
        <w:rPr>
          <w:rFonts w:ascii="Calibri" w:hAnsi="Calibri" w:cs="Calibri"/>
          <w:sz w:val="16"/>
          <w:szCs w:val="16"/>
        </w:rPr>
        <w:t>této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Smlouvy</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třetí</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straně</w:t>
      </w:r>
      <w:proofErr w:type="spellEnd"/>
      <w:r w:rsidRPr="00444B2E">
        <w:rPr>
          <w:rFonts w:ascii="Calibri" w:hAnsi="Calibri" w:cs="Calibri"/>
          <w:sz w:val="16"/>
          <w:szCs w:val="16"/>
        </w:rPr>
        <w:t xml:space="preserve">, to </w:t>
      </w:r>
      <w:proofErr w:type="spellStart"/>
      <w:r w:rsidRPr="00444B2E">
        <w:rPr>
          <w:rFonts w:ascii="Calibri" w:hAnsi="Calibri" w:cs="Calibri"/>
          <w:sz w:val="16"/>
          <w:szCs w:val="16"/>
        </w:rPr>
        <w:t>však</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neplatí</w:t>
      </w:r>
      <w:proofErr w:type="spellEnd"/>
      <w:r w:rsidRPr="00444B2E">
        <w:rPr>
          <w:rFonts w:ascii="Calibri" w:hAnsi="Calibri" w:cs="Calibri"/>
          <w:sz w:val="16"/>
          <w:szCs w:val="16"/>
        </w:rPr>
        <w:t xml:space="preserve"> v </w:t>
      </w:r>
      <w:proofErr w:type="spellStart"/>
      <w:r w:rsidRPr="00444B2E">
        <w:rPr>
          <w:rFonts w:ascii="Calibri" w:hAnsi="Calibri" w:cs="Calibri"/>
          <w:sz w:val="16"/>
          <w:szCs w:val="16"/>
        </w:rPr>
        <w:t>případě</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že</w:t>
      </w:r>
      <w:proofErr w:type="spellEnd"/>
      <w:r w:rsidRPr="00444B2E">
        <w:rPr>
          <w:rFonts w:ascii="Calibri" w:hAnsi="Calibri" w:cs="Calibri"/>
          <w:sz w:val="16"/>
          <w:szCs w:val="16"/>
        </w:rPr>
        <w:t xml:space="preserve"> je </w:t>
      </w:r>
      <w:proofErr w:type="spellStart"/>
      <w:r w:rsidRPr="00444B2E">
        <w:rPr>
          <w:rFonts w:ascii="Calibri" w:hAnsi="Calibri" w:cs="Calibri"/>
          <w:sz w:val="16"/>
          <w:szCs w:val="16"/>
        </w:rPr>
        <w:t>vydáno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rozhodnutí</w:t>
      </w:r>
      <w:proofErr w:type="spellEnd"/>
      <w:r w:rsidRPr="00444B2E">
        <w:rPr>
          <w:rFonts w:ascii="Calibri" w:hAnsi="Calibri" w:cs="Calibri"/>
          <w:sz w:val="16"/>
          <w:szCs w:val="16"/>
        </w:rPr>
        <w:t xml:space="preserve"> o </w:t>
      </w:r>
      <w:proofErr w:type="spellStart"/>
      <w:r w:rsidRPr="00444B2E">
        <w:rPr>
          <w:rFonts w:ascii="Calibri" w:hAnsi="Calibri" w:cs="Calibri"/>
          <w:sz w:val="16"/>
          <w:szCs w:val="16"/>
        </w:rPr>
        <w:t>úpadku</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této</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druhé</w:t>
      </w:r>
      <w:proofErr w:type="spellEnd"/>
      <w:r w:rsidRPr="00444B2E">
        <w:rPr>
          <w:rFonts w:ascii="Calibri" w:hAnsi="Calibri" w:cs="Calibri"/>
          <w:sz w:val="16"/>
          <w:szCs w:val="16"/>
        </w:rPr>
        <w:t xml:space="preserve"> </w:t>
      </w:r>
      <w:proofErr w:type="spellStart"/>
      <w:r w:rsidRPr="00444B2E">
        <w:rPr>
          <w:rFonts w:ascii="Calibri" w:hAnsi="Calibri" w:cs="Calibri"/>
          <w:sz w:val="16"/>
          <w:szCs w:val="16"/>
        </w:rPr>
        <w:t>strany</w:t>
      </w:r>
      <w:proofErr w:type="spellEnd"/>
      <w:r w:rsidRPr="00444B2E">
        <w:rPr>
          <w:rFonts w:ascii="Calibri" w:hAnsi="Calibri" w:cs="Calibri"/>
          <w:sz w:val="16"/>
          <w:szCs w:val="16"/>
        </w:rPr>
        <w:t xml:space="preserve">. </w:t>
      </w:r>
    </w:p>
    <w:p w14:paraId="0DC3073B" w14:textId="77777777" w:rsidR="00903C7E" w:rsidRPr="00444B2E" w:rsidRDefault="00903C7E" w:rsidP="00903C7E">
      <w:pPr>
        <w:numPr>
          <w:ilvl w:val="0"/>
          <w:numId w:val="12"/>
        </w:numPr>
        <w:spacing w:after="120" w:line="120" w:lineRule="atLeast"/>
        <w:ind w:left="568" w:right="70" w:hanging="284"/>
        <w:jc w:val="both"/>
        <w:rPr>
          <w:rFonts w:ascii="Calibri" w:hAnsi="Calibri" w:cs="Calibri"/>
          <w:b/>
          <w:kern w:val="28"/>
          <w:sz w:val="16"/>
          <w:szCs w:val="16"/>
        </w:rPr>
      </w:pPr>
      <w:proofErr w:type="spellStart"/>
      <w:r w:rsidRPr="00444B2E">
        <w:rPr>
          <w:rFonts w:ascii="Calibri" w:hAnsi="Calibri" w:cs="Calibri"/>
          <w:b/>
          <w:kern w:val="28"/>
          <w:sz w:val="16"/>
          <w:szCs w:val="16"/>
        </w:rPr>
        <w:t>Odškodnění</w:t>
      </w:r>
      <w:proofErr w:type="spellEnd"/>
      <w:r w:rsidRPr="00444B2E">
        <w:rPr>
          <w:rFonts w:ascii="Calibri" w:hAnsi="Calibri" w:cs="Calibri"/>
          <w:b/>
          <w:kern w:val="28"/>
          <w:sz w:val="16"/>
          <w:szCs w:val="16"/>
        </w:rPr>
        <w:t xml:space="preserve"> </w:t>
      </w:r>
    </w:p>
    <w:p w14:paraId="0DF91CBC" w14:textId="4A9AEBE7" w:rsidR="00903C7E" w:rsidRPr="00444B2E" w:rsidRDefault="00903C7E" w:rsidP="00903C7E">
      <w:pPr>
        <w:numPr>
          <w:ilvl w:val="0"/>
          <w:numId w:val="23"/>
        </w:numPr>
        <w:spacing w:after="120" w:line="120" w:lineRule="atLeast"/>
        <w:ind w:left="568" w:right="70" w:hanging="284"/>
        <w:jc w:val="both"/>
        <w:rPr>
          <w:rFonts w:ascii="Calibri" w:eastAsia="Times New Roman" w:hAnsi="Calibri" w:cs="Calibri"/>
          <w:spacing w:val="-3"/>
          <w:sz w:val="16"/>
          <w:szCs w:val="16"/>
          <w:lang w:val="cs-CZ"/>
        </w:rPr>
      </w:pPr>
      <w:r w:rsidRPr="00444B2E">
        <w:rPr>
          <w:rFonts w:ascii="Calibri" w:eastAsia="Times New Roman" w:hAnsi="Calibri" w:cs="Calibri"/>
          <w:spacing w:val="-3"/>
          <w:sz w:val="16"/>
          <w:szCs w:val="16"/>
          <w:lang w:val="cs-CZ"/>
        </w:rPr>
        <w:t xml:space="preserve">Klient odškodní Deloitte a jiné Společnosti skupiny Deloitte za veškeré Nároky třetích stran (jak jsou definovány v ustanovení </w:t>
      </w:r>
      <w:r w:rsidR="00FC0BA1" w:rsidRPr="00444B2E">
        <w:rPr>
          <w:rFonts w:ascii="Calibri" w:eastAsia="Times New Roman" w:hAnsi="Calibri" w:cs="Calibri"/>
          <w:spacing w:val="-3"/>
          <w:sz w:val="16"/>
          <w:szCs w:val="16"/>
          <w:lang w:val="cs-CZ"/>
        </w:rPr>
        <w:t>4</w:t>
      </w:r>
      <w:r w:rsidRPr="00444B2E">
        <w:rPr>
          <w:rFonts w:ascii="Calibri" w:eastAsia="Times New Roman" w:hAnsi="Calibri" w:cs="Calibri"/>
          <w:spacing w:val="-3"/>
          <w:sz w:val="16"/>
          <w:szCs w:val="16"/>
          <w:lang w:val="cs-CZ"/>
        </w:rPr>
        <w:t xml:space="preserve"> výše), s výjimkou případů, kdy je pravomocným rozhodnutím soudu stanoveno, že škoda vznikla primárně úmyslným pochybením Deloitte nebo jiné Společnosti skupiny Deloitte. </w:t>
      </w:r>
    </w:p>
    <w:p w14:paraId="28D0088D" w14:textId="77777777" w:rsidR="00903C7E" w:rsidRPr="00444B2E" w:rsidRDefault="00903C7E" w:rsidP="00903C7E">
      <w:pPr>
        <w:numPr>
          <w:ilvl w:val="0"/>
          <w:numId w:val="23"/>
        </w:numPr>
        <w:spacing w:after="120" w:line="120" w:lineRule="atLeast"/>
        <w:ind w:left="568" w:right="70" w:hanging="284"/>
        <w:jc w:val="both"/>
        <w:rPr>
          <w:rFonts w:ascii="Calibri" w:hAnsi="Calibri" w:cs="Calibri"/>
          <w:spacing w:val="-3"/>
          <w:sz w:val="16"/>
          <w:szCs w:val="16"/>
          <w:lang w:val="cs-CZ"/>
        </w:rPr>
      </w:pPr>
      <w:r w:rsidRPr="00444B2E">
        <w:rPr>
          <w:rFonts w:ascii="Calibri" w:hAnsi="Calibri" w:cs="Calibri"/>
          <w:spacing w:val="-3"/>
          <w:sz w:val="16"/>
          <w:szCs w:val="16"/>
          <w:lang w:val="cs-CZ"/>
        </w:rPr>
        <w:t xml:space="preserve">Za okolností, kdy jsou všechna nebo část ustanovení tohoto článku podle pravomocného rozhodnutí soudu považována za neplatná, celková odpovědnost Deloitte a všech dalších Společností skupiny Deloitte (včetně příslušného personálu) za veškeré Nároky nepřekročí částku, která odpovídá míře jejich zavinění v poměru k veškerým dalším příčinám vzniku takového Nároku. </w:t>
      </w:r>
    </w:p>
    <w:p w14:paraId="6773B414" w14:textId="77777777" w:rsidR="00903C7E" w:rsidRPr="00444B2E" w:rsidRDefault="00903C7E" w:rsidP="00903C7E">
      <w:pPr>
        <w:keepNext/>
        <w:numPr>
          <w:ilvl w:val="0"/>
          <w:numId w:val="12"/>
        </w:numPr>
        <w:spacing w:after="120" w:line="120" w:lineRule="atLeast"/>
        <w:ind w:left="568" w:hanging="284"/>
        <w:jc w:val="both"/>
        <w:outlineLvl w:val="0"/>
        <w:rPr>
          <w:rFonts w:ascii="Calibri" w:hAnsi="Calibri" w:cs="Calibri"/>
          <w:b/>
          <w:kern w:val="28"/>
          <w:sz w:val="16"/>
          <w:szCs w:val="16"/>
        </w:rPr>
      </w:pPr>
      <w:proofErr w:type="spellStart"/>
      <w:r w:rsidRPr="00444B2E">
        <w:rPr>
          <w:rFonts w:ascii="Calibri" w:hAnsi="Calibri" w:cs="Calibri"/>
          <w:b/>
          <w:kern w:val="28"/>
          <w:sz w:val="16"/>
          <w:szCs w:val="16"/>
        </w:rPr>
        <w:t>Ochrana</w:t>
      </w:r>
      <w:proofErr w:type="spellEnd"/>
      <w:r w:rsidRPr="00444B2E">
        <w:rPr>
          <w:rFonts w:ascii="Calibri" w:hAnsi="Calibri" w:cs="Calibri"/>
          <w:b/>
          <w:kern w:val="28"/>
          <w:sz w:val="16"/>
          <w:szCs w:val="16"/>
        </w:rPr>
        <w:t xml:space="preserve"> </w:t>
      </w:r>
      <w:proofErr w:type="spellStart"/>
      <w:r w:rsidRPr="00444B2E">
        <w:rPr>
          <w:rFonts w:ascii="Calibri" w:hAnsi="Calibri" w:cs="Calibri"/>
          <w:b/>
          <w:kern w:val="28"/>
          <w:sz w:val="16"/>
          <w:szCs w:val="16"/>
        </w:rPr>
        <w:t>osobních</w:t>
      </w:r>
      <w:proofErr w:type="spellEnd"/>
      <w:r w:rsidRPr="00444B2E">
        <w:rPr>
          <w:rFonts w:ascii="Calibri" w:hAnsi="Calibri" w:cs="Calibri"/>
          <w:b/>
          <w:kern w:val="28"/>
          <w:sz w:val="16"/>
          <w:szCs w:val="16"/>
        </w:rPr>
        <w:t xml:space="preserve"> </w:t>
      </w:r>
      <w:proofErr w:type="spellStart"/>
      <w:r w:rsidRPr="00444B2E">
        <w:rPr>
          <w:rFonts w:ascii="Calibri" w:hAnsi="Calibri" w:cs="Calibri"/>
          <w:b/>
          <w:kern w:val="28"/>
          <w:sz w:val="16"/>
          <w:szCs w:val="16"/>
        </w:rPr>
        <w:t>údajů</w:t>
      </w:r>
      <w:proofErr w:type="spellEnd"/>
    </w:p>
    <w:p w14:paraId="5CD05DC6" w14:textId="77777777" w:rsidR="00903C7E" w:rsidRPr="00444B2E" w:rsidRDefault="00903C7E" w:rsidP="00903C7E">
      <w:pPr>
        <w:keepNext/>
        <w:numPr>
          <w:ilvl w:val="0"/>
          <w:numId w:val="25"/>
        </w:numPr>
        <w:spacing w:after="120" w:line="120" w:lineRule="atLeast"/>
        <w:ind w:left="568" w:hanging="284"/>
        <w:jc w:val="both"/>
        <w:outlineLvl w:val="0"/>
        <w:rPr>
          <w:rFonts w:ascii="Calibri" w:eastAsia="Times New Roman" w:hAnsi="Calibri" w:cs="Calibri"/>
          <w:b/>
          <w:sz w:val="16"/>
          <w:szCs w:val="16"/>
          <w:lang w:val="cs-CZ"/>
        </w:rPr>
      </w:pPr>
      <w:r w:rsidRPr="00444B2E">
        <w:rPr>
          <w:rFonts w:ascii="Calibri" w:eastAsia="Times New Roman" w:hAnsi="Calibri" w:cs="Calibri"/>
          <w:b/>
          <w:sz w:val="16"/>
          <w:szCs w:val="16"/>
          <w:lang w:val="cs-CZ"/>
        </w:rPr>
        <w:t>Definice</w:t>
      </w:r>
    </w:p>
    <w:p w14:paraId="40AA4E18" w14:textId="77777777" w:rsidR="00903C7E" w:rsidRPr="00444B2E" w:rsidRDefault="00903C7E" w:rsidP="00903C7E">
      <w:pPr>
        <w:keepNext/>
        <w:spacing w:after="120" w:line="120" w:lineRule="atLeast"/>
        <w:ind w:left="568" w:right="70" w:hanging="284"/>
        <w:jc w:val="both"/>
        <w:outlineLvl w:val="0"/>
        <w:rPr>
          <w:rFonts w:ascii="Calibri" w:hAnsi="Calibri" w:cs="Calibri"/>
          <w:sz w:val="16"/>
          <w:szCs w:val="16"/>
          <w:lang w:val="cs-CZ"/>
        </w:rPr>
      </w:pPr>
      <w:r w:rsidRPr="00444B2E">
        <w:rPr>
          <w:rFonts w:ascii="Calibri" w:hAnsi="Calibri" w:cs="Calibri"/>
          <w:sz w:val="16"/>
          <w:szCs w:val="16"/>
          <w:lang w:val="cs-CZ"/>
        </w:rPr>
        <w:tab/>
        <w:t xml:space="preserve">„Osobní údaje“ označují jakékoliv osobní údaje, jak jsou definovány Právními předpisy v oblasti ochrany osobních údajů, které jsou zpracovávány v rámci poskytování Služeb nebo v souvislosti s poskytováním Služeb. </w:t>
      </w:r>
    </w:p>
    <w:p w14:paraId="6082CE67" w14:textId="77777777" w:rsidR="00903C7E" w:rsidRPr="00444B2E" w:rsidRDefault="00903C7E" w:rsidP="00903C7E">
      <w:pPr>
        <w:spacing w:after="120" w:line="120" w:lineRule="atLeast"/>
        <w:ind w:left="568" w:right="70" w:hanging="284"/>
        <w:jc w:val="both"/>
        <w:outlineLvl w:val="0"/>
        <w:rPr>
          <w:rFonts w:ascii="Calibri" w:hAnsi="Calibri" w:cs="Calibri"/>
          <w:sz w:val="16"/>
          <w:szCs w:val="16"/>
          <w:lang w:val="cs-CZ"/>
        </w:rPr>
      </w:pPr>
      <w:r w:rsidRPr="00444B2E">
        <w:rPr>
          <w:rFonts w:ascii="Calibri" w:hAnsi="Calibri" w:cs="Calibri"/>
          <w:sz w:val="16"/>
          <w:szCs w:val="16"/>
          <w:lang w:val="cs-CZ"/>
        </w:rPr>
        <w:tab/>
        <w:t xml:space="preserve">„Právní předpisy v oblasti ochrany osobních údajů“ označují následující právní předpisy v rozsahu, v jakém se v příslušném okamžiku aplikují: (a) vnitrostátní právní předpisy implementující Směrnici 2002/58/ES o soukromí a elektronických komunikacích; (b) Obecné nařízení o ochraně osobních údajů ((EU) 2016/679) a (c) jakékoliv další vnitrostátní právní předpisy týkající se ochrany Osobních údajů. </w:t>
      </w:r>
    </w:p>
    <w:p w14:paraId="15351D89" w14:textId="77777777" w:rsidR="00903C7E" w:rsidRPr="00444B2E" w:rsidRDefault="00903C7E" w:rsidP="00903C7E">
      <w:pPr>
        <w:keepLines/>
        <w:tabs>
          <w:tab w:val="left" w:pos="851"/>
        </w:tabs>
        <w:spacing w:after="120" w:line="120" w:lineRule="atLeast"/>
        <w:ind w:left="568" w:right="70" w:hanging="284"/>
        <w:jc w:val="both"/>
        <w:outlineLvl w:val="0"/>
        <w:rPr>
          <w:rFonts w:ascii="Calibri" w:eastAsia="Times New Roman" w:hAnsi="Calibri" w:cs="Calibri"/>
          <w:sz w:val="16"/>
          <w:szCs w:val="16"/>
          <w:lang w:val="cs-CZ"/>
        </w:rPr>
      </w:pPr>
      <w:r w:rsidRPr="00444B2E">
        <w:rPr>
          <w:rFonts w:ascii="Calibri" w:eastAsia="Times New Roman" w:hAnsi="Calibri" w:cs="Calibri"/>
          <w:sz w:val="16"/>
          <w:szCs w:val="16"/>
          <w:lang w:val="cs-CZ"/>
        </w:rPr>
        <w:tab/>
        <w:t xml:space="preserve"> „Příjemce Osobních údajů“ označuje fyzickou nebo právnickou osobu, orgán veřejné moci, agenturu nebo jiný subjekt, jemuž jsou osobní údaje poskytnuty, jak je dále </w:t>
      </w:r>
      <w:r w:rsidRPr="00444B2E">
        <w:rPr>
          <w:rFonts w:ascii="Calibri" w:eastAsia="Times New Roman" w:hAnsi="Calibri" w:cs="Calibri"/>
          <w:bCs/>
          <w:sz w:val="16"/>
          <w:szCs w:val="16"/>
          <w:lang w:val="cs-CZ"/>
        </w:rPr>
        <w:t xml:space="preserve">definován </w:t>
      </w:r>
      <w:r w:rsidRPr="00444B2E">
        <w:rPr>
          <w:rFonts w:ascii="Calibri" w:eastAsia="Times New Roman" w:hAnsi="Calibri" w:cs="Calibri"/>
          <w:sz w:val="16"/>
          <w:szCs w:val="16"/>
          <w:lang w:val="cs-CZ"/>
        </w:rPr>
        <w:t>Právními předpisy v oblasti ochrany osobních údajů.</w:t>
      </w:r>
    </w:p>
    <w:p w14:paraId="31BADBA0" w14:textId="77777777" w:rsidR="00903C7E" w:rsidRPr="00444B2E" w:rsidRDefault="00903C7E" w:rsidP="00903C7E">
      <w:pPr>
        <w:keepLines/>
        <w:tabs>
          <w:tab w:val="left" w:pos="851"/>
        </w:tabs>
        <w:spacing w:after="120" w:line="120" w:lineRule="atLeast"/>
        <w:ind w:left="568" w:right="70" w:hanging="1"/>
        <w:jc w:val="both"/>
        <w:outlineLvl w:val="0"/>
        <w:rPr>
          <w:rFonts w:ascii="Calibri" w:eastAsia="Times New Roman" w:hAnsi="Calibri" w:cs="Calibri"/>
          <w:sz w:val="16"/>
          <w:szCs w:val="16"/>
          <w:lang w:val="cs-CZ"/>
        </w:rPr>
      </w:pPr>
      <w:r w:rsidRPr="00444B2E">
        <w:rPr>
          <w:rFonts w:ascii="Calibri" w:eastAsia="Times New Roman" w:hAnsi="Calibri" w:cs="Calibri"/>
          <w:sz w:val="16"/>
          <w:szCs w:val="16"/>
          <w:lang w:val="cs-CZ"/>
        </w:rPr>
        <w:t>„Správce Osobních údajů“ označuje správce nebo správce údajů, jak je definován Právními předpisy v oblasti ochrany osobních údajů.</w:t>
      </w:r>
    </w:p>
    <w:p w14:paraId="68884E35" w14:textId="77777777" w:rsidR="00903C7E" w:rsidRPr="00444B2E" w:rsidRDefault="00903C7E" w:rsidP="00903C7E">
      <w:pPr>
        <w:tabs>
          <w:tab w:val="left" w:pos="709"/>
        </w:tabs>
        <w:spacing w:after="120" w:line="120" w:lineRule="atLeast"/>
        <w:ind w:left="567" w:right="70" w:hanging="283"/>
        <w:jc w:val="both"/>
        <w:outlineLvl w:val="0"/>
        <w:rPr>
          <w:rFonts w:ascii="Calibri" w:eastAsia="Times New Roman" w:hAnsi="Calibri" w:cs="Calibri"/>
          <w:sz w:val="16"/>
          <w:szCs w:val="16"/>
          <w:lang w:val="cs-CZ"/>
        </w:rPr>
      </w:pPr>
      <w:r w:rsidRPr="00444B2E">
        <w:rPr>
          <w:rFonts w:ascii="Calibri" w:eastAsia="Times New Roman" w:hAnsi="Calibri" w:cs="Calibri"/>
          <w:sz w:val="16"/>
          <w:szCs w:val="16"/>
          <w:lang w:val="cs-CZ"/>
        </w:rPr>
        <w:lastRenderedPageBreak/>
        <w:tab/>
        <w:t>„Zpracovatel Osobních údajů“ označuje zpracovatele nebo zpracovatele údajů, jak je definován Právními předpisy v oblasti ochrany osobních údajů.</w:t>
      </w:r>
    </w:p>
    <w:p w14:paraId="502D333A" w14:textId="77777777" w:rsidR="00903C7E" w:rsidRPr="00444B2E" w:rsidRDefault="00903C7E" w:rsidP="00903C7E">
      <w:pPr>
        <w:keepLines/>
        <w:numPr>
          <w:ilvl w:val="0"/>
          <w:numId w:val="25"/>
        </w:numPr>
        <w:tabs>
          <w:tab w:val="left" w:pos="851"/>
        </w:tabs>
        <w:spacing w:before="120" w:after="120" w:line="120" w:lineRule="atLeast"/>
        <w:ind w:left="567" w:hanging="283"/>
        <w:jc w:val="both"/>
        <w:rPr>
          <w:rFonts w:ascii="Calibri" w:eastAsia="Times New Roman" w:hAnsi="Calibri" w:cs="Calibri"/>
          <w:b/>
          <w:sz w:val="16"/>
          <w:szCs w:val="16"/>
          <w:lang w:val="cs-CZ"/>
        </w:rPr>
      </w:pPr>
      <w:r w:rsidRPr="00444B2E">
        <w:rPr>
          <w:rFonts w:ascii="Calibri" w:eastAsia="Times New Roman" w:hAnsi="Calibri" w:cs="Calibri"/>
          <w:b/>
          <w:sz w:val="16"/>
          <w:szCs w:val="16"/>
          <w:lang w:val="cs-CZ"/>
        </w:rPr>
        <w:t>Informace o zpracování Osobních údajů</w:t>
      </w:r>
    </w:p>
    <w:p w14:paraId="71130817" w14:textId="77777777" w:rsidR="00903C7E" w:rsidRPr="00444B2E" w:rsidRDefault="00903C7E" w:rsidP="00903C7E">
      <w:pPr>
        <w:keepLines/>
        <w:tabs>
          <w:tab w:val="left" w:pos="567"/>
        </w:tabs>
        <w:spacing w:before="120" w:after="120" w:line="120" w:lineRule="atLeast"/>
        <w:ind w:left="567" w:right="70"/>
        <w:jc w:val="both"/>
        <w:rPr>
          <w:rFonts w:ascii="Calibri" w:eastAsia="Times New Roman" w:hAnsi="Calibri" w:cs="Calibri"/>
          <w:sz w:val="16"/>
          <w:szCs w:val="16"/>
          <w:lang w:val="cs-CZ"/>
        </w:rPr>
      </w:pPr>
      <w:r w:rsidRPr="00444B2E">
        <w:rPr>
          <w:rFonts w:ascii="Calibri" w:eastAsia="Times New Roman" w:hAnsi="Calibri" w:cs="Calibri"/>
          <w:sz w:val="16"/>
          <w:szCs w:val="16"/>
          <w:lang w:val="cs-CZ"/>
        </w:rPr>
        <w:t>Smluvní strany berou na vědomí, že Osobní údaje poskytnuté Klientem, jeho personálem či zástupci budou zpracovány společností Deloitte jakožto Správcem Osobních údajů pro následující účely, resp. v souvislosti s následujícím: (i) poskytnutí Služeb; (</w:t>
      </w:r>
      <w:proofErr w:type="spellStart"/>
      <w:r w:rsidRPr="00444B2E">
        <w:rPr>
          <w:rFonts w:ascii="Calibri" w:eastAsia="Times New Roman" w:hAnsi="Calibri" w:cs="Calibri"/>
          <w:sz w:val="16"/>
          <w:szCs w:val="16"/>
          <w:lang w:val="cs-CZ"/>
        </w:rPr>
        <w:t>ii</w:t>
      </w:r>
      <w:proofErr w:type="spellEnd"/>
      <w:r w:rsidRPr="00444B2E">
        <w:rPr>
          <w:rFonts w:ascii="Calibri" w:eastAsia="Times New Roman" w:hAnsi="Calibri" w:cs="Calibri"/>
          <w:sz w:val="16"/>
          <w:szCs w:val="16"/>
          <w:lang w:val="cs-CZ"/>
        </w:rPr>
        <w:t>) zajištění souladu s příslušnými právními, regulatorními nebo profesními požadavky; (</w:t>
      </w:r>
      <w:proofErr w:type="spellStart"/>
      <w:r w:rsidRPr="00444B2E">
        <w:rPr>
          <w:rFonts w:ascii="Calibri" w:eastAsia="Times New Roman" w:hAnsi="Calibri" w:cs="Calibri"/>
          <w:sz w:val="16"/>
          <w:szCs w:val="16"/>
          <w:lang w:val="cs-CZ"/>
        </w:rPr>
        <w:t>iii</w:t>
      </w:r>
      <w:proofErr w:type="spellEnd"/>
      <w:r w:rsidRPr="00444B2E">
        <w:rPr>
          <w:rFonts w:ascii="Calibri" w:eastAsia="Times New Roman" w:hAnsi="Calibri" w:cs="Calibri"/>
          <w:sz w:val="16"/>
          <w:szCs w:val="16"/>
          <w:lang w:val="cs-CZ"/>
        </w:rPr>
        <w:t>) řešení požadavků nebo komunikací od příslušných orgánů; (</w:t>
      </w:r>
      <w:proofErr w:type="spellStart"/>
      <w:r w:rsidRPr="00444B2E">
        <w:rPr>
          <w:rFonts w:ascii="Calibri" w:eastAsia="Times New Roman" w:hAnsi="Calibri" w:cs="Calibri"/>
          <w:sz w:val="16"/>
          <w:szCs w:val="16"/>
          <w:lang w:val="cs-CZ"/>
        </w:rPr>
        <w:t>iv</w:t>
      </w:r>
      <w:proofErr w:type="spellEnd"/>
      <w:r w:rsidRPr="00444B2E">
        <w:rPr>
          <w:rFonts w:ascii="Calibri" w:eastAsia="Times New Roman" w:hAnsi="Calibri" w:cs="Calibri"/>
          <w:sz w:val="16"/>
          <w:szCs w:val="16"/>
          <w:lang w:val="cs-CZ"/>
        </w:rPr>
        <w:t>) administrace smluv, finanční účetnictví, soulad s interními předpisy, analýza rizik, a vztahy s klienty; (v) využití systémů a aplikací (hostovaných nebo interních) pro služby informačních technologií a informačních systémů (dále jen „Účely“).</w:t>
      </w:r>
    </w:p>
    <w:p w14:paraId="022A5A43" w14:textId="77777777" w:rsidR="00903C7E" w:rsidRPr="00444B2E" w:rsidRDefault="00903C7E" w:rsidP="00903C7E">
      <w:pPr>
        <w:keepLines/>
        <w:tabs>
          <w:tab w:val="left" w:pos="851"/>
        </w:tabs>
        <w:spacing w:after="120" w:line="120" w:lineRule="atLeast"/>
        <w:ind w:left="567" w:right="70"/>
        <w:jc w:val="both"/>
        <w:rPr>
          <w:rFonts w:ascii="Calibri" w:eastAsia="Times New Roman" w:hAnsi="Calibri" w:cs="Calibri"/>
          <w:sz w:val="16"/>
          <w:szCs w:val="16"/>
          <w:lang w:val="cs-CZ"/>
        </w:rPr>
      </w:pPr>
      <w:r w:rsidRPr="00444B2E">
        <w:rPr>
          <w:rFonts w:ascii="Calibri" w:eastAsia="Times New Roman" w:hAnsi="Calibri" w:cs="Calibri"/>
          <w:sz w:val="16"/>
          <w:szCs w:val="16"/>
          <w:lang w:val="cs-CZ"/>
        </w:rPr>
        <w:t>Pro výše uvedené Účely mohou být Osobní údaje zpřístupněny/předány Příjemcům Osobních údajů (včetně Správců Osobních údajů a Zpracovatelů Osobních údajů), a mohou být těmito Příjemci Osobních údajů zpracovány, jak je uvedeno v Prohlášení Deloitte o ochraně osobních údajů.</w:t>
      </w:r>
    </w:p>
    <w:p w14:paraId="2DD57237" w14:textId="432C7F2E" w:rsidR="00903C7E" w:rsidRPr="00444B2E" w:rsidRDefault="00903C7E" w:rsidP="00903C7E">
      <w:pPr>
        <w:keepLines/>
        <w:numPr>
          <w:ilvl w:val="0"/>
          <w:numId w:val="25"/>
        </w:numPr>
        <w:tabs>
          <w:tab w:val="left" w:pos="851"/>
        </w:tabs>
        <w:spacing w:after="120" w:line="120" w:lineRule="atLeast"/>
        <w:ind w:left="567" w:right="70" w:hanging="283"/>
        <w:jc w:val="both"/>
        <w:rPr>
          <w:rFonts w:ascii="Calibri" w:eastAsia="Times New Roman" w:hAnsi="Calibri" w:cs="Calibri"/>
          <w:sz w:val="16"/>
          <w:szCs w:val="16"/>
          <w:lang w:val="cs-CZ"/>
        </w:rPr>
      </w:pPr>
      <w:r w:rsidRPr="00444B2E">
        <w:rPr>
          <w:rFonts w:ascii="Calibri" w:eastAsia="Times New Roman" w:hAnsi="Calibri" w:cs="Calibri"/>
          <w:sz w:val="16"/>
          <w:szCs w:val="16"/>
          <w:lang w:val="cs-CZ"/>
        </w:rPr>
        <w:t xml:space="preserve">Článek </w:t>
      </w:r>
      <w:r w:rsidR="00BC67A6" w:rsidRPr="00444B2E">
        <w:rPr>
          <w:rFonts w:ascii="Calibri" w:eastAsia="Times New Roman" w:hAnsi="Calibri" w:cs="Calibri"/>
          <w:sz w:val="16"/>
          <w:szCs w:val="16"/>
          <w:lang w:val="cs-CZ"/>
        </w:rPr>
        <w:t>9</w:t>
      </w:r>
      <w:r w:rsidRPr="00444B2E">
        <w:rPr>
          <w:rFonts w:ascii="Calibri" w:eastAsia="Times New Roman" w:hAnsi="Calibri" w:cs="Calibri"/>
          <w:sz w:val="16"/>
          <w:szCs w:val="16"/>
          <w:lang w:val="cs-CZ"/>
        </w:rPr>
        <w:t xml:space="preserve"> b) je jen shrnutím Prohlášení Deloitte o ochraně osobních údajů, jehož celé znění je k dispozici zde: https://www2.deloitte.com/ce/en/pages/about-deloitte/articles/deloitte-ce-privacy-statement-for-clients.html (dále jen „Prohlášení Deloitte o ochraně osobních údajů“). Jestliže to nevyžaduje nepřiměřené úsilí, Klient zajistí, aby byly subjekty údajů (jeho příslušní zaměstnanci, zástupci, dodavatelé a klienti) informovány o Prohlášení Deloitte o ochraně osobních údajů.</w:t>
      </w:r>
    </w:p>
    <w:p w14:paraId="708B7275" w14:textId="77777777" w:rsidR="00903C7E" w:rsidRPr="00444B2E" w:rsidRDefault="00903C7E" w:rsidP="00BC67A6">
      <w:pPr>
        <w:keepLines/>
        <w:numPr>
          <w:ilvl w:val="0"/>
          <w:numId w:val="25"/>
        </w:numPr>
        <w:tabs>
          <w:tab w:val="left" w:pos="851"/>
        </w:tabs>
        <w:spacing w:after="120" w:line="120" w:lineRule="atLeast"/>
        <w:ind w:left="568" w:right="68" w:hanging="284"/>
        <w:jc w:val="both"/>
        <w:rPr>
          <w:rFonts w:ascii="Calibri" w:eastAsia="Times New Roman" w:hAnsi="Calibri" w:cs="Calibri"/>
          <w:sz w:val="16"/>
          <w:szCs w:val="16"/>
          <w:lang w:val="cs-CZ"/>
        </w:rPr>
      </w:pPr>
      <w:r w:rsidRPr="00444B2E">
        <w:rPr>
          <w:rFonts w:ascii="Calibri" w:eastAsia="Times New Roman" w:hAnsi="Calibri" w:cs="Calibri"/>
          <w:sz w:val="16"/>
          <w:szCs w:val="16"/>
          <w:lang w:val="cs-CZ"/>
        </w:rPr>
        <w:t>Každá smluvní strana musí při zpracování Osobních údajů dodržovat Právní předpisy v oblasti ochrany osobních údajů.</w:t>
      </w:r>
    </w:p>
    <w:p w14:paraId="7810137B" w14:textId="78E3D9C6" w:rsidR="00903C7E" w:rsidRPr="002D1F5B" w:rsidRDefault="00903C7E" w:rsidP="00903C7E">
      <w:pPr>
        <w:keepNext/>
        <w:spacing w:after="120" w:line="120" w:lineRule="atLeast"/>
        <w:ind w:left="568" w:right="68"/>
        <w:jc w:val="both"/>
        <w:outlineLvl w:val="0"/>
        <w:rPr>
          <w:rFonts w:ascii="Calibri" w:hAnsi="Calibri" w:cs="Calibri"/>
          <w:sz w:val="16"/>
          <w:szCs w:val="16"/>
        </w:rPr>
      </w:pPr>
    </w:p>
    <w:p w14:paraId="556C3540" w14:textId="63924F1E" w:rsidR="00B6301A" w:rsidRPr="002D1F5B" w:rsidRDefault="00B6301A" w:rsidP="0000041A">
      <w:pPr>
        <w:pStyle w:val="Zkladntext"/>
        <w:jc w:val="center"/>
        <w:rPr>
          <w:rFonts w:ascii="Calibri" w:hAnsi="Calibri" w:cs="Calibri"/>
          <w:sz w:val="16"/>
          <w:szCs w:val="16"/>
        </w:rPr>
        <w:sectPr w:rsidR="00B6301A" w:rsidRPr="002D1F5B" w:rsidSect="00C52A25">
          <w:headerReference w:type="default" r:id="rId12"/>
          <w:footerReference w:type="default" r:id="rId13"/>
          <w:type w:val="continuous"/>
          <w:pgSz w:w="11906" w:h="16838" w:code="9"/>
          <w:pgMar w:top="1418" w:right="1418" w:bottom="1418" w:left="1418" w:header="709" w:footer="709" w:gutter="0"/>
          <w:paperSrc w:first="15" w:other="15"/>
          <w:pgNumType w:start="1"/>
          <w:cols w:num="2" w:space="708"/>
          <w:docGrid w:linePitch="360"/>
        </w:sectPr>
      </w:pPr>
    </w:p>
    <w:p w14:paraId="3343B649" w14:textId="77777777" w:rsidR="00B6301A" w:rsidRPr="002D1F5B" w:rsidRDefault="00B6301A" w:rsidP="00B6301A">
      <w:pPr>
        <w:rPr>
          <w:rFonts w:ascii="Calibri" w:hAnsi="Calibri" w:cs="Calibri"/>
          <w:color w:val="000000"/>
          <w:sz w:val="19"/>
          <w:szCs w:val="48"/>
        </w:rPr>
      </w:pPr>
    </w:p>
    <w:p w14:paraId="47B4E6C9" w14:textId="77777777" w:rsidR="00B6301A" w:rsidRPr="002D1F5B" w:rsidRDefault="00B6301A" w:rsidP="00B6301A">
      <w:pPr>
        <w:rPr>
          <w:rFonts w:ascii="Calibri" w:hAnsi="Calibri" w:cs="Calibri"/>
          <w:color w:val="000000"/>
          <w:sz w:val="19"/>
          <w:szCs w:val="48"/>
        </w:rPr>
      </w:pPr>
    </w:p>
    <w:p w14:paraId="020685D0" w14:textId="77777777" w:rsidR="00B6301A" w:rsidRPr="002D1F5B" w:rsidRDefault="00B6301A" w:rsidP="00B6301A">
      <w:pPr>
        <w:pStyle w:val="Odstavecseseznamem"/>
        <w:spacing w:before="60" w:after="60"/>
        <w:ind w:left="357"/>
        <w:rPr>
          <w:rFonts w:ascii="Calibri" w:hAnsi="Calibri" w:cs="Calibri"/>
          <w:sz w:val="16"/>
          <w:szCs w:val="16"/>
        </w:rPr>
        <w:sectPr w:rsidR="00B6301A" w:rsidRPr="002D1F5B" w:rsidSect="00B6301A">
          <w:type w:val="continuous"/>
          <w:pgSz w:w="11906" w:h="16838" w:code="9"/>
          <w:pgMar w:top="1418" w:right="1418" w:bottom="1418" w:left="1418" w:header="709" w:footer="709" w:gutter="0"/>
          <w:paperSrc w:first="15" w:other="15"/>
          <w:cols w:num="2" w:space="708"/>
          <w:docGrid w:linePitch="360"/>
        </w:sectPr>
      </w:pPr>
    </w:p>
    <w:p w14:paraId="25EC6A25" w14:textId="018C65BD" w:rsidR="00B7025F" w:rsidRPr="00167797" w:rsidRDefault="00B7025F" w:rsidP="00167797">
      <w:pPr>
        <w:rPr>
          <w:rFonts w:ascii="Calibri" w:hAnsi="Calibri" w:cs="Calibri"/>
          <w:color w:val="000000"/>
          <w:sz w:val="19"/>
          <w:szCs w:val="48"/>
        </w:rPr>
      </w:pPr>
    </w:p>
    <w:sectPr w:rsidR="00B7025F" w:rsidRPr="00167797" w:rsidSect="00B63635">
      <w:headerReference w:type="default" r:id="rId14"/>
      <w:type w:val="continuous"/>
      <w:pgSz w:w="11906" w:h="16838" w:code="9"/>
      <w:pgMar w:top="1417" w:right="1417" w:bottom="1417" w:left="1417" w:header="680"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E7B0" w14:textId="77777777" w:rsidR="00D426B8" w:rsidRDefault="00D426B8" w:rsidP="00C702C7">
      <w:pPr>
        <w:spacing w:after="0" w:line="240" w:lineRule="auto"/>
      </w:pPr>
      <w:r>
        <w:separator/>
      </w:r>
    </w:p>
  </w:endnote>
  <w:endnote w:type="continuationSeparator" w:id="0">
    <w:p w14:paraId="6A40C02F" w14:textId="77777777" w:rsidR="00D426B8" w:rsidRDefault="00D426B8"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982813"/>
      <w:docPartObj>
        <w:docPartGallery w:val="Page Numbers (Bottom of Page)"/>
        <w:docPartUnique/>
      </w:docPartObj>
    </w:sdtPr>
    <w:sdtEndPr>
      <w:rPr>
        <w:rFonts w:ascii="Calibri" w:hAnsi="Calibri" w:cs="Calibri"/>
        <w:noProof/>
      </w:rPr>
    </w:sdtEndPr>
    <w:sdtContent>
      <w:p w14:paraId="65DDE1AC" w14:textId="51669032" w:rsidR="00AD7ECD" w:rsidRPr="00AD7ECD" w:rsidRDefault="00AD7ECD">
        <w:pPr>
          <w:pStyle w:val="Zpat"/>
          <w:jc w:val="right"/>
          <w:rPr>
            <w:rFonts w:ascii="Calibri" w:hAnsi="Calibri" w:cs="Calibri"/>
          </w:rPr>
        </w:pPr>
        <w:r w:rsidRPr="00AD7ECD">
          <w:rPr>
            <w:rFonts w:ascii="Calibri" w:hAnsi="Calibri" w:cs="Calibri"/>
          </w:rPr>
          <w:fldChar w:fldCharType="begin"/>
        </w:r>
        <w:r w:rsidRPr="00AD7ECD">
          <w:rPr>
            <w:rFonts w:ascii="Calibri" w:hAnsi="Calibri" w:cs="Calibri"/>
          </w:rPr>
          <w:instrText xml:space="preserve"> PAGE   \* MERGEFORMAT </w:instrText>
        </w:r>
        <w:r w:rsidRPr="00AD7ECD">
          <w:rPr>
            <w:rFonts w:ascii="Calibri" w:hAnsi="Calibri" w:cs="Calibri"/>
          </w:rPr>
          <w:fldChar w:fldCharType="separate"/>
        </w:r>
        <w:r w:rsidR="00E40C90">
          <w:rPr>
            <w:rFonts w:ascii="Calibri" w:hAnsi="Calibri" w:cs="Calibri"/>
            <w:noProof/>
          </w:rPr>
          <w:t>21</w:t>
        </w:r>
        <w:r w:rsidRPr="00AD7ECD">
          <w:rPr>
            <w:rFonts w:ascii="Calibri" w:hAnsi="Calibri" w:cs="Calibri"/>
            <w:noProof/>
          </w:rPr>
          <w:fldChar w:fldCharType="end"/>
        </w:r>
      </w:p>
    </w:sdtContent>
  </w:sdt>
  <w:p w14:paraId="523A4F99" w14:textId="77777777" w:rsidR="00AD7ECD" w:rsidRPr="00AD7ECD" w:rsidRDefault="00AD7ECD" w:rsidP="00AD7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8472" w14:textId="77777777" w:rsidR="00D426B8" w:rsidRDefault="00D426B8" w:rsidP="00C702C7">
      <w:pPr>
        <w:spacing w:after="0" w:line="240" w:lineRule="auto"/>
      </w:pPr>
      <w:r>
        <w:separator/>
      </w:r>
    </w:p>
  </w:footnote>
  <w:footnote w:type="continuationSeparator" w:id="0">
    <w:p w14:paraId="39627843" w14:textId="77777777" w:rsidR="00D426B8" w:rsidRDefault="00D426B8"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2257" w14:textId="074C3107" w:rsidR="007B23BA" w:rsidRPr="004A1501" w:rsidRDefault="007B23BA" w:rsidP="00C52A25">
    <w:pPr>
      <w:pStyle w:val="Zhlav"/>
      <w:rPr>
        <w:rFonts w:ascii="Calibri" w:hAnsi="Calibri" w:cs="Calibri"/>
        <w:bCs/>
        <w:sz w:val="16"/>
        <w:szCs w:val="28"/>
      </w:rPr>
    </w:pPr>
    <w:proofErr w:type="spellStart"/>
    <w:r w:rsidRPr="004A1501">
      <w:rPr>
        <w:rFonts w:ascii="Calibri" w:hAnsi="Calibri" w:cs="Calibri"/>
        <w:bCs/>
        <w:sz w:val="16"/>
        <w:szCs w:val="28"/>
      </w:rPr>
      <w:t>Příloha</w:t>
    </w:r>
    <w:proofErr w:type="spellEnd"/>
    <w:r w:rsidRPr="004A1501">
      <w:rPr>
        <w:rFonts w:ascii="Calibri" w:hAnsi="Calibri" w:cs="Calibri"/>
        <w:bCs/>
        <w:sz w:val="16"/>
        <w:szCs w:val="28"/>
      </w:rPr>
      <w:t xml:space="preserve"> </w:t>
    </w:r>
    <w:proofErr w:type="spellStart"/>
    <w:r w:rsidRPr="004A1501">
      <w:rPr>
        <w:rFonts w:ascii="Calibri" w:hAnsi="Calibri" w:cs="Calibri"/>
        <w:bCs/>
        <w:sz w:val="16"/>
        <w:szCs w:val="28"/>
      </w:rPr>
      <w:t>objednávky</w:t>
    </w:r>
    <w:proofErr w:type="spellEnd"/>
    <w:r w:rsidRPr="004A1501">
      <w:rPr>
        <w:rFonts w:ascii="Calibri" w:hAnsi="Calibri" w:cs="Calibri"/>
        <w:bCs/>
        <w:sz w:val="16"/>
        <w:szCs w:val="28"/>
      </w:rPr>
      <w:t xml:space="preserve"> č. 2024150</w:t>
    </w:r>
  </w:p>
  <w:p w14:paraId="57AA4C26" w14:textId="77777777" w:rsidR="007B23BA" w:rsidRDefault="007B23BA" w:rsidP="00C52A25">
    <w:pPr>
      <w:pStyle w:val="Zhlav"/>
      <w:rPr>
        <w:rFonts w:ascii="Calibri" w:hAnsi="Calibri" w:cs="Calibri"/>
        <w:b w:val="0"/>
      </w:rPr>
    </w:pPr>
  </w:p>
  <w:p w14:paraId="761062B2" w14:textId="77777777" w:rsidR="007B23BA" w:rsidRDefault="007B23BA" w:rsidP="00C52A25">
    <w:pPr>
      <w:pStyle w:val="Zhlav"/>
      <w:rPr>
        <w:rFonts w:ascii="Calibri" w:hAnsi="Calibri" w:cs="Calibri"/>
        <w:b w:val="0"/>
      </w:rPr>
    </w:pPr>
  </w:p>
  <w:p w14:paraId="3C17C6D7" w14:textId="3B38332F" w:rsidR="00C52A25" w:rsidRPr="00D91342" w:rsidRDefault="00C52A25" w:rsidP="00C52A25">
    <w:pPr>
      <w:pStyle w:val="Zhlav"/>
      <w:rPr>
        <w:rFonts w:ascii="Calibri" w:hAnsi="Calibri" w:cs="Calibri"/>
        <w:b w:val="0"/>
      </w:rPr>
    </w:pPr>
    <w:r w:rsidRPr="00D91342">
      <w:rPr>
        <w:rFonts w:ascii="Calibri" w:hAnsi="Calibri" w:cs="Calibri"/>
        <w:b w:val="0"/>
      </w:rPr>
      <w:t xml:space="preserve">1. </w:t>
    </w:r>
    <w:proofErr w:type="spellStart"/>
    <w:r>
      <w:rPr>
        <w:rFonts w:ascii="Calibri" w:hAnsi="Calibri" w:cs="Calibri"/>
        <w:b w:val="0"/>
      </w:rPr>
      <w:t>ledna</w:t>
    </w:r>
    <w:proofErr w:type="spellEnd"/>
    <w:r w:rsidRPr="00D91342">
      <w:rPr>
        <w:rFonts w:ascii="Calibri" w:hAnsi="Calibri" w:cs="Calibri"/>
        <w:b w:val="0"/>
      </w:rPr>
      <w:t xml:space="preserve"> </w:t>
    </w:r>
    <w:r>
      <w:rPr>
        <w:rFonts w:ascii="Calibri" w:hAnsi="Calibri" w:cs="Calibri"/>
        <w:b w:val="0"/>
      </w:rPr>
      <w:t>2023</w:t>
    </w:r>
  </w:p>
  <w:p w14:paraId="3E42298A" w14:textId="77777777" w:rsidR="00C52A25" w:rsidRDefault="00C52A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4BF0" w14:textId="1A3D4EB4" w:rsidR="0000041A" w:rsidRPr="00D91342" w:rsidRDefault="0000041A" w:rsidP="002F2418">
    <w:pPr>
      <w:pStyle w:val="Zhlav"/>
      <w:rPr>
        <w:rFonts w:ascii="Calibri" w:hAnsi="Calibri" w:cs="Calibri"/>
        <w:b w:val="0"/>
      </w:rPr>
    </w:pPr>
    <w:r w:rsidRPr="00D91342">
      <w:rPr>
        <w:rFonts w:ascii="Calibri" w:hAnsi="Calibri" w:cs="Calibri"/>
        <w:b w:val="0"/>
      </w:rPr>
      <w:t xml:space="preserve">1. </w:t>
    </w:r>
    <w:proofErr w:type="spellStart"/>
    <w:r w:rsidR="008A5C0D">
      <w:rPr>
        <w:rFonts w:ascii="Calibri" w:hAnsi="Calibri" w:cs="Calibri"/>
        <w:b w:val="0"/>
      </w:rPr>
      <w:t>ledna</w:t>
    </w:r>
    <w:proofErr w:type="spellEnd"/>
    <w:r w:rsidR="00903C7E" w:rsidRPr="00D91342">
      <w:rPr>
        <w:rFonts w:ascii="Calibri" w:hAnsi="Calibri" w:cs="Calibri"/>
        <w:b w:val="0"/>
      </w:rPr>
      <w:t xml:space="preserve"> </w:t>
    </w:r>
    <w:r w:rsidR="00D91342">
      <w:rPr>
        <w:rFonts w:ascii="Calibri" w:hAnsi="Calibri" w:cs="Calibri"/>
        <w:b w:val="0"/>
      </w:rPr>
      <w:t>202</w:t>
    </w:r>
    <w:r w:rsidR="00390D43">
      <w:rPr>
        <w:rFonts w:ascii="Calibri" w:hAnsi="Calibri" w:cs="Calibri"/>
        <w:b w:val="0"/>
      </w:rPr>
      <w:t>3</w:t>
    </w:r>
  </w:p>
  <w:p w14:paraId="461AEC96" w14:textId="77777777" w:rsidR="002C48F9" w:rsidRDefault="002C48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6EAB" w14:textId="447B92DA" w:rsidR="00903C7E" w:rsidRPr="002F2418" w:rsidRDefault="00903C7E" w:rsidP="002F2418">
    <w:pPr>
      <w:pStyle w:val="Zhlav"/>
      <w:rPr>
        <w:b w:val="0"/>
      </w:rPr>
    </w:pPr>
  </w:p>
  <w:p w14:paraId="253B80BF" w14:textId="77777777" w:rsidR="00903C7E" w:rsidRDefault="00903C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DA8222E"/>
    <w:lvl w:ilvl="0">
      <w:start w:val="1"/>
      <w:numFmt w:val="lowerLetter"/>
      <w:pStyle w:val="slovanseznam2"/>
      <w:lvlText w:val="%1."/>
      <w:lvlJc w:val="left"/>
      <w:pPr>
        <w:ind w:left="644" w:hanging="360"/>
      </w:pPr>
    </w:lvl>
  </w:abstractNum>
  <w:abstractNum w:abstractNumId="1" w15:restartNumberingAfterBreak="0">
    <w:nsid w:val="FFFFFF83"/>
    <w:multiLevelType w:val="singleLevel"/>
    <w:tmpl w:val="8EAA911C"/>
    <w:lvl w:ilvl="0">
      <w:start w:val="1"/>
      <w:numFmt w:val="bullet"/>
      <w:pStyle w:val="Seznamsodrkami2"/>
      <w:lvlText w:val="‒"/>
      <w:lvlJc w:val="left"/>
      <w:pPr>
        <w:ind w:left="587" w:hanging="360"/>
      </w:pPr>
      <w:rPr>
        <w:rFonts w:ascii="Calibri" w:hAnsi="Calibri" w:hint="default"/>
      </w:rPr>
    </w:lvl>
  </w:abstractNum>
  <w:abstractNum w:abstractNumId="2"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3" w15:restartNumberingAfterBreak="0">
    <w:nsid w:val="FFFFFF89"/>
    <w:multiLevelType w:val="singleLevel"/>
    <w:tmpl w:val="3C0609D0"/>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84B72"/>
    <w:multiLevelType w:val="hybridMultilevel"/>
    <w:tmpl w:val="6B262144"/>
    <w:lvl w:ilvl="0" w:tplc="11961C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0CE27DBE"/>
    <w:multiLevelType w:val="hybridMultilevel"/>
    <w:tmpl w:val="69AC711E"/>
    <w:lvl w:ilvl="0" w:tplc="04050001">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7" w15:restartNumberingAfterBreak="0">
    <w:nsid w:val="1085695A"/>
    <w:multiLevelType w:val="hybridMultilevel"/>
    <w:tmpl w:val="BF0E1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BC7CE6"/>
    <w:multiLevelType w:val="hybridMultilevel"/>
    <w:tmpl w:val="68B8DD30"/>
    <w:lvl w:ilvl="0" w:tplc="1980B53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126C7DCF"/>
    <w:multiLevelType w:val="hybridMultilevel"/>
    <w:tmpl w:val="05026F7A"/>
    <w:lvl w:ilvl="0" w:tplc="6336A83E">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275A5CDD"/>
    <w:multiLevelType w:val="multilevel"/>
    <w:tmpl w:val="A77EFCDC"/>
    <w:lvl w:ilvl="0">
      <w:start w:val="1"/>
      <w:numFmt w:val="decimal"/>
      <w:pStyle w:val="smlouvaobchodnipodminky1"/>
      <w:lvlText w:val="Article %1."/>
      <w:lvlJc w:val="left"/>
      <w:pPr>
        <w:ind w:left="360" w:hanging="360"/>
      </w:pPr>
      <w:rPr>
        <w:rFonts w:ascii="Arial" w:hAnsi="Arial" w:hint="default"/>
        <w:b/>
        <w:bCs w:val="0"/>
        <w:i w:val="0"/>
        <w:iCs w:val="0"/>
        <w:caps w:val="0"/>
        <w:smallCaps w:val="0"/>
        <w:strike w:val="0"/>
        <w:dstrike w:val="0"/>
        <w:vanish w:val="0"/>
        <w:color w:val="000000"/>
        <w:spacing w:val="0"/>
        <w:kern w:val="0"/>
        <w:position w:val="0"/>
        <w:sz w:val="1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mlouvaobchodnipodminky2"/>
      <w:lvlText w:val="%1.%2"/>
      <w:lvlJc w:val="left"/>
      <w:pPr>
        <w:ind w:left="454" w:hanging="454"/>
      </w:pPr>
      <w:rPr>
        <w:rFonts w:ascii="Arial" w:hAnsi="Arial" w:hint="default"/>
        <w:b w:val="0"/>
        <w:i w:val="0"/>
        <w:sz w:val="14"/>
      </w:rPr>
    </w:lvl>
    <w:lvl w:ilvl="2">
      <w:start w:val="1"/>
      <w:numFmt w:val="decimal"/>
      <w:pStyle w:val="smlouvaobchodnipodminky3"/>
      <w:lvlText w:val="%1.%2.%3"/>
      <w:lvlJc w:val="left"/>
      <w:pPr>
        <w:ind w:left="567" w:hanging="567"/>
      </w:pPr>
      <w:rPr>
        <w:rFonts w:ascii="Arial" w:hAnsi="Arial" w:hint="default"/>
        <w:b w:val="0"/>
        <w:i w:val="0"/>
        <w:sz w:val="1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641AE0"/>
    <w:multiLevelType w:val="multilevel"/>
    <w:tmpl w:val="149887FE"/>
    <w:lvl w:ilvl="0">
      <w:start w:val="1"/>
      <w:numFmt w:val="lowerLetter"/>
      <w:lvlText w:val="%1)"/>
      <w:lvlJc w:val="left"/>
      <w:pPr>
        <w:ind w:left="720" w:hanging="360"/>
      </w:pPr>
      <w:rPr>
        <w:rFonts w:ascii="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428F9"/>
    <w:multiLevelType w:val="hybridMultilevel"/>
    <w:tmpl w:val="79E600EE"/>
    <w:lvl w:ilvl="0" w:tplc="5E766134">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4E4F6CC1"/>
    <w:multiLevelType w:val="hybridMultilevel"/>
    <w:tmpl w:val="476A39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890591"/>
    <w:multiLevelType w:val="multilevel"/>
    <w:tmpl w:val="8DDA7526"/>
    <w:lvl w:ilvl="0">
      <w:start w:val="1"/>
      <w:numFmt w:val="lowerRoman"/>
      <w:lvlText w:val="%1."/>
      <w:lvlJc w:val="left"/>
      <w:pPr>
        <w:ind w:left="644" w:hanging="360"/>
      </w:pPr>
      <w:rPr>
        <w:rFonts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0D75AB6"/>
    <w:multiLevelType w:val="hybridMultilevel"/>
    <w:tmpl w:val="B7F84608"/>
    <w:lvl w:ilvl="0" w:tplc="29D2D70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617F7D72"/>
    <w:multiLevelType w:val="hybridMultilevel"/>
    <w:tmpl w:val="BE1CF0E8"/>
    <w:lvl w:ilvl="0" w:tplc="31D2A61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1BF3AE8"/>
    <w:multiLevelType w:val="hybridMultilevel"/>
    <w:tmpl w:val="F04C331A"/>
    <w:lvl w:ilvl="0" w:tplc="01E4EAC4">
      <w:start w:val="1"/>
      <w:numFmt w:val="lowerLetter"/>
      <w:lvlText w:val="%1)"/>
      <w:lvlJc w:val="left"/>
      <w:pPr>
        <w:ind w:left="1081" w:hanging="360"/>
      </w:pPr>
      <w:rPr>
        <w:rFonts w:hint="default"/>
      </w:r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19" w15:restartNumberingAfterBreak="0">
    <w:nsid w:val="629D7AB3"/>
    <w:multiLevelType w:val="hybridMultilevel"/>
    <w:tmpl w:val="C90EBF80"/>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62A4744F"/>
    <w:multiLevelType w:val="multilevel"/>
    <w:tmpl w:val="9836F326"/>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1.%2.%3"/>
      <w:lvlJc w:val="left"/>
      <w:pPr>
        <w:ind w:left="1080" w:hanging="360"/>
      </w:pPr>
      <w:rPr>
        <w:rFonts w:ascii="Arial" w:hAnsi="Aria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B03963"/>
    <w:multiLevelType w:val="multilevel"/>
    <w:tmpl w:val="32488076"/>
    <w:lvl w:ilvl="0">
      <w:start w:val="1"/>
      <w:numFmt w:val="decimal"/>
      <w:lvlText w:val="%1."/>
      <w:lvlJc w:val="left"/>
      <w:pPr>
        <w:ind w:left="644" w:hanging="360"/>
      </w:pPr>
      <w:rPr>
        <w:rFonts w:ascii="Calibri" w:hAnsi="Calibri" w:cs="Calibri" w:hint="default"/>
        <w:b/>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2" w15:restartNumberingAfterBreak="0">
    <w:nsid w:val="634935A9"/>
    <w:multiLevelType w:val="hybridMultilevel"/>
    <w:tmpl w:val="FDAA157A"/>
    <w:lvl w:ilvl="0" w:tplc="DE1C857C">
      <w:start w:val="1"/>
      <w:numFmt w:val="bullet"/>
      <w:pStyle w:val="Bulletslevel1"/>
      <w:lvlText w:val=""/>
      <w:lvlJc w:val="left"/>
      <w:pPr>
        <w:ind w:left="720" w:hanging="360"/>
      </w:pPr>
      <w:rPr>
        <w:rFonts w:ascii="Symbol" w:hAnsi="Symbol" w:hint="default"/>
        <w:b w:val="0"/>
        <w:i w:val="0"/>
        <w:sz w:val="19"/>
      </w:rPr>
    </w:lvl>
    <w:lvl w:ilvl="1" w:tplc="68469D24" w:tentative="1">
      <w:start w:val="1"/>
      <w:numFmt w:val="bullet"/>
      <w:lvlText w:val="o"/>
      <w:lvlJc w:val="left"/>
      <w:pPr>
        <w:ind w:left="1440" w:hanging="360"/>
      </w:pPr>
      <w:rPr>
        <w:rFonts w:ascii="Courier New" w:hAnsi="Courier New" w:cs="Courier New" w:hint="default"/>
      </w:rPr>
    </w:lvl>
    <w:lvl w:ilvl="2" w:tplc="DE5ADB00" w:tentative="1">
      <w:start w:val="1"/>
      <w:numFmt w:val="bullet"/>
      <w:lvlText w:val=""/>
      <w:lvlJc w:val="left"/>
      <w:pPr>
        <w:ind w:left="2160" w:hanging="360"/>
      </w:pPr>
      <w:rPr>
        <w:rFonts w:ascii="Wingdings" w:hAnsi="Wingdings" w:hint="default"/>
      </w:rPr>
    </w:lvl>
    <w:lvl w:ilvl="3" w:tplc="456CA936" w:tentative="1">
      <w:start w:val="1"/>
      <w:numFmt w:val="bullet"/>
      <w:lvlText w:val=""/>
      <w:lvlJc w:val="left"/>
      <w:pPr>
        <w:ind w:left="2880" w:hanging="360"/>
      </w:pPr>
      <w:rPr>
        <w:rFonts w:ascii="Symbol" w:hAnsi="Symbol" w:hint="default"/>
      </w:rPr>
    </w:lvl>
    <w:lvl w:ilvl="4" w:tplc="2574241E" w:tentative="1">
      <w:start w:val="1"/>
      <w:numFmt w:val="bullet"/>
      <w:lvlText w:val="o"/>
      <w:lvlJc w:val="left"/>
      <w:pPr>
        <w:ind w:left="3600" w:hanging="360"/>
      </w:pPr>
      <w:rPr>
        <w:rFonts w:ascii="Courier New" w:hAnsi="Courier New" w:cs="Courier New" w:hint="default"/>
      </w:rPr>
    </w:lvl>
    <w:lvl w:ilvl="5" w:tplc="FC169764" w:tentative="1">
      <w:start w:val="1"/>
      <w:numFmt w:val="bullet"/>
      <w:lvlText w:val=""/>
      <w:lvlJc w:val="left"/>
      <w:pPr>
        <w:ind w:left="4320" w:hanging="360"/>
      </w:pPr>
      <w:rPr>
        <w:rFonts w:ascii="Wingdings" w:hAnsi="Wingdings" w:hint="default"/>
      </w:rPr>
    </w:lvl>
    <w:lvl w:ilvl="6" w:tplc="3CAE34A6" w:tentative="1">
      <w:start w:val="1"/>
      <w:numFmt w:val="bullet"/>
      <w:lvlText w:val=""/>
      <w:lvlJc w:val="left"/>
      <w:pPr>
        <w:ind w:left="5040" w:hanging="360"/>
      </w:pPr>
      <w:rPr>
        <w:rFonts w:ascii="Symbol" w:hAnsi="Symbol" w:hint="default"/>
      </w:rPr>
    </w:lvl>
    <w:lvl w:ilvl="7" w:tplc="4DE4780C" w:tentative="1">
      <w:start w:val="1"/>
      <w:numFmt w:val="bullet"/>
      <w:lvlText w:val="o"/>
      <w:lvlJc w:val="left"/>
      <w:pPr>
        <w:ind w:left="5760" w:hanging="360"/>
      </w:pPr>
      <w:rPr>
        <w:rFonts w:ascii="Courier New" w:hAnsi="Courier New" w:cs="Courier New" w:hint="default"/>
      </w:rPr>
    </w:lvl>
    <w:lvl w:ilvl="8" w:tplc="D01C4A48" w:tentative="1">
      <w:start w:val="1"/>
      <w:numFmt w:val="bullet"/>
      <w:lvlText w:val=""/>
      <w:lvlJc w:val="left"/>
      <w:pPr>
        <w:ind w:left="6480" w:hanging="360"/>
      </w:pPr>
      <w:rPr>
        <w:rFonts w:ascii="Wingdings" w:hAnsi="Wingdings" w:hint="default"/>
      </w:rPr>
    </w:lvl>
  </w:abstractNum>
  <w:abstractNum w:abstractNumId="23" w15:restartNumberingAfterBreak="0">
    <w:nsid w:val="64E61953"/>
    <w:multiLevelType w:val="multilevel"/>
    <w:tmpl w:val="3326AC06"/>
    <w:lvl w:ilvl="0">
      <w:start w:val="1"/>
      <w:numFmt w:val="lowerRoman"/>
      <w:lvlText w:val="%1."/>
      <w:lvlJc w:val="left"/>
      <w:pPr>
        <w:ind w:left="644" w:hanging="360"/>
      </w:pPr>
      <w:rPr>
        <w:rFonts w:ascii="Calibri" w:hAnsi="Calibri" w:cs="Calibri" w:hint="default"/>
        <w:b w:val="0"/>
        <w:bCs/>
        <w:i w:val="0"/>
        <w:iCs w:val="0"/>
        <w:caps w:val="0"/>
        <w:smallCaps w:val="0"/>
        <w:strike w:val="0"/>
        <w:dstrike w:val="0"/>
        <w:vanish w:val="0"/>
        <w:color w:val="auto"/>
        <w:spacing w:val="0"/>
        <w:w w:val="100"/>
        <w:kern w:val="0"/>
        <w:position w:val="0"/>
        <w:sz w:val="16"/>
        <w:szCs w:val="19"/>
        <w:u w:val="none" w:color="2C5234" w:themeColor="accent2"/>
        <w:effect w:val="none"/>
        <w:vertAlign w:val="baseline"/>
      </w:rPr>
    </w:lvl>
    <w:lvl w:ilvl="1">
      <w:start w:val="1"/>
      <w:numFmt w:val="upperLetter"/>
      <w:lvlText w:val="%2."/>
      <w:lvlJc w:val="left"/>
      <w:pPr>
        <w:tabs>
          <w:tab w:val="num" w:pos="142"/>
        </w:tabs>
        <w:ind w:left="142" w:firstLine="0"/>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effect w:val="none"/>
        <w:vertAlign w:val="baseline"/>
      </w:rPr>
    </w:lvl>
    <w:lvl w:ilvl="2">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3">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4">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5">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6">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7">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lvl w:ilvl="8">
      <w:start w:val="1"/>
      <w:numFmt w:val="none"/>
      <w:suff w:val="nothing"/>
      <w:lvlText w:val=""/>
      <w:lvlJc w:val="left"/>
      <w:pPr>
        <w:ind w:left="142" w:firstLine="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rPr>
    </w:lvl>
  </w:abstractNum>
  <w:abstractNum w:abstractNumId="24" w15:restartNumberingAfterBreak="0">
    <w:nsid w:val="68251CBC"/>
    <w:multiLevelType w:val="multilevel"/>
    <w:tmpl w:val="8CC046A2"/>
    <w:lvl w:ilvl="0">
      <w:start w:val="1"/>
      <w:numFmt w:val="lowerLetter"/>
      <w:lvlText w:val="%1)"/>
      <w:lvlJc w:val="left"/>
      <w:pPr>
        <w:ind w:left="720" w:hanging="360"/>
      </w:pPr>
      <w:rPr>
        <w:rFonts w:ascii="Calibri" w:hAnsi="Calibri"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AE80D93"/>
    <w:multiLevelType w:val="hybridMultilevel"/>
    <w:tmpl w:val="A3021A44"/>
    <w:lvl w:ilvl="0" w:tplc="3632A6E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15:restartNumberingAfterBreak="0">
    <w:nsid w:val="70053B5D"/>
    <w:multiLevelType w:val="hybridMultilevel"/>
    <w:tmpl w:val="96585322"/>
    <w:lvl w:ilvl="0" w:tplc="3A80CEA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71C73230"/>
    <w:multiLevelType w:val="hybridMultilevel"/>
    <w:tmpl w:val="13D8C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28068C"/>
    <w:multiLevelType w:val="multilevel"/>
    <w:tmpl w:val="8C5630D4"/>
    <w:lvl w:ilvl="0">
      <w:start w:val="1"/>
      <w:numFmt w:val="decimal"/>
      <w:pStyle w:val="Smlouvaheading1"/>
      <w:lvlText w:val="Článek %1."/>
      <w:lvlJc w:val="left"/>
      <w:pPr>
        <w:tabs>
          <w:tab w:val="num" w:pos="425"/>
        </w:tabs>
        <w:ind w:left="425" w:hanging="425"/>
      </w:pPr>
      <w:rPr>
        <w:rFonts w:hint="default"/>
      </w:rPr>
    </w:lvl>
    <w:lvl w:ilvl="1">
      <w:start w:val="1"/>
      <w:numFmt w:val="decimal"/>
      <w:pStyle w:val="Smlouvaheading2"/>
      <w:lvlText w:val="%1.%2"/>
      <w:lvlJc w:val="left"/>
      <w:pPr>
        <w:tabs>
          <w:tab w:val="num" w:pos="851"/>
        </w:tabs>
        <w:ind w:left="851" w:hanging="426"/>
      </w:pPr>
      <w:rPr>
        <w:rFonts w:hint="default"/>
      </w:rPr>
    </w:lvl>
    <w:lvl w:ilvl="2">
      <w:start w:val="1"/>
      <w:numFmt w:val="decimal"/>
      <w:pStyle w:val="Smlouvaheading3"/>
      <w:lvlText w:val="%1.%2.%3"/>
      <w:lvlJc w:val="left"/>
      <w:pPr>
        <w:tabs>
          <w:tab w:val="num" w:pos="1474"/>
        </w:tabs>
        <w:ind w:left="1474" w:hanging="623"/>
      </w:pPr>
      <w:rPr>
        <w:rFonts w:hint="default"/>
      </w:rPr>
    </w:lvl>
    <w:lvl w:ilvl="3">
      <w:start w:val="1"/>
      <w:numFmt w:val="decimal"/>
      <w:pStyle w:val="Smlouvaheading4"/>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007454">
    <w:abstractNumId w:val="3"/>
  </w:num>
  <w:num w:numId="2" w16cid:durableId="716248133">
    <w:abstractNumId w:val="1"/>
  </w:num>
  <w:num w:numId="3" w16cid:durableId="797719641">
    <w:abstractNumId w:val="2"/>
  </w:num>
  <w:num w:numId="4" w16cid:durableId="1903828991">
    <w:abstractNumId w:val="0"/>
  </w:num>
  <w:num w:numId="5" w16cid:durableId="1703051144">
    <w:abstractNumId w:val="12"/>
  </w:num>
  <w:num w:numId="6" w16cid:durableId="1574000995">
    <w:abstractNumId w:val="4"/>
  </w:num>
  <w:num w:numId="7" w16cid:durableId="753013094">
    <w:abstractNumId w:val="28"/>
  </w:num>
  <w:num w:numId="8" w16cid:durableId="1320695913">
    <w:abstractNumId w:val="20"/>
  </w:num>
  <w:num w:numId="9" w16cid:durableId="481895730">
    <w:abstractNumId w:val="10"/>
  </w:num>
  <w:num w:numId="10" w16cid:durableId="1065493982">
    <w:abstractNumId w:val="15"/>
  </w:num>
  <w:num w:numId="11" w16cid:durableId="2083939561">
    <w:abstractNumId w:val="24"/>
  </w:num>
  <w:num w:numId="12" w16cid:durableId="1311709934">
    <w:abstractNumId w:val="21"/>
  </w:num>
  <w:num w:numId="13" w16cid:durableId="1715077624">
    <w:abstractNumId w:val="23"/>
  </w:num>
  <w:num w:numId="14" w16cid:durableId="2090880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7143475">
    <w:abstractNumId w:val="7"/>
  </w:num>
  <w:num w:numId="16" w16cid:durableId="227424335">
    <w:abstractNumId w:val="9"/>
  </w:num>
  <w:num w:numId="17" w16cid:durableId="966660511">
    <w:abstractNumId w:val="18"/>
  </w:num>
  <w:num w:numId="18" w16cid:durableId="1286735734">
    <w:abstractNumId w:val="13"/>
  </w:num>
  <w:num w:numId="19" w16cid:durableId="2141655230">
    <w:abstractNumId w:val="14"/>
  </w:num>
  <w:num w:numId="20" w16cid:durableId="661662114">
    <w:abstractNumId w:val="8"/>
  </w:num>
  <w:num w:numId="21" w16cid:durableId="164908596">
    <w:abstractNumId w:val="16"/>
  </w:num>
  <w:num w:numId="22" w16cid:durableId="1798794607">
    <w:abstractNumId w:val="25"/>
  </w:num>
  <w:num w:numId="23" w16cid:durableId="974408814">
    <w:abstractNumId w:val="26"/>
  </w:num>
  <w:num w:numId="24" w16cid:durableId="1285844344">
    <w:abstractNumId w:val="5"/>
  </w:num>
  <w:num w:numId="25" w16cid:durableId="316342697">
    <w:abstractNumId w:val="11"/>
  </w:num>
  <w:num w:numId="26" w16cid:durableId="1771975441">
    <w:abstractNumId w:val="19"/>
  </w:num>
  <w:num w:numId="27" w16cid:durableId="1803187483">
    <w:abstractNumId w:val="6"/>
  </w:num>
  <w:num w:numId="28" w16cid:durableId="2095122986">
    <w:abstractNumId w:val="22"/>
  </w:num>
  <w:num w:numId="29" w16cid:durableId="1549412813">
    <w:abstractNumId w:val="27"/>
  </w:num>
  <w:num w:numId="30" w16cid:durableId="1949850483">
    <w:abstractNumId w:val="17"/>
  </w:num>
  <w:num w:numId="31" w16cid:durableId="886573270">
    <w:abstractNumId w:val="28"/>
  </w:num>
  <w:num w:numId="32" w16cid:durableId="1354457456">
    <w:abstractNumId w:val="28"/>
  </w:num>
  <w:num w:numId="33" w16cid:durableId="760569267">
    <w:abstractNumId w:val="28"/>
  </w:num>
  <w:num w:numId="34" w16cid:durableId="1418135645">
    <w:abstractNumId w:val="28"/>
  </w:num>
  <w:num w:numId="35" w16cid:durableId="1061440506">
    <w:abstractNumId w:val="28"/>
  </w:num>
  <w:num w:numId="36" w16cid:durableId="95880491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cs-CZ" w:vendorID="64" w:dllVersion="0" w:nlCheck="1" w:checkStyle="0"/>
  <w:activeWritingStyle w:appName="MSWord" w:lang="de-DE" w:vendorID="64" w:dllVersion="0" w:nlCheck="1" w:checkStyle="0"/>
  <w:activeWritingStyle w:appName="MSWord" w:lang="cs-CZ"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43"/>
    <w:rsid w:val="0000041A"/>
    <w:rsid w:val="000005FE"/>
    <w:rsid w:val="000131A3"/>
    <w:rsid w:val="00013C0A"/>
    <w:rsid w:val="00014B89"/>
    <w:rsid w:val="000173B3"/>
    <w:rsid w:val="00020D44"/>
    <w:rsid w:val="000219AF"/>
    <w:rsid w:val="00021A39"/>
    <w:rsid w:val="00025E7D"/>
    <w:rsid w:val="00035DBA"/>
    <w:rsid w:val="00037C17"/>
    <w:rsid w:val="00037DE6"/>
    <w:rsid w:val="00041DB4"/>
    <w:rsid w:val="000429AC"/>
    <w:rsid w:val="00042B6A"/>
    <w:rsid w:val="00042B99"/>
    <w:rsid w:val="000445D6"/>
    <w:rsid w:val="0004657A"/>
    <w:rsid w:val="00047FC6"/>
    <w:rsid w:val="000516C4"/>
    <w:rsid w:val="000517C0"/>
    <w:rsid w:val="0005418E"/>
    <w:rsid w:val="000609C4"/>
    <w:rsid w:val="00061444"/>
    <w:rsid w:val="000637A6"/>
    <w:rsid w:val="00066BBA"/>
    <w:rsid w:val="00071509"/>
    <w:rsid w:val="000809C5"/>
    <w:rsid w:val="00081988"/>
    <w:rsid w:val="00083DD5"/>
    <w:rsid w:val="0008662A"/>
    <w:rsid w:val="00092341"/>
    <w:rsid w:val="000A5FAE"/>
    <w:rsid w:val="000A7F05"/>
    <w:rsid w:val="000B2543"/>
    <w:rsid w:val="000B6C05"/>
    <w:rsid w:val="000B7115"/>
    <w:rsid w:val="000C20BD"/>
    <w:rsid w:val="000C2B24"/>
    <w:rsid w:val="000C5EA5"/>
    <w:rsid w:val="000D2DE0"/>
    <w:rsid w:val="000E2C94"/>
    <w:rsid w:val="000E4AA4"/>
    <w:rsid w:val="000F0DFC"/>
    <w:rsid w:val="000F3453"/>
    <w:rsid w:val="000F3E35"/>
    <w:rsid w:val="000F5C22"/>
    <w:rsid w:val="000F6E96"/>
    <w:rsid w:val="0010113D"/>
    <w:rsid w:val="0010462B"/>
    <w:rsid w:val="001063F4"/>
    <w:rsid w:val="001071D5"/>
    <w:rsid w:val="00111011"/>
    <w:rsid w:val="001127C8"/>
    <w:rsid w:val="00113713"/>
    <w:rsid w:val="0011755F"/>
    <w:rsid w:val="00123AD3"/>
    <w:rsid w:val="001250DD"/>
    <w:rsid w:val="001263BF"/>
    <w:rsid w:val="001265CF"/>
    <w:rsid w:val="00127C54"/>
    <w:rsid w:val="00130191"/>
    <w:rsid w:val="001308C7"/>
    <w:rsid w:val="00135844"/>
    <w:rsid w:val="00136294"/>
    <w:rsid w:val="001457BC"/>
    <w:rsid w:val="001516D9"/>
    <w:rsid w:val="00157BD7"/>
    <w:rsid w:val="00163881"/>
    <w:rsid w:val="001659E4"/>
    <w:rsid w:val="00166751"/>
    <w:rsid w:val="00167186"/>
    <w:rsid w:val="00167797"/>
    <w:rsid w:val="001708B9"/>
    <w:rsid w:val="0017280D"/>
    <w:rsid w:val="001757CE"/>
    <w:rsid w:val="001767C1"/>
    <w:rsid w:val="00180BDA"/>
    <w:rsid w:val="0018108F"/>
    <w:rsid w:val="00182601"/>
    <w:rsid w:val="001840F7"/>
    <w:rsid w:val="00186FC8"/>
    <w:rsid w:val="00190365"/>
    <w:rsid w:val="00193BE3"/>
    <w:rsid w:val="001975EF"/>
    <w:rsid w:val="0019765A"/>
    <w:rsid w:val="001A45CF"/>
    <w:rsid w:val="001A48D0"/>
    <w:rsid w:val="001B0F94"/>
    <w:rsid w:val="001B2BF0"/>
    <w:rsid w:val="001B5C19"/>
    <w:rsid w:val="001D03A7"/>
    <w:rsid w:val="001D0BCB"/>
    <w:rsid w:val="001D3086"/>
    <w:rsid w:val="001E016B"/>
    <w:rsid w:val="001E7D3E"/>
    <w:rsid w:val="001F117F"/>
    <w:rsid w:val="001F38BE"/>
    <w:rsid w:val="001F61B8"/>
    <w:rsid w:val="001F6839"/>
    <w:rsid w:val="00204CBA"/>
    <w:rsid w:val="00211AB1"/>
    <w:rsid w:val="00212852"/>
    <w:rsid w:val="00214FC4"/>
    <w:rsid w:val="00215255"/>
    <w:rsid w:val="00216CF6"/>
    <w:rsid w:val="00220CCF"/>
    <w:rsid w:val="00227F1F"/>
    <w:rsid w:val="00231B44"/>
    <w:rsid w:val="002340B6"/>
    <w:rsid w:val="00234BA2"/>
    <w:rsid w:val="00235582"/>
    <w:rsid w:val="00237008"/>
    <w:rsid w:val="002370AB"/>
    <w:rsid w:val="00237872"/>
    <w:rsid w:val="0024202F"/>
    <w:rsid w:val="00244010"/>
    <w:rsid w:val="00245BEB"/>
    <w:rsid w:val="00253D2A"/>
    <w:rsid w:val="00255D53"/>
    <w:rsid w:val="00277DBB"/>
    <w:rsid w:val="002930B2"/>
    <w:rsid w:val="00294BBA"/>
    <w:rsid w:val="00295B52"/>
    <w:rsid w:val="00297214"/>
    <w:rsid w:val="002A68AB"/>
    <w:rsid w:val="002B2376"/>
    <w:rsid w:val="002B4054"/>
    <w:rsid w:val="002B4D02"/>
    <w:rsid w:val="002B6D2E"/>
    <w:rsid w:val="002C48F9"/>
    <w:rsid w:val="002C5FEA"/>
    <w:rsid w:val="002C690A"/>
    <w:rsid w:val="002C6F50"/>
    <w:rsid w:val="002D1F5B"/>
    <w:rsid w:val="002D41F7"/>
    <w:rsid w:val="002D43EF"/>
    <w:rsid w:val="002E0184"/>
    <w:rsid w:val="002E1C00"/>
    <w:rsid w:val="002E7099"/>
    <w:rsid w:val="002F027D"/>
    <w:rsid w:val="002F2418"/>
    <w:rsid w:val="002F2771"/>
    <w:rsid w:val="002F279A"/>
    <w:rsid w:val="002F38DE"/>
    <w:rsid w:val="003121C1"/>
    <w:rsid w:val="0031749B"/>
    <w:rsid w:val="0032373B"/>
    <w:rsid w:val="003242AC"/>
    <w:rsid w:val="00331D1F"/>
    <w:rsid w:val="00337680"/>
    <w:rsid w:val="00350886"/>
    <w:rsid w:val="003532F6"/>
    <w:rsid w:val="00357E4F"/>
    <w:rsid w:val="00367B44"/>
    <w:rsid w:val="00375EB8"/>
    <w:rsid w:val="00377AE4"/>
    <w:rsid w:val="00382268"/>
    <w:rsid w:val="003863C7"/>
    <w:rsid w:val="00390D43"/>
    <w:rsid w:val="0039181B"/>
    <w:rsid w:val="003923FD"/>
    <w:rsid w:val="00394532"/>
    <w:rsid w:val="003A494E"/>
    <w:rsid w:val="003B3379"/>
    <w:rsid w:val="003B3C47"/>
    <w:rsid w:val="003B3F96"/>
    <w:rsid w:val="003C12AF"/>
    <w:rsid w:val="003C4BE4"/>
    <w:rsid w:val="003C4DE4"/>
    <w:rsid w:val="003D0767"/>
    <w:rsid w:val="003D1A80"/>
    <w:rsid w:val="003E138D"/>
    <w:rsid w:val="003E1820"/>
    <w:rsid w:val="003E49BA"/>
    <w:rsid w:val="003E572E"/>
    <w:rsid w:val="003F2224"/>
    <w:rsid w:val="00404297"/>
    <w:rsid w:val="004052BC"/>
    <w:rsid w:val="004066C3"/>
    <w:rsid w:val="00412EA0"/>
    <w:rsid w:val="00413084"/>
    <w:rsid w:val="00413D0E"/>
    <w:rsid w:val="004314E1"/>
    <w:rsid w:val="00432002"/>
    <w:rsid w:val="00432D1A"/>
    <w:rsid w:val="0044117C"/>
    <w:rsid w:val="00444B2E"/>
    <w:rsid w:val="0044558B"/>
    <w:rsid w:val="004509E3"/>
    <w:rsid w:val="00451AD9"/>
    <w:rsid w:val="00456647"/>
    <w:rsid w:val="00462713"/>
    <w:rsid w:val="0046726A"/>
    <w:rsid w:val="00472875"/>
    <w:rsid w:val="00473614"/>
    <w:rsid w:val="0048369A"/>
    <w:rsid w:val="004860A3"/>
    <w:rsid w:val="00486736"/>
    <w:rsid w:val="004945DF"/>
    <w:rsid w:val="004A0DCC"/>
    <w:rsid w:val="004A1501"/>
    <w:rsid w:val="004A6C6D"/>
    <w:rsid w:val="004B283E"/>
    <w:rsid w:val="004C2616"/>
    <w:rsid w:val="004D159E"/>
    <w:rsid w:val="004D1F57"/>
    <w:rsid w:val="004D49FC"/>
    <w:rsid w:val="004F47B4"/>
    <w:rsid w:val="004F4A4B"/>
    <w:rsid w:val="00501EFF"/>
    <w:rsid w:val="005124A2"/>
    <w:rsid w:val="005209CF"/>
    <w:rsid w:val="00520C7C"/>
    <w:rsid w:val="00526863"/>
    <w:rsid w:val="005270F9"/>
    <w:rsid w:val="00542505"/>
    <w:rsid w:val="00543BA8"/>
    <w:rsid w:val="00544D24"/>
    <w:rsid w:val="0055359B"/>
    <w:rsid w:val="00563C6F"/>
    <w:rsid w:val="00564F21"/>
    <w:rsid w:val="0056509F"/>
    <w:rsid w:val="00573556"/>
    <w:rsid w:val="00573D2F"/>
    <w:rsid w:val="005800AA"/>
    <w:rsid w:val="005843DE"/>
    <w:rsid w:val="00585334"/>
    <w:rsid w:val="00593BF7"/>
    <w:rsid w:val="005967D7"/>
    <w:rsid w:val="0059682F"/>
    <w:rsid w:val="005969FB"/>
    <w:rsid w:val="005A0467"/>
    <w:rsid w:val="005A095B"/>
    <w:rsid w:val="005A2F04"/>
    <w:rsid w:val="005A6392"/>
    <w:rsid w:val="005B6B53"/>
    <w:rsid w:val="005C004C"/>
    <w:rsid w:val="005C23D6"/>
    <w:rsid w:val="005C6343"/>
    <w:rsid w:val="005C7347"/>
    <w:rsid w:val="005D5512"/>
    <w:rsid w:val="005D7FA4"/>
    <w:rsid w:val="005E3501"/>
    <w:rsid w:val="005E6244"/>
    <w:rsid w:val="005F3D7B"/>
    <w:rsid w:val="005F525A"/>
    <w:rsid w:val="005F54F5"/>
    <w:rsid w:val="005F68FD"/>
    <w:rsid w:val="005F74C0"/>
    <w:rsid w:val="00605199"/>
    <w:rsid w:val="00605AB2"/>
    <w:rsid w:val="00624C5E"/>
    <w:rsid w:val="00626FD8"/>
    <w:rsid w:val="006270EC"/>
    <w:rsid w:val="006464CD"/>
    <w:rsid w:val="00650D85"/>
    <w:rsid w:val="006528C9"/>
    <w:rsid w:val="006673E8"/>
    <w:rsid w:val="00671EC0"/>
    <w:rsid w:val="00675E8F"/>
    <w:rsid w:val="00676F48"/>
    <w:rsid w:val="0067770B"/>
    <w:rsid w:val="00686056"/>
    <w:rsid w:val="00691C32"/>
    <w:rsid w:val="00693503"/>
    <w:rsid w:val="006A473D"/>
    <w:rsid w:val="006A4B0C"/>
    <w:rsid w:val="006A7A7B"/>
    <w:rsid w:val="006B0513"/>
    <w:rsid w:val="006B16E0"/>
    <w:rsid w:val="006B24BB"/>
    <w:rsid w:val="006B30D1"/>
    <w:rsid w:val="006B4661"/>
    <w:rsid w:val="006B4816"/>
    <w:rsid w:val="006B5C3A"/>
    <w:rsid w:val="006C0902"/>
    <w:rsid w:val="006C4B90"/>
    <w:rsid w:val="006C5AD3"/>
    <w:rsid w:val="006C617F"/>
    <w:rsid w:val="006D0039"/>
    <w:rsid w:val="006D6A17"/>
    <w:rsid w:val="006E3221"/>
    <w:rsid w:val="0070564A"/>
    <w:rsid w:val="00705766"/>
    <w:rsid w:val="00714253"/>
    <w:rsid w:val="007172D9"/>
    <w:rsid w:val="00720888"/>
    <w:rsid w:val="0072138D"/>
    <w:rsid w:val="0072746D"/>
    <w:rsid w:val="007312AA"/>
    <w:rsid w:val="00733D56"/>
    <w:rsid w:val="007342AA"/>
    <w:rsid w:val="00734C1B"/>
    <w:rsid w:val="007460A4"/>
    <w:rsid w:val="00750D3B"/>
    <w:rsid w:val="00750F80"/>
    <w:rsid w:val="007516F0"/>
    <w:rsid w:val="00753A99"/>
    <w:rsid w:val="007550AB"/>
    <w:rsid w:val="007604FB"/>
    <w:rsid w:val="007653DA"/>
    <w:rsid w:val="0076614E"/>
    <w:rsid w:val="007735EF"/>
    <w:rsid w:val="00773725"/>
    <w:rsid w:val="007809E6"/>
    <w:rsid w:val="00784EB7"/>
    <w:rsid w:val="0079305A"/>
    <w:rsid w:val="007A1421"/>
    <w:rsid w:val="007B23BA"/>
    <w:rsid w:val="007B29C4"/>
    <w:rsid w:val="007B2FB1"/>
    <w:rsid w:val="007C008A"/>
    <w:rsid w:val="007C0C20"/>
    <w:rsid w:val="007C2A5C"/>
    <w:rsid w:val="007C4E8B"/>
    <w:rsid w:val="007C7944"/>
    <w:rsid w:val="007C7C55"/>
    <w:rsid w:val="007D12FE"/>
    <w:rsid w:val="007D135A"/>
    <w:rsid w:val="007E03C0"/>
    <w:rsid w:val="007E1716"/>
    <w:rsid w:val="007E2034"/>
    <w:rsid w:val="007E2836"/>
    <w:rsid w:val="007E568A"/>
    <w:rsid w:val="007F0D03"/>
    <w:rsid w:val="007F4828"/>
    <w:rsid w:val="008005C8"/>
    <w:rsid w:val="008006BE"/>
    <w:rsid w:val="00802289"/>
    <w:rsid w:val="0080397A"/>
    <w:rsid w:val="00803CB7"/>
    <w:rsid w:val="00807054"/>
    <w:rsid w:val="0080728A"/>
    <w:rsid w:val="00807803"/>
    <w:rsid w:val="00813DBC"/>
    <w:rsid w:val="00813F7A"/>
    <w:rsid w:val="00821F18"/>
    <w:rsid w:val="00822995"/>
    <w:rsid w:val="00822FC7"/>
    <w:rsid w:val="00823315"/>
    <w:rsid w:val="00825CB7"/>
    <w:rsid w:val="00855A9A"/>
    <w:rsid w:val="00856A0E"/>
    <w:rsid w:val="008609E6"/>
    <w:rsid w:val="008631CE"/>
    <w:rsid w:val="0086443E"/>
    <w:rsid w:val="00870B81"/>
    <w:rsid w:val="00872FD2"/>
    <w:rsid w:val="00873D35"/>
    <w:rsid w:val="00876869"/>
    <w:rsid w:val="008770C2"/>
    <w:rsid w:val="008832E9"/>
    <w:rsid w:val="00887A84"/>
    <w:rsid w:val="00891A39"/>
    <w:rsid w:val="00894F9A"/>
    <w:rsid w:val="00896BD0"/>
    <w:rsid w:val="008A5C0D"/>
    <w:rsid w:val="008B26FD"/>
    <w:rsid w:val="008B2E86"/>
    <w:rsid w:val="008B2F37"/>
    <w:rsid w:val="008C0EAA"/>
    <w:rsid w:val="008C5A91"/>
    <w:rsid w:val="008E2830"/>
    <w:rsid w:val="008E3008"/>
    <w:rsid w:val="008E7B8E"/>
    <w:rsid w:val="008E7ED3"/>
    <w:rsid w:val="008F1380"/>
    <w:rsid w:val="008F31BA"/>
    <w:rsid w:val="00903C7E"/>
    <w:rsid w:val="00904097"/>
    <w:rsid w:val="00904212"/>
    <w:rsid w:val="009053F7"/>
    <w:rsid w:val="00905422"/>
    <w:rsid w:val="00922939"/>
    <w:rsid w:val="00930258"/>
    <w:rsid w:val="00930A39"/>
    <w:rsid w:val="00930E80"/>
    <w:rsid w:val="009350F0"/>
    <w:rsid w:val="009419A4"/>
    <w:rsid w:val="009440CF"/>
    <w:rsid w:val="00952BDE"/>
    <w:rsid w:val="00952D32"/>
    <w:rsid w:val="00957BA0"/>
    <w:rsid w:val="00971261"/>
    <w:rsid w:val="00977BEA"/>
    <w:rsid w:val="00991538"/>
    <w:rsid w:val="0099372E"/>
    <w:rsid w:val="00994626"/>
    <w:rsid w:val="00994C96"/>
    <w:rsid w:val="00995104"/>
    <w:rsid w:val="009A0464"/>
    <w:rsid w:val="009A44A5"/>
    <w:rsid w:val="009B058D"/>
    <w:rsid w:val="009B139F"/>
    <w:rsid w:val="009B2D95"/>
    <w:rsid w:val="009B5FD6"/>
    <w:rsid w:val="009B60B8"/>
    <w:rsid w:val="009B7826"/>
    <w:rsid w:val="009C403B"/>
    <w:rsid w:val="009D3564"/>
    <w:rsid w:val="009D5174"/>
    <w:rsid w:val="009D57E3"/>
    <w:rsid w:val="009E006D"/>
    <w:rsid w:val="009E0A65"/>
    <w:rsid w:val="009E2745"/>
    <w:rsid w:val="009E5122"/>
    <w:rsid w:val="009E5D3C"/>
    <w:rsid w:val="00A043CA"/>
    <w:rsid w:val="00A063EE"/>
    <w:rsid w:val="00A161A4"/>
    <w:rsid w:val="00A17957"/>
    <w:rsid w:val="00A22C63"/>
    <w:rsid w:val="00A253B8"/>
    <w:rsid w:val="00A31E80"/>
    <w:rsid w:val="00A32258"/>
    <w:rsid w:val="00A33333"/>
    <w:rsid w:val="00A37554"/>
    <w:rsid w:val="00A43B3E"/>
    <w:rsid w:val="00A659E1"/>
    <w:rsid w:val="00A7281A"/>
    <w:rsid w:val="00A80E26"/>
    <w:rsid w:val="00A85445"/>
    <w:rsid w:val="00A900CC"/>
    <w:rsid w:val="00A9095F"/>
    <w:rsid w:val="00A96951"/>
    <w:rsid w:val="00A97EDE"/>
    <w:rsid w:val="00AA34E3"/>
    <w:rsid w:val="00AA4905"/>
    <w:rsid w:val="00AB1926"/>
    <w:rsid w:val="00AB286A"/>
    <w:rsid w:val="00AB32A9"/>
    <w:rsid w:val="00AB3DD5"/>
    <w:rsid w:val="00AC02AA"/>
    <w:rsid w:val="00AC1D94"/>
    <w:rsid w:val="00AC2081"/>
    <w:rsid w:val="00AD1749"/>
    <w:rsid w:val="00AD3733"/>
    <w:rsid w:val="00AD3DD6"/>
    <w:rsid w:val="00AD6475"/>
    <w:rsid w:val="00AD7ECD"/>
    <w:rsid w:val="00AE0FC7"/>
    <w:rsid w:val="00AE62FC"/>
    <w:rsid w:val="00AE6C40"/>
    <w:rsid w:val="00AE710A"/>
    <w:rsid w:val="00AF7F1B"/>
    <w:rsid w:val="00B020E4"/>
    <w:rsid w:val="00B055B1"/>
    <w:rsid w:val="00B0660D"/>
    <w:rsid w:val="00B06697"/>
    <w:rsid w:val="00B176C3"/>
    <w:rsid w:val="00B204BA"/>
    <w:rsid w:val="00B20E03"/>
    <w:rsid w:val="00B253A1"/>
    <w:rsid w:val="00B25ADD"/>
    <w:rsid w:val="00B25D78"/>
    <w:rsid w:val="00B262AB"/>
    <w:rsid w:val="00B33CB7"/>
    <w:rsid w:val="00B352FA"/>
    <w:rsid w:val="00B36B5C"/>
    <w:rsid w:val="00B36D31"/>
    <w:rsid w:val="00B43146"/>
    <w:rsid w:val="00B46969"/>
    <w:rsid w:val="00B47A1D"/>
    <w:rsid w:val="00B615EA"/>
    <w:rsid w:val="00B617CD"/>
    <w:rsid w:val="00B6301A"/>
    <w:rsid w:val="00B63635"/>
    <w:rsid w:val="00B66FC9"/>
    <w:rsid w:val="00B67CFC"/>
    <w:rsid w:val="00B7025F"/>
    <w:rsid w:val="00B73729"/>
    <w:rsid w:val="00B76AF5"/>
    <w:rsid w:val="00B805E0"/>
    <w:rsid w:val="00B83F72"/>
    <w:rsid w:val="00B864EF"/>
    <w:rsid w:val="00B93D39"/>
    <w:rsid w:val="00B955FF"/>
    <w:rsid w:val="00B962CB"/>
    <w:rsid w:val="00B97BD6"/>
    <w:rsid w:val="00BB01AE"/>
    <w:rsid w:val="00BB12C1"/>
    <w:rsid w:val="00BB4A7A"/>
    <w:rsid w:val="00BB6CB3"/>
    <w:rsid w:val="00BC0047"/>
    <w:rsid w:val="00BC266F"/>
    <w:rsid w:val="00BC67A6"/>
    <w:rsid w:val="00BD2206"/>
    <w:rsid w:val="00BE48D2"/>
    <w:rsid w:val="00BE77B1"/>
    <w:rsid w:val="00BF67EE"/>
    <w:rsid w:val="00BF6F8B"/>
    <w:rsid w:val="00C013A4"/>
    <w:rsid w:val="00C04DCF"/>
    <w:rsid w:val="00C04F0F"/>
    <w:rsid w:val="00C06177"/>
    <w:rsid w:val="00C075EA"/>
    <w:rsid w:val="00C14C5A"/>
    <w:rsid w:val="00C158DA"/>
    <w:rsid w:val="00C23990"/>
    <w:rsid w:val="00C25EC1"/>
    <w:rsid w:val="00C34C43"/>
    <w:rsid w:val="00C36ADF"/>
    <w:rsid w:val="00C41BEB"/>
    <w:rsid w:val="00C50A26"/>
    <w:rsid w:val="00C52A25"/>
    <w:rsid w:val="00C56476"/>
    <w:rsid w:val="00C61AC6"/>
    <w:rsid w:val="00C648AF"/>
    <w:rsid w:val="00C66F1A"/>
    <w:rsid w:val="00C702C7"/>
    <w:rsid w:val="00C7429C"/>
    <w:rsid w:val="00C762EB"/>
    <w:rsid w:val="00C7751E"/>
    <w:rsid w:val="00C81837"/>
    <w:rsid w:val="00C8703B"/>
    <w:rsid w:val="00C93762"/>
    <w:rsid w:val="00CA4E63"/>
    <w:rsid w:val="00CA5B05"/>
    <w:rsid w:val="00CC2A1A"/>
    <w:rsid w:val="00CC5E8F"/>
    <w:rsid w:val="00CC69B1"/>
    <w:rsid w:val="00CC6F7F"/>
    <w:rsid w:val="00CD00EA"/>
    <w:rsid w:val="00CD5842"/>
    <w:rsid w:val="00CE1D9F"/>
    <w:rsid w:val="00CF3CA4"/>
    <w:rsid w:val="00CF546E"/>
    <w:rsid w:val="00CF613D"/>
    <w:rsid w:val="00CF7F7F"/>
    <w:rsid w:val="00D0023B"/>
    <w:rsid w:val="00D00336"/>
    <w:rsid w:val="00D01239"/>
    <w:rsid w:val="00D149B4"/>
    <w:rsid w:val="00D15733"/>
    <w:rsid w:val="00D161F3"/>
    <w:rsid w:val="00D21B41"/>
    <w:rsid w:val="00D236E8"/>
    <w:rsid w:val="00D24FBC"/>
    <w:rsid w:val="00D27B73"/>
    <w:rsid w:val="00D329DF"/>
    <w:rsid w:val="00D33A2B"/>
    <w:rsid w:val="00D35C72"/>
    <w:rsid w:val="00D36E73"/>
    <w:rsid w:val="00D426B8"/>
    <w:rsid w:val="00D4280C"/>
    <w:rsid w:val="00D5297D"/>
    <w:rsid w:val="00D52A6A"/>
    <w:rsid w:val="00D61DFC"/>
    <w:rsid w:val="00D6230E"/>
    <w:rsid w:val="00D7071D"/>
    <w:rsid w:val="00D74F48"/>
    <w:rsid w:val="00D768FD"/>
    <w:rsid w:val="00D7732D"/>
    <w:rsid w:val="00D77643"/>
    <w:rsid w:val="00D815D0"/>
    <w:rsid w:val="00D91342"/>
    <w:rsid w:val="00DA1962"/>
    <w:rsid w:val="00DA3876"/>
    <w:rsid w:val="00DA7B40"/>
    <w:rsid w:val="00DB0CB1"/>
    <w:rsid w:val="00DB5D79"/>
    <w:rsid w:val="00DC4D91"/>
    <w:rsid w:val="00DC65D0"/>
    <w:rsid w:val="00DD2744"/>
    <w:rsid w:val="00DD5A1B"/>
    <w:rsid w:val="00DD715C"/>
    <w:rsid w:val="00DE12C1"/>
    <w:rsid w:val="00DE18BC"/>
    <w:rsid w:val="00DF2C98"/>
    <w:rsid w:val="00DF4B62"/>
    <w:rsid w:val="00E0517E"/>
    <w:rsid w:val="00E05711"/>
    <w:rsid w:val="00E0575B"/>
    <w:rsid w:val="00E15DEF"/>
    <w:rsid w:val="00E15E9E"/>
    <w:rsid w:val="00E26113"/>
    <w:rsid w:val="00E266A4"/>
    <w:rsid w:val="00E307B8"/>
    <w:rsid w:val="00E33D65"/>
    <w:rsid w:val="00E35306"/>
    <w:rsid w:val="00E35847"/>
    <w:rsid w:val="00E36C7A"/>
    <w:rsid w:val="00E40C90"/>
    <w:rsid w:val="00E4362E"/>
    <w:rsid w:val="00E50FBB"/>
    <w:rsid w:val="00E51605"/>
    <w:rsid w:val="00E5348C"/>
    <w:rsid w:val="00E54BEF"/>
    <w:rsid w:val="00E56993"/>
    <w:rsid w:val="00E56F4A"/>
    <w:rsid w:val="00E7797E"/>
    <w:rsid w:val="00E82807"/>
    <w:rsid w:val="00E87432"/>
    <w:rsid w:val="00E943B8"/>
    <w:rsid w:val="00E94C20"/>
    <w:rsid w:val="00E97052"/>
    <w:rsid w:val="00EA0363"/>
    <w:rsid w:val="00EA300D"/>
    <w:rsid w:val="00EB0942"/>
    <w:rsid w:val="00EB09BA"/>
    <w:rsid w:val="00EB209E"/>
    <w:rsid w:val="00EB3739"/>
    <w:rsid w:val="00EB4301"/>
    <w:rsid w:val="00EB5CD1"/>
    <w:rsid w:val="00EC6CC9"/>
    <w:rsid w:val="00ED090F"/>
    <w:rsid w:val="00ED5DBC"/>
    <w:rsid w:val="00EE04FA"/>
    <w:rsid w:val="00EE16D4"/>
    <w:rsid w:val="00EE2C87"/>
    <w:rsid w:val="00EE61A2"/>
    <w:rsid w:val="00EF0925"/>
    <w:rsid w:val="00EF4086"/>
    <w:rsid w:val="00EF44D7"/>
    <w:rsid w:val="00F045B9"/>
    <w:rsid w:val="00F1518C"/>
    <w:rsid w:val="00F15F5C"/>
    <w:rsid w:val="00F17C20"/>
    <w:rsid w:val="00F23266"/>
    <w:rsid w:val="00F26660"/>
    <w:rsid w:val="00F3081C"/>
    <w:rsid w:val="00F41AD7"/>
    <w:rsid w:val="00F448EC"/>
    <w:rsid w:val="00F45C79"/>
    <w:rsid w:val="00F506EF"/>
    <w:rsid w:val="00F5140D"/>
    <w:rsid w:val="00F55BAD"/>
    <w:rsid w:val="00F565A3"/>
    <w:rsid w:val="00F600A5"/>
    <w:rsid w:val="00F600EA"/>
    <w:rsid w:val="00F63242"/>
    <w:rsid w:val="00F64334"/>
    <w:rsid w:val="00F7435C"/>
    <w:rsid w:val="00F8695E"/>
    <w:rsid w:val="00F9119D"/>
    <w:rsid w:val="00F973D7"/>
    <w:rsid w:val="00FA6EC4"/>
    <w:rsid w:val="00FB0CB7"/>
    <w:rsid w:val="00FB25C1"/>
    <w:rsid w:val="00FB6C38"/>
    <w:rsid w:val="00FC0478"/>
    <w:rsid w:val="00FC0BA1"/>
    <w:rsid w:val="00FC1E31"/>
    <w:rsid w:val="00FC2104"/>
    <w:rsid w:val="00FC2B0D"/>
    <w:rsid w:val="00FC3A87"/>
    <w:rsid w:val="00FC5C06"/>
    <w:rsid w:val="00FD505C"/>
    <w:rsid w:val="00FD5421"/>
    <w:rsid w:val="00FD7822"/>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81B8"/>
  <w15:chartTrackingRefBased/>
  <w15:docId w15:val="{BAFE8D87-EAE1-4E7F-B209-21706E54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0" w:unhideWhenUsed="1"/>
    <w:lsdException w:name="annotation text" w:semiHidden="1" w:uiPriority="0"/>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iPriority="0" w:unhideWhenUsed="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0AB"/>
    <w:pPr>
      <w:spacing w:after="240" w:line="240" w:lineRule="atLeast"/>
    </w:pPr>
    <w:rPr>
      <w:sz w:val="18"/>
      <w:szCs w:val="22"/>
      <w:lang w:val="en-US" w:eastAsia="en-US"/>
    </w:rPr>
  </w:style>
  <w:style w:type="paragraph" w:styleId="Nadpis1">
    <w:name w:val="heading 1"/>
    <w:basedOn w:val="Normln"/>
    <w:next w:val="Normln"/>
    <w:link w:val="Nadpis1Char"/>
    <w:qFormat/>
    <w:rsid w:val="007550AB"/>
    <w:pPr>
      <w:keepNext/>
      <w:keepLines/>
      <w:spacing w:after="0"/>
      <w:outlineLvl w:val="0"/>
    </w:pPr>
    <w:rPr>
      <w:rFonts w:eastAsia="MingLiU"/>
      <w:b/>
      <w:bCs/>
      <w:color w:val="62B5E5"/>
      <w:szCs w:val="28"/>
    </w:rPr>
  </w:style>
  <w:style w:type="paragraph" w:styleId="Nadpis2">
    <w:name w:val="heading 2"/>
    <w:basedOn w:val="Normln"/>
    <w:next w:val="Normln"/>
    <w:link w:val="Nadpis2Char"/>
    <w:qFormat/>
    <w:rsid w:val="007550AB"/>
    <w:pPr>
      <w:keepNext/>
      <w:keepLines/>
      <w:spacing w:after="0"/>
      <w:outlineLvl w:val="1"/>
    </w:pPr>
    <w:rPr>
      <w:rFonts w:eastAsia="MingLiU"/>
      <w:b/>
      <w:bCs/>
      <w:color w:val="000000"/>
      <w:szCs w:val="26"/>
    </w:rPr>
  </w:style>
  <w:style w:type="paragraph" w:styleId="Nadpis3">
    <w:name w:val="heading 3"/>
    <w:basedOn w:val="Normln"/>
    <w:next w:val="Normln"/>
    <w:link w:val="Nadpis3Char"/>
    <w:qFormat/>
    <w:rsid w:val="00CC2A1A"/>
    <w:pPr>
      <w:keepNext/>
      <w:keepLines/>
      <w:spacing w:after="0"/>
      <w:outlineLvl w:val="2"/>
    </w:pPr>
    <w:rPr>
      <w:rFonts w:eastAsia="MingLiU"/>
      <w:b/>
      <w:bCs/>
      <w:color w:val="75787B"/>
    </w:rPr>
  </w:style>
  <w:style w:type="paragraph" w:styleId="Nadpis4">
    <w:name w:val="heading 4"/>
    <w:basedOn w:val="Normln"/>
    <w:next w:val="Normln"/>
    <w:link w:val="Nadpis4Char"/>
    <w:qFormat/>
    <w:rsid w:val="00255D53"/>
    <w:pPr>
      <w:keepNext/>
      <w:keepLines/>
      <w:tabs>
        <w:tab w:val="left" w:pos="340"/>
      </w:tabs>
      <w:spacing w:after="0"/>
      <w:outlineLvl w:val="3"/>
    </w:pPr>
    <w:rPr>
      <w:rFonts w:eastAsia="MingLiU"/>
      <w:b/>
      <w:bCs/>
      <w:iCs/>
      <w:color w:val="000000"/>
    </w:rPr>
  </w:style>
  <w:style w:type="paragraph" w:styleId="Nadpis5">
    <w:name w:val="heading 5"/>
    <w:basedOn w:val="Normln"/>
    <w:next w:val="Normln"/>
    <w:link w:val="Nadpis5Char"/>
    <w:unhideWhenUsed/>
    <w:qFormat/>
    <w:rsid w:val="00B7025F"/>
    <w:pPr>
      <w:keepNext/>
      <w:keepLines/>
      <w:spacing w:before="240" w:line="240" w:lineRule="auto"/>
      <w:ind w:left="1008" w:hanging="1008"/>
      <w:outlineLvl w:val="4"/>
    </w:pPr>
    <w:rPr>
      <w:rFonts w:ascii="Arial" w:eastAsiaTheme="majorEastAsia" w:hAnsi="Arial" w:cstheme="majorBidi"/>
      <w:b/>
      <w:i/>
      <w:color w:val="425D12" w:themeColor="accent1" w:themeShade="7F"/>
      <w:sz w:val="24"/>
      <w:szCs w:val="24"/>
    </w:rPr>
  </w:style>
  <w:style w:type="paragraph" w:styleId="Nadpis6">
    <w:name w:val="heading 6"/>
    <w:basedOn w:val="Normln"/>
    <w:next w:val="Normln"/>
    <w:link w:val="Nadpis6Char"/>
    <w:unhideWhenUsed/>
    <w:qFormat/>
    <w:rsid w:val="00B7025F"/>
    <w:pPr>
      <w:keepNext/>
      <w:keepLines/>
      <w:spacing w:before="240" w:line="240" w:lineRule="auto"/>
      <w:ind w:left="1152" w:hanging="1152"/>
      <w:outlineLvl w:val="5"/>
    </w:pPr>
    <w:rPr>
      <w:rFonts w:ascii="Arial" w:eastAsiaTheme="majorEastAsia" w:hAnsi="Arial" w:cstheme="majorBidi"/>
      <w:i/>
      <w:iCs/>
      <w:color w:val="425D12" w:themeColor="accent1" w:themeShade="7F"/>
      <w:sz w:val="24"/>
      <w:szCs w:val="24"/>
    </w:rPr>
  </w:style>
  <w:style w:type="paragraph" w:styleId="Nadpis7">
    <w:name w:val="heading 7"/>
    <w:basedOn w:val="Normln"/>
    <w:next w:val="Normln"/>
    <w:link w:val="Nadpis7Char"/>
    <w:unhideWhenUsed/>
    <w:qFormat/>
    <w:rsid w:val="00B7025F"/>
    <w:pPr>
      <w:keepNext/>
      <w:keepLines/>
      <w:spacing w:before="240" w:line="240" w:lineRule="auto"/>
      <w:ind w:left="1296" w:hanging="1296"/>
      <w:outlineLvl w:val="6"/>
    </w:pPr>
    <w:rPr>
      <w:rFonts w:ascii="Arial" w:eastAsiaTheme="majorEastAsia" w:hAnsi="Arial" w:cstheme="majorBidi"/>
      <w:i/>
      <w:iCs/>
      <w:color w:val="404040" w:themeColor="text1" w:themeTint="BF"/>
      <w:sz w:val="22"/>
      <w:szCs w:val="24"/>
    </w:rPr>
  </w:style>
  <w:style w:type="paragraph" w:styleId="Nadpis8">
    <w:name w:val="heading 8"/>
    <w:aliases w:val="(Appendici)"/>
    <w:basedOn w:val="Normln"/>
    <w:next w:val="Normln"/>
    <w:link w:val="Nadpis8Char"/>
    <w:unhideWhenUsed/>
    <w:qFormat/>
    <w:rsid w:val="00B7025F"/>
    <w:pPr>
      <w:keepNext/>
      <w:keepLines/>
      <w:spacing w:before="240" w:line="240" w:lineRule="auto"/>
      <w:ind w:left="1440" w:hanging="1440"/>
      <w:outlineLvl w:val="7"/>
    </w:pPr>
    <w:rPr>
      <w:rFonts w:ascii="Arial" w:eastAsiaTheme="majorEastAsia" w:hAnsi="Arial" w:cstheme="majorBidi"/>
      <w:i/>
      <w:color w:val="404040" w:themeColor="text1" w:themeTint="BF"/>
      <w:sz w:val="20"/>
      <w:szCs w:val="20"/>
    </w:rPr>
  </w:style>
  <w:style w:type="paragraph" w:styleId="Nadpis9">
    <w:name w:val="heading 9"/>
    <w:aliases w:val="(Bibliografia)"/>
    <w:basedOn w:val="Normln"/>
    <w:next w:val="Normln"/>
    <w:link w:val="Nadpis9Char"/>
    <w:unhideWhenUsed/>
    <w:qFormat/>
    <w:rsid w:val="00B7025F"/>
    <w:pPr>
      <w:keepNext/>
      <w:keepLines/>
      <w:spacing w:before="240" w:line="240" w:lineRule="auto"/>
      <w:ind w:left="1584" w:hanging="1584"/>
      <w:outlineLvl w:val="8"/>
    </w:pPr>
    <w:rPr>
      <w:rFonts w:ascii="Arial" w:eastAsiaTheme="majorEastAsia" w:hAnsi="Arial"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550AB"/>
    <w:rPr>
      <w:rFonts w:ascii="Verdana" w:eastAsia="MingLiU" w:hAnsi="Verdana" w:cs="Times New Roman"/>
      <w:b/>
      <w:bCs/>
      <w:color w:val="62B5E5"/>
      <w:sz w:val="18"/>
      <w:szCs w:val="28"/>
      <w:lang w:val="en-US"/>
    </w:rPr>
  </w:style>
  <w:style w:type="character" w:customStyle="1" w:styleId="Nadpis2Char">
    <w:name w:val="Nadpis 2 Char"/>
    <w:link w:val="Nadpis2"/>
    <w:uiPriority w:val="9"/>
    <w:rsid w:val="007550AB"/>
    <w:rPr>
      <w:rFonts w:ascii="Verdana" w:eastAsia="MingLiU" w:hAnsi="Verdana" w:cs="Times New Roman"/>
      <w:b/>
      <w:bCs/>
      <w:color w:val="000000"/>
      <w:sz w:val="18"/>
      <w:szCs w:val="26"/>
      <w:lang w:val="en-US"/>
    </w:rPr>
  </w:style>
  <w:style w:type="table" w:styleId="Mkatabulky">
    <w:name w:val="Table Grid"/>
    <w:aliases w:val="Deloitte table 3"/>
    <w:basedOn w:val="Normlntabulka"/>
    <w:rsid w:val="001E016B"/>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Zhlav">
    <w:name w:val="header"/>
    <w:link w:val="ZhlavChar"/>
    <w:uiPriority w:val="99"/>
    <w:rsid w:val="008631CE"/>
    <w:pPr>
      <w:tabs>
        <w:tab w:val="center" w:pos="4513"/>
        <w:tab w:val="right" w:pos="9026"/>
      </w:tabs>
    </w:pPr>
    <w:rPr>
      <w:b/>
      <w:sz w:val="14"/>
      <w:szCs w:val="22"/>
      <w:lang w:val="en-US" w:eastAsia="en-US"/>
    </w:rPr>
  </w:style>
  <w:style w:type="character" w:customStyle="1" w:styleId="ZhlavChar">
    <w:name w:val="Záhlaví Char"/>
    <w:link w:val="Zhlav"/>
    <w:uiPriority w:val="99"/>
    <w:rsid w:val="008631CE"/>
    <w:rPr>
      <w:b/>
      <w:sz w:val="14"/>
      <w:lang w:val="en-US"/>
    </w:rPr>
  </w:style>
  <w:style w:type="paragraph" w:styleId="Zpat">
    <w:name w:val="footer"/>
    <w:basedOn w:val="Normln"/>
    <w:link w:val="ZpatChar"/>
    <w:uiPriority w:val="99"/>
    <w:rsid w:val="001975EF"/>
    <w:pPr>
      <w:tabs>
        <w:tab w:val="right" w:pos="7371"/>
      </w:tabs>
      <w:spacing w:after="0" w:line="200" w:lineRule="atLeast"/>
    </w:pPr>
    <w:rPr>
      <w:sz w:val="16"/>
    </w:rPr>
  </w:style>
  <w:style w:type="character" w:customStyle="1" w:styleId="ZpatChar">
    <w:name w:val="Zápatí Char"/>
    <w:link w:val="Zpat"/>
    <w:uiPriority w:val="99"/>
    <w:rsid w:val="007550AB"/>
    <w:rPr>
      <w:sz w:val="16"/>
      <w:lang w:val="en-US"/>
    </w:rPr>
  </w:style>
  <w:style w:type="paragraph" w:styleId="Textbubliny">
    <w:name w:val="Balloon Text"/>
    <w:basedOn w:val="Normln"/>
    <w:link w:val="TextbublinyChar"/>
    <w:semiHidden/>
    <w:rsid w:val="00C702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702C7"/>
    <w:rPr>
      <w:rFonts w:ascii="Tahoma" w:hAnsi="Tahoma" w:cs="Tahoma"/>
      <w:sz w:val="16"/>
      <w:szCs w:val="16"/>
    </w:rPr>
  </w:style>
  <w:style w:type="paragraph" w:customStyle="1" w:styleId="Subject">
    <w:name w:val="Subject"/>
    <w:basedOn w:val="Normln"/>
    <w:semiHidden/>
    <w:qFormat/>
    <w:rsid w:val="00A43B3E"/>
    <w:rPr>
      <w:b/>
    </w:rPr>
  </w:style>
  <w:style w:type="character" w:styleId="Zstupntext">
    <w:name w:val="Placeholder Text"/>
    <w:uiPriority w:val="99"/>
    <w:semiHidden/>
    <w:rsid w:val="001975EF"/>
    <w:rPr>
      <w:color w:val="808080"/>
    </w:rPr>
  </w:style>
  <w:style w:type="paragraph" w:styleId="Seznamsodrkami">
    <w:name w:val="List Bullet"/>
    <w:basedOn w:val="Normln"/>
    <w:uiPriority w:val="99"/>
    <w:qFormat/>
    <w:rsid w:val="00544D24"/>
    <w:pPr>
      <w:numPr>
        <w:numId w:val="1"/>
      </w:numPr>
      <w:tabs>
        <w:tab w:val="clear" w:pos="360"/>
      </w:tabs>
      <w:spacing w:after="0"/>
      <w:ind w:left="284" w:hanging="284"/>
      <w:contextualSpacing/>
    </w:pPr>
  </w:style>
  <w:style w:type="paragraph" w:styleId="Seznamsodrkami2">
    <w:name w:val="List Bullet 2"/>
    <w:basedOn w:val="Normln"/>
    <w:uiPriority w:val="99"/>
    <w:qFormat/>
    <w:rsid w:val="002B4D02"/>
    <w:pPr>
      <w:numPr>
        <w:numId w:val="2"/>
      </w:numPr>
      <w:ind w:left="568" w:hanging="284"/>
      <w:contextualSpacing/>
    </w:pPr>
  </w:style>
  <w:style w:type="paragraph" w:styleId="slovanseznam">
    <w:name w:val="List Number"/>
    <w:basedOn w:val="Normln"/>
    <w:uiPriority w:val="99"/>
    <w:qFormat/>
    <w:rsid w:val="00544D24"/>
    <w:pPr>
      <w:numPr>
        <w:numId w:val="3"/>
      </w:numPr>
      <w:tabs>
        <w:tab w:val="clear" w:pos="360"/>
      </w:tabs>
      <w:spacing w:after="0"/>
      <w:ind w:left="284" w:hanging="284"/>
      <w:contextualSpacing/>
    </w:pPr>
  </w:style>
  <w:style w:type="paragraph" w:styleId="slovanseznam2">
    <w:name w:val="List Number 2"/>
    <w:basedOn w:val="Normln"/>
    <w:uiPriority w:val="99"/>
    <w:qFormat/>
    <w:rsid w:val="00D35C72"/>
    <w:pPr>
      <w:numPr>
        <w:numId w:val="4"/>
      </w:numPr>
      <w:ind w:left="568" w:hanging="284"/>
      <w:contextualSpacing/>
    </w:pPr>
  </w:style>
  <w:style w:type="character" w:customStyle="1" w:styleId="Nadpis3Char">
    <w:name w:val="Nadpis 3 Char"/>
    <w:link w:val="Nadpis3"/>
    <w:uiPriority w:val="9"/>
    <w:rsid w:val="00CC2A1A"/>
    <w:rPr>
      <w:rFonts w:ascii="Verdana" w:eastAsia="MingLiU" w:hAnsi="Verdana" w:cs="Times New Roman"/>
      <w:b/>
      <w:bCs/>
      <w:color w:val="75787B"/>
      <w:sz w:val="18"/>
      <w:lang w:val="en-US"/>
    </w:rPr>
  </w:style>
  <w:style w:type="character" w:customStyle="1" w:styleId="Nadpis4Char">
    <w:name w:val="Nadpis 4 Char"/>
    <w:link w:val="Nadpis4"/>
    <w:rsid w:val="007550AB"/>
    <w:rPr>
      <w:rFonts w:ascii="Verdana" w:eastAsia="MingLiU" w:hAnsi="Verdana" w:cs="Times New Roman"/>
      <w:b/>
      <w:bCs/>
      <w:iCs/>
      <w:color w:val="000000"/>
      <w:sz w:val="18"/>
      <w:lang w:val="en-US"/>
    </w:rPr>
  </w:style>
  <w:style w:type="paragraph" w:styleId="Textpoznpodarou">
    <w:name w:val="footnote text"/>
    <w:basedOn w:val="Normln"/>
    <w:link w:val="TextpoznpodarouChar"/>
    <w:rsid w:val="00F3081C"/>
    <w:pPr>
      <w:spacing w:after="0" w:line="240" w:lineRule="auto"/>
    </w:pPr>
    <w:rPr>
      <w:sz w:val="16"/>
      <w:szCs w:val="20"/>
    </w:rPr>
  </w:style>
  <w:style w:type="character" w:customStyle="1" w:styleId="TextpoznpodarouChar">
    <w:name w:val="Text pozn. pod čarou Char"/>
    <w:link w:val="Textpoznpodarou"/>
    <w:rsid w:val="007550AB"/>
    <w:rPr>
      <w:sz w:val="16"/>
      <w:szCs w:val="20"/>
      <w:lang w:val="en-US"/>
    </w:rPr>
  </w:style>
  <w:style w:type="paragraph" w:customStyle="1" w:styleId="Documenttitle">
    <w:name w:val="Document title"/>
    <w:next w:val="Documentsubtitle"/>
    <w:qFormat/>
    <w:rsid w:val="00A7281A"/>
    <w:pPr>
      <w:spacing w:line="440" w:lineRule="atLeast"/>
    </w:pPr>
    <w:rPr>
      <w:rFonts w:eastAsia="MingLiU"/>
      <w:b/>
      <w:bCs/>
      <w:color w:val="000000"/>
      <w:sz w:val="36"/>
      <w:szCs w:val="28"/>
      <w:lang w:val="en-GB" w:eastAsia="en-US"/>
    </w:rPr>
  </w:style>
  <w:style w:type="paragraph" w:customStyle="1" w:styleId="Subheading">
    <w:name w:val="Subheading"/>
    <w:basedOn w:val="Normln"/>
    <w:next w:val="Normln"/>
    <w:semiHidden/>
    <w:qFormat/>
    <w:rsid w:val="00D236E8"/>
    <w:pPr>
      <w:spacing w:after="0"/>
    </w:pPr>
    <w:rPr>
      <w:rFonts w:eastAsia="MingLiU"/>
      <w:b/>
      <w:bCs/>
      <w:iCs/>
      <w:color w:val="000000"/>
    </w:rPr>
  </w:style>
  <w:style w:type="character" w:styleId="Znakapoznpodarou">
    <w:name w:val="footnote reference"/>
    <w:rsid w:val="00412EA0"/>
    <w:rPr>
      <w:vertAlign w:val="superscript"/>
    </w:rPr>
  </w:style>
  <w:style w:type="paragraph" w:customStyle="1" w:styleId="Sectionintro">
    <w:name w:val="Section intro"/>
    <w:basedOn w:val="Normln"/>
    <w:next w:val="Normln"/>
    <w:qFormat/>
    <w:rsid w:val="00212852"/>
    <w:pPr>
      <w:spacing w:line="360" w:lineRule="atLeast"/>
    </w:pPr>
    <w:rPr>
      <w:sz w:val="28"/>
    </w:rPr>
  </w:style>
  <w:style w:type="paragraph" w:customStyle="1" w:styleId="Documentdate">
    <w:name w:val="Document date"/>
    <w:qFormat/>
    <w:rsid w:val="007550AB"/>
    <w:pPr>
      <w:spacing w:line="240" w:lineRule="atLeast"/>
    </w:pPr>
    <w:rPr>
      <w:sz w:val="18"/>
      <w:szCs w:val="22"/>
      <w:lang w:val="en-US" w:eastAsia="en-US"/>
    </w:rPr>
  </w:style>
  <w:style w:type="paragraph" w:customStyle="1" w:styleId="Sectiontitle">
    <w:name w:val="Section title"/>
    <w:basedOn w:val="Normln"/>
    <w:next w:val="Normln"/>
    <w:qFormat/>
    <w:rsid w:val="00EE61A2"/>
    <w:pPr>
      <w:spacing w:after="480" w:line="720" w:lineRule="atLeast"/>
    </w:pPr>
    <w:rPr>
      <w:sz w:val="60"/>
    </w:rPr>
  </w:style>
  <w:style w:type="paragraph" w:customStyle="1" w:styleId="PulloutBlue">
    <w:name w:val="Pullout Blue"/>
    <w:basedOn w:val="Normln"/>
    <w:next w:val="Normln"/>
    <w:qFormat/>
    <w:rsid w:val="00DD5A1B"/>
    <w:pPr>
      <w:spacing w:line="360" w:lineRule="atLeast"/>
    </w:pPr>
    <w:rPr>
      <w:color w:val="62B5E5"/>
      <w:sz w:val="28"/>
    </w:rPr>
  </w:style>
  <w:style w:type="paragraph" w:customStyle="1" w:styleId="Contacttext">
    <w:name w:val="Contact text"/>
    <w:basedOn w:val="Normln"/>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Titulek">
    <w:name w:val="caption"/>
    <w:basedOn w:val="Normln"/>
    <w:next w:val="Normln"/>
    <w:uiPriority w:val="35"/>
    <w:qFormat/>
    <w:rsid w:val="00B46969"/>
    <w:pPr>
      <w:keepNext/>
      <w:spacing w:line="240" w:lineRule="auto"/>
    </w:pPr>
    <w:rPr>
      <w:iCs/>
      <w:color w:val="75787B"/>
      <w:sz w:val="17"/>
      <w:szCs w:val="18"/>
    </w:rPr>
  </w:style>
  <w:style w:type="character" w:styleId="Hypertextovodkaz">
    <w:name w:val="Hyperlink"/>
    <w:unhideWhenUsed/>
    <w:rsid w:val="00E94C20"/>
    <w:rPr>
      <w:color w:val="00A3E0"/>
      <w:u w:val="single"/>
    </w:rPr>
  </w:style>
  <w:style w:type="paragraph" w:customStyle="1" w:styleId="PulloutGreen">
    <w:name w:val="Pullout Green"/>
    <w:basedOn w:val="PulloutBlue"/>
    <w:next w:val="Normln"/>
    <w:qFormat/>
    <w:rsid w:val="00822995"/>
    <w:rPr>
      <w:color w:val="86BC25"/>
    </w:rPr>
  </w:style>
  <w:style w:type="paragraph" w:customStyle="1" w:styleId="QuotesourceBlue">
    <w:name w:val="Quote source Blue"/>
    <w:basedOn w:val="Normln"/>
    <w:next w:val="Normln"/>
    <w:qFormat/>
    <w:rsid w:val="000516C4"/>
    <w:pPr>
      <w:spacing w:line="200" w:lineRule="atLeast"/>
      <w:contextualSpacing/>
    </w:pPr>
    <w:rPr>
      <w:b/>
      <w:color w:val="62B5E5"/>
      <w:sz w:val="17"/>
    </w:rPr>
  </w:style>
  <w:style w:type="paragraph" w:customStyle="1" w:styleId="QuotesourceGreen">
    <w:name w:val="Quote source Green"/>
    <w:basedOn w:val="QuotesourceBlue"/>
    <w:next w:val="Normln"/>
    <w:qFormat/>
    <w:rsid w:val="000516C4"/>
    <w:rPr>
      <w:color w:val="86BC25"/>
    </w:rPr>
  </w:style>
  <w:style w:type="paragraph" w:customStyle="1" w:styleId="Paneltext">
    <w:name w:val="Panel text"/>
    <w:basedOn w:val="Normln"/>
    <w:qFormat/>
    <w:rsid w:val="00AE0FC7"/>
    <w:rPr>
      <w:color w:val="FFFFFF"/>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Documentsubtitle">
    <w:name w:val="Document subtitle"/>
    <w:basedOn w:val="Normln"/>
    <w:qFormat/>
    <w:rsid w:val="006528C9"/>
    <w:pPr>
      <w:spacing w:after="120" w:line="440" w:lineRule="atLeast"/>
    </w:pPr>
    <w:rPr>
      <w:sz w:val="36"/>
    </w:rPr>
  </w:style>
  <w:style w:type="paragraph" w:customStyle="1" w:styleId="Contentstitle">
    <w:name w:val="Contents title"/>
    <w:basedOn w:val="Sectiontitle"/>
    <w:next w:val="Normln"/>
    <w:qFormat/>
    <w:rsid w:val="00244010"/>
  </w:style>
  <w:style w:type="paragraph" w:styleId="Obsah1">
    <w:name w:val="toc 1"/>
    <w:basedOn w:val="Normln"/>
    <w:next w:val="Normln"/>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sz w:val="60"/>
    </w:rPr>
  </w:style>
  <w:style w:type="paragraph" w:customStyle="1" w:styleId="Legaltext">
    <w:name w:val="Legal text"/>
    <w:basedOn w:val="Normln"/>
    <w:qFormat/>
    <w:rsid w:val="00BF6F8B"/>
    <w:pPr>
      <w:spacing w:after="0" w:line="180" w:lineRule="atLeast"/>
      <w:ind w:right="5387"/>
    </w:pPr>
    <w:rPr>
      <w:sz w:val="14"/>
    </w:rPr>
  </w:style>
  <w:style w:type="table" w:customStyle="1" w:styleId="Deloittetable">
    <w:name w:val="Deloitte table"/>
    <w:basedOn w:val="Normlntabulka"/>
    <w:uiPriority w:val="99"/>
    <w:rsid w:val="00367B44"/>
    <w:rPr>
      <w:sz w:val="17"/>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rPr>
        <w:rFonts w:ascii="Verdana" w:hAnsi="Verdana"/>
        <w:b/>
        <w:color w:val="62B5E5"/>
        <w:sz w:val="17"/>
      </w:rPr>
      <w:tblPr/>
      <w:tcPr>
        <w:tcBorders>
          <w:top w:val="single" w:sz="24" w:space="0" w:color="62B5E5"/>
        </w:tcBorders>
      </w:tcPr>
    </w:tblStylePr>
  </w:style>
  <w:style w:type="paragraph" w:customStyle="1" w:styleId="Tabletext">
    <w:name w:val="Table text"/>
    <w:basedOn w:val="Normln"/>
    <w:qFormat/>
    <w:rsid w:val="004D1F57"/>
    <w:pPr>
      <w:spacing w:after="0" w:line="200" w:lineRule="atLeast"/>
    </w:pPr>
    <w:rPr>
      <w:sz w:val="17"/>
    </w:rPr>
  </w:style>
  <w:style w:type="paragraph" w:customStyle="1" w:styleId="Tabletitle">
    <w:name w:val="Table title"/>
    <w:basedOn w:val="Tabletext"/>
    <w:qFormat/>
    <w:rsid w:val="004D1F57"/>
    <w:rPr>
      <w:b/>
      <w:color w:val="62B5E5"/>
    </w:rPr>
  </w:style>
  <w:style w:type="paragraph" w:customStyle="1" w:styleId="SourcetextTableorChart">
    <w:name w:val="Source text Table or Chart"/>
    <w:basedOn w:val="Titulek"/>
    <w:next w:val="Normln"/>
    <w:qFormat/>
    <w:rsid w:val="003B3379"/>
    <w:pPr>
      <w:spacing w:before="120"/>
    </w:pPr>
    <w:rPr>
      <w:sz w:val="14"/>
    </w:rPr>
  </w:style>
  <w:style w:type="paragraph" w:customStyle="1" w:styleId="Tablebullets">
    <w:name w:val="Table bullets"/>
    <w:basedOn w:val="Tabletext"/>
    <w:qFormat/>
    <w:rsid w:val="00AD6475"/>
    <w:pPr>
      <w:numPr>
        <w:numId w:val="5"/>
      </w:numPr>
      <w:ind w:left="284" w:hanging="284"/>
    </w:pPr>
  </w:style>
  <w:style w:type="paragraph" w:customStyle="1" w:styleId="Tablenumbered">
    <w:name w:val="Table numbered"/>
    <w:basedOn w:val="Tablebullets"/>
    <w:qFormat/>
    <w:rsid w:val="00AD6475"/>
    <w:pPr>
      <w:numPr>
        <w:numId w:val="6"/>
      </w:numPr>
      <w:ind w:left="284" w:hanging="284"/>
    </w:pPr>
  </w:style>
  <w:style w:type="paragraph" w:customStyle="1" w:styleId="Charttitle">
    <w:name w:val="Chart title"/>
    <w:basedOn w:val="Nadpis2"/>
    <w:qFormat/>
    <w:rsid w:val="00B66FC9"/>
  </w:style>
  <w:style w:type="paragraph" w:customStyle="1" w:styleId="Smlouvaheading1">
    <w:name w:val="Smlouva heading 1"/>
    <w:basedOn w:val="Normln"/>
    <w:link w:val="Smlouvaheading1Char"/>
    <w:qFormat/>
    <w:rsid w:val="00277DBB"/>
    <w:pPr>
      <w:numPr>
        <w:numId w:val="7"/>
      </w:numPr>
      <w:spacing w:before="240" w:after="120"/>
      <w:jc w:val="both"/>
    </w:pPr>
    <w:rPr>
      <w:b/>
    </w:rPr>
  </w:style>
  <w:style w:type="character" w:customStyle="1" w:styleId="Smlouvaheading1Char">
    <w:name w:val="Smlouva heading 1 Char"/>
    <w:link w:val="Smlouvaheading1"/>
    <w:rsid w:val="00277DBB"/>
    <w:rPr>
      <w:b/>
      <w:sz w:val="18"/>
      <w:szCs w:val="22"/>
      <w:lang w:val="en-US" w:eastAsia="en-US"/>
    </w:rPr>
  </w:style>
  <w:style w:type="paragraph" w:customStyle="1" w:styleId="Smlouvaheading2">
    <w:name w:val="Smlouva heading 2"/>
    <w:link w:val="Smlouvaheading2Char"/>
    <w:qFormat/>
    <w:rsid w:val="00B204BA"/>
    <w:pPr>
      <w:numPr>
        <w:ilvl w:val="1"/>
        <w:numId w:val="7"/>
      </w:numPr>
      <w:spacing w:before="120" w:after="120" w:line="240" w:lineRule="atLeast"/>
      <w:jc w:val="both"/>
    </w:pPr>
    <w:rPr>
      <w:sz w:val="18"/>
      <w:szCs w:val="22"/>
      <w:lang w:val="en-US" w:eastAsia="en-US"/>
    </w:rPr>
  </w:style>
  <w:style w:type="character" w:customStyle="1" w:styleId="Smlouvaheading2Char">
    <w:name w:val="Smlouva heading 2 Char"/>
    <w:link w:val="Smlouvaheading2"/>
    <w:rsid w:val="00B204BA"/>
    <w:rPr>
      <w:sz w:val="18"/>
      <w:szCs w:val="22"/>
      <w:lang w:val="en-US" w:eastAsia="en-US"/>
    </w:rPr>
  </w:style>
  <w:style w:type="paragraph" w:customStyle="1" w:styleId="Smlouvaheading3">
    <w:name w:val="Smlouva heading 3"/>
    <w:qFormat/>
    <w:rsid w:val="00B204BA"/>
    <w:pPr>
      <w:numPr>
        <w:ilvl w:val="2"/>
        <w:numId w:val="7"/>
      </w:numPr>
      <w:spacing w:after="120" w:line="240" w:lineRule="atLeast"/>
      <w:ind w:left="1049" w:hanging="624"/>
      <w:jc w:val="both"/>
    </w:pPr>
    <w:rPr>
      <w:sz w:val="18"/>
      <w:szCs w:val="22"/>
      <w:lang w:val="en-US" w:eastAsia="en-US"/>
    </w:rPr>
  </w:style>
  <w:style w:type="paragraph" w:customStyle="1" w:styleId="Smlouvaheading4">
    <w:name w:val="Smlouva heading 4"/>
    <w:qFormat/>
    <w:rsid w:val="000445D6"/>
    <w:pPr>
      <w:numPr>
        <w:ilvl w:val="3"/>
        <w:numId w:val="7"/>
      </w:numPr>
      <w:spacing w:after="120" w:line="240" w:lineRule="atLeast"/>
      <w:ind w:left="1843"/>
      <w:jc w:val="both"/>
    </w:pPr>
    <w:rPr>
      <w:sz w:val="18"/>
      <w:szCs w:val="22"/>
      <w:lang w:val="en-US" w:eastAsia="en-US"/>
    </w:rPr>
  </w:style>
  <w:style w:type="character" w:customStyle="1" w:styleId="Nadpis5Char">
    <w:name w:val="Nadpis 5 Char"/>
    <w:basedOn w:val="Standardnpsmoodstavce"/>
    <w:link w:val="Nadpis5"/>
    <w:rsid w:val="00B7025F"/>
    <w:rPr>
      <w:rFonts w:ascii="Arial" w:eastAsiaTheme="majorEastAsia" w:hAnsi="Arial" w:cstheme="majorBidi"/>
      <w:b/>
      <w:i/>
      <w:color w:val="425D12" w:themeColor="accent1" w:themeShade="7F"/>
      <w:sz w:val="24"/>
      <w:szCs w:val="24"/>
      <w:lang w:val="en-US" w:eastAsia="en-US"/>
    </w:rPr>
  </w:style>
  <w:style w:type="character" w:customStyle="1" w:styleId="Nadpis6Char">
    <w:name w:val="Nadpis 6 Char"/>
    <w:basedOn w:val="Standardnpsmoodstavce"/>
    <w:link w:val="Nadpis6"/>
    <w:rsid w:val="00B7025F"/>
    <w:rPr>
      <w:rFonts w:ascii="Arial" w:eastAsiaTheme="majorEastAsia" w:hAnsi="Arial" w:cstheme="majorBidi"/>
      <w:i/>
      <w:iCs/>
      <w:color w:val="425D12" w:themeColor="accent1" w:themeShade="7F"/>
      <w:sz w:val="24"/>
      <w:szCs w:val="24"/>
      <w:lang w:val="en-US" w:eastAsia="en-US"/>
    </w:rPr>
  </w:style>
  <w:style w:type="character" w:customStyle="1" w:styleId="Nadpis7Char">
    <w:name w:val="Nadpis 7 Char"/>
    <w:basedOn w:val="Standardnpsmoodstavce"/>
    <w:link w:val="Nadpis7"/>
    <w:rsid w:val="00B7025F"/>
    <w:rPr>
      <w:rFonts w:ascii="Arial" w:eastAsiaTheme="majorEastAsia" w:hAnsi="Arial" w:cstheme="majorBidi"/>
      <w:i/>
      <w:iCs/>
      <w:color w:val="404040" w:themeColor="text1" w:themeTint="BF"/>
      <w:sz w:val="22"/>
      <w:szCs w:val="24"/>
      <w:lang w:val="en-US" w:eastAsia="en-US"/>
    </w:rPr>
  </w:style>
  <w:style w:type="character" w:customStyle="1" w:styleId="Nadpis8Char">
    <w:name w:val="Nadpis 8 Char"/>
    <w:aliases w:val="(Appendici) Char"/>
    <w:basedOn w:val="Standardnpsmoodstavce"/>
    <w:link w:val="Nadpis8"/>
    <w:rsid w:val="00B7025F"/>
    <w:rPr>
      <w:rFonts w:ascii="Arial" w:eastAsiaTheme="majorEastAsia" w:hAnsi="Arial" w:cstheme="majorBidi"/>
      <w:i/>
      <w:color w:val="404040" w:themeColor="text1" w:themeTint="BF"/>
      <w:lang w:val="en-US" w:eastAsia="en-US"/>
    </w:rPr>
  </w:style>
  <w:style w:type="character" w:customStyle="1" w:styleId="Nadpis9Char">
    <w:name w:val="Nadpis 9 Char"/>
    <w:aliases w:val="(Bibliografia) Char"/>
    <w:basedOn w:val="Standardnpsmoodstavce"/>
    <w:link w:val="Nadpis9"/>
    <w:rsid w:val="00B7025F"/>
    <w:rPr>
      <w:rFonts w:ascii="Arial" w:eastAsiaTheme="majorEastAsia" w:hAnsi="Arial" w:cstheme="majorBidi"/>
      <w:i/>
      <w:iCs/>
      <w:color w:val="404040" w:themeColor="text1" w:themeTint="BF"/>
      <w:sz w:val="18"/>
      <w:lang w:val="en-US" w:eastAsia="en-US"/>
    </w:rPr>
  </w:style>
  <w:style w:type="character" w:styleId="slostrnky">
    <w:name w:val="page number"/>
    <w:basedOn w:val="Standardnpsmoodstavce"/>
    <w:rsid w:val="00B7025F"/>
    <w:rPr>
      <w:rFonts w:ascii="Arial" w:hAnsi="Arial"/>
      <w:sz w:val="16"/>
    </w:rPr>
  </w:style>
  <w:style w:type="paragraph" w:styleId="Obsah2">
    <w:name w:val="toc 2"/>
    <w:basedOn w:val="Normln"/>
    <w:next w:val="Normln"/>
    <w:autoRedefine/>
    <w:uiPriority w:val="39"/>
    <w:rsid w:val="00B7025F"/>
    <w:pPr>
      <w:keepLines/>
      <w:tabs>
        <w:tab w:val="left" w:pos="851"/>
      </w:tabs>
      <w:spacing w:before="120" w:line="240" w:lineRule="auto"/>
      <w:ind w:left="238"/>
      <w:jc w:val="both"/>
    </w:pPr>
    <w:rPr>
      <w:rFonts w:ascii="Arial" w:eastAsia="Times New Roman" w:hAnsi="Arial"/>
      <w:sz w:val="24"/>
      <w:szCs w:val="18"/>
      <w:lang w:val="cs-CZ"/>
    </w:rPr>
  </w:style>
  <w:style w:type="paragraph" w:styleId="Obsah3">
    <w:name w:val="toc 3"/>
    <w:basedOn w:val="Normln"/>
    <w:next w:val="Normln"/>
    <w:autoRedefine/>
    <w:uiPriority w:val="39"/>
    <w:rsid w:val="00B7025F"/>
    <w:pPr>
      <w:keepLines/>
      <w:tabs>
        <w:tab w:val="left" w:pos="851"/>
      </w:tabs>
      <w:spacing w:before="120" w:line="240" w:lineRule="auto"/>
      <w:ind w:left="482"/>
      <w:jc w:val="both"/>
    </w:pPr>
    <w:rPr>
      <w:rFonts w:ascii="Arial" w:eastAsia="Times New Roman" w:hAnsi="Arial"/>
      <w:sz w:val="24"/>
      <w:szCs w:val="18"/>
      <w:lang w:val="cs-CZ"/>
    </w:rPr>
  </w:style>
  <w:style w:type="paragraph" w:customStyle="1" w:styleId="Legalentity">
    <w:name w:val="Legal entity"/>
    <w:basedOn w:val="Normln"/>
    <w:rsid w:val="00B7025F"/>
    <w:pPr>
      <w:keepLines/>
      <w:widowControl w:val="0"/>
      <w:tabs>
        <w:tab w:val="left" w:pos="851"/>
      </w:tabs>
      <w:suppressAutoHyphens/>
      <w:autoSpaceDE w:val="0"/>
      <w:autoSpaceDN w:val="0"/>
      <w:adjustRightInd w:val="0"/>
      <w:spacing w:before="120" w:after="90" w:line="180" w:lineRule="atLeast"/>
      <w:jc w:val="both"/>
      <w:textAlignment w:val="center"/>
    </w:pPr>
    <w:rPr>
      <w:rFonts w:ascii="Arial" w:eastAsia="Times New Roman" w:hAnsi="Arial"/>
      <w:color w:val="000000"/>
      <w:sz w:val="16"/>
      <w:szCs w:val="20"/>
      <w:lang w:val="en-GB" w:eastAsia="en-GB"/>
    </w:rPr>
  </w:style>
  <w:style w:type="paragraph" w:customStyle="1" w:styleId="CaptionIntroductionparagraph">
    <w:name w:val="Caption Introduction paragraph"/>
    <w:qFormat/>
    <w:rsid w:val="00B7025F"/>
    <w:rPr>
      <w:rFonts w:ascii="Arial" w:eastAsia="Times New Roman" w:hAnsi="Arial"/>
      <w:b/>
      <w:color w:val="00A1DE"/>
      <w:sz w:val="24"/>
      <w:szCs w:val="22"/>
      <w:lang w:eastAsia="en-US"/>
    </w:rPr>
  </w:style>
  <w:style w:type="paragraph" w:customStyle="1" w:styleId="smlouvabodytextbold">
    <w:name w:val="smlouva body text bold"/>
    <w:basedOn w:val="Normln"/>
    <w:next w:val="Normln"/>
    <w:qFormat/>
    <w:rsid w:val="00B204BA"/>
    <w:pPr>
      <w:jc w:val="both"/>
    </w:pPr>
    <w:rPr>
      <w:rFonts w:eastAsia="Times New Roman"/>
      <w:b/>
      <w:lang w:val="cs-CZ"/>
    </w:rPr>
  </w:style>
  <w:style w:type="character" w:customStyle="1" w:styleId="CaptionbodyChar">
    <w:name w:val="Caption body Char"/>
    <w:basedOn w:val="Standardnpsmoodstavce"/>
    <w:link w:val="Captionbody"/>
    <w:rsid w:val="00B7025F"/>
    <w:rPr>
      <w:rFonts w:ascii="Arial" w:hAnsi="Arial"/>
      <w:color w:val="000000"/>
      <w:sz w:val="18"/>
    </w:rPr>
  </w:style>
  <w:style w:type="paragraph" w:customStyle="1" w:styleId="Captionbody">
    <w:name w:val="Caption body"/>
    <w:link w:val="CaptionbodyChar"/>
    <w:rsid w:val="00B7025F"/>
    <w:rPr>
      <w:rFonts w:ascii="Arial" w:hAnsi="Arial"/>
      <w:color w:val="000000"/>
      <w:sz w:val="18"/>
    </w:rPr>
  </w:style>
  <w:style w:type="paragraph" w:customStyle="1" w:styleId="Captionheading">
    <w:name w:val="Caption heading"/>
    <w:basedOn w:val="Captionbody"/>
    <w:qFormat/>
    <w:rsid w:val="00B7025F"/>
    <w:rPr>
      <w:b/>
    </w:rPr>
  </w:style>
  <w:style w:type="paragraph" w:customStyle="1" w:styleId="smlouvabodytext">
    <w:name w:val="smlouva body text"/>
    <w:basedOn w:val="Normln"/>
    <w:rsid w:val="00B7025F"/>
    <w:pPr>
      <w:keepLines/>
      <w:tabs>
        <w:tab w:val="left" w:pos="851"/>
      </w:tabs>
      <w:jc w:val="both"/>
    </w:pPr>
    <w:rPr>
      <w:rFonts w:eastAsia="Times"/>
      <w:noProof/>
      <w:szCs w:val="18"/>
      <w:lang w:val="cs-CZ"/>
    </w:rPr>
  </w:style>
  <w:style w:type="paragraph" w:customStyle="1" w:styleId="Highlight1">
    <w:name w:val="Highlight 1"/>
    <w:basedOn w:val="Normln"/>
    <w:qFormat/>
    <w:rsid w:val="00B7025F"/>
    <w:pPr>
      <w:keepLines/>
      <w:tabs>
        <w:tab w:val="left" w:pos="851"/>
      </w:tabs>
      <w:spacing w:before="120" w:after="0" w:line="240" w:lineRule="auto"/>
      <w:jc w:val="both"/>
    </w:pPr>
    <w:rPr>
      <w:rFonts w:ascii="Arial" w:eastAsia="Times New Roman" w:hAnsi="Arial"/>
      <w:b/>
      <w:color w:val="0097A9" w:themeColor="accent5"/>
      <w:sz w:val="20"/>
      <w:szCs w:val="16"/>
      <w:lang w:val="cs-CZ"/>
    </w:rPr>
  </w:style>
  <w:style w:type="paragraph" w:customStyle="1" w:styleId="Highlight2">
    <w:name w:val="Highlight 2"/>
    <w:basedOn w:val="Highlight1"/>
    <w:qFormat/>
    <w:rsid w:val="00B7025F"/>
    <w:rPr>
      <w:color w:val="2C5234" w:themeColor="accent2"/>
    </w:rPr>
  </w:style>
  <w:style w:type="table" w:customStyle="1" w:styleId="Deloittetable1">
    <w:name w:val="Deloitte table 1"/>
    <w:basedOn w:val="Normlntabulka"/>
    <w:rsid w:val="00B7025F"/>
    <w:rPr>
      <w:rFonts w:ascii="Arial" w:eastAsia="Times New Roman" w:hAnsi="Arial"/>
      <w:sz w:val="19"/>
      <w:lang w:val="en-US" w:eastAsia="en-US"/>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B7025F"/>
    <w:pPr>
      <w:keepLines/>
      <w:tabs>
        <w:tab w:val="left" w:pos="851"/>
      </w:tabs>
      <w:spacing w:before="120" w:line="240" w:lineRule="auto"/>
      <w:ind w:left="720"/>
      <w:jc w:val="both"/>
    </w:pPr>
    <w:rPr>
      <w:rFonts w:ascii="Arial" w:eastAsia="Times New Roman" w:hAnsi="Arial"/>
      <w:szCs w:val="18"/>
      <w:lang w:val="cs-CZ"/>
    </w:rPr>
  </w:style>
  <w:style w:type="table" w:customStyle="1" w:styleId="Deloittetable2">
    <w:name w:val="Deloitte table 2"/>
    <w:basedOn w:val="Normlntabulka"/>
    <w:rsid w:val="00B7025F"/>
    <w:rPr>
      <w:rFonts w:ascii="Arial" w:eastAsia="Times New Roman" w:hAnsi="Arial"/>
      <w:sz w:val="19"/>
      <w:lang w:val="en-US" w:eastAsia="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B7025F"/>
    <w:rPr>
      <w:rFonts w:ascii="Times New Roman" w:eastAsia="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B7025F"/>
    <w:rPr>
      <w:rFonts w:ascii="Arial" w:eastAsia="Times New Roman" w:hAnsi="Arial"/>
      <w:sz w:val="19"/>
      <w:lang w:val="en-US" w:eastAsia="en-US"/>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B7025F"/>
    <w:rPr>
      <w:rFonts w:ascii="Arial" w:eastAsia="Times New Roman" w:hAnsi="Arial"/>
      <w:sz w:val="19"/>
      <w:lang w:val="en-US" w:eastAsia="en-US"/>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B7025F"/>
    <w:rPr>
      <w:rFonts w:ascii="Arial" w:eastAsia="Times New Roman" w:hAnsi="Arial"/>
      <w:sz w:val="19"/>
      <w:lang w:val="en-US" w:eastAsia="en-US"/>
    </w:rPr>
    <w:tblPr/>
  </w:style>
  <w:style w:type="table" w:customStyle="1" w:styleId="Deloittetable6">
    <w:name w:val="Deloitte table 6"/>
    <w:basedOn w:val="Normlntabulka"/>
    <w:rsid w:val="00B7025F"/>
    <w:rPr>
      <w:rFonts w:ascii="Arial" w:eastAsia="Times New Roman" w:hAnsi="Arial"/>
      <w:sz w:val="19"/>
      <w:lang w:val="en-US" w:eastAsia="en-US"/>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E7E6E6"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B7025F"/>
    <w:rPr>
      <w:rFonts w:ascii="Arial" w:eastAsia="Times New Roman" w:hAnsi="Arial"/>
      <w:sz w:val="19"/>
      <w:lang w:val="en-US" w:eastAsia="en-US"/>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B7025F"/>
    <w:rPr>
      <w:rFonts w:ascii="Times New Roman" w:eastAsia="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B7025F"/>
    <w:pPr>
      <w:contextualSpacing/>
    </w:pPr>
    <w:rPr>
      <w:rFonts w:ascii="Arial" w:eastAsia="Times New Roman" w:hAnsi="Arial"/>
      <w:sz w:val="19"/>
      <w:lang w:val="en-US" w:eastAsia="en-US"/>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B7025F"/>
    <w:rPr>
      <w:rFonts w:ascii="Arial" w:eastAsia="Times New Roman" w:hAnsi="Arial"/>
      <w:sz w:val="19"/>
      <w:lang w:val="en-US" w:eastAsia="en-US"/>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B7025F"/>
    <w:rPr>
      <w:rFonts w:ascii="Arial" w:eastAsia="Times New Roman" w:hAnsi="Arial"/>
      <w:sz w:val="19"/>
      <w:lang w:val="en-US" w:eastAsia="en-US"/>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B7025F"/>
    <w:rPr>
      <w:rFonts w:ascii="Arial" w:eastAsia="Times New Roman" w:hAnsi="Arial"/>
      <w:sz w:val="19"/>
      <w:lang w:val="en-US" w:eastAsia="en-US"/>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B7025F"/>
    <w:rPr>
      <w:rFonts w:ascii="Arial" w:eastAsia="Times New Roman" w:hAnsi="Arial"/>
      <w:sz w:val="19"/>
      <w:lang w:val="en-US" w:eastAsia="en-US"/>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B7025F"/>
    <w:rPr>
      <w:rFonts w:ascii="Arial" w:eastAsia="Times New Roman" w:hAnsi="Arial"/>
      <w:sz w:val="19"/>
      <w:lang w:val="en-US" w:eastAsia="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B7025F"/>
    <w:rPr>
      <w:rFonts w:ascii="Times New Roman" w:eastAsia="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B7025F"/>
    <w:rPr>
      <w:rFonts w:ascii="Times New Roman" w:eastAsia="Times New Roman" w:hAnsi="Times New Roman"/>
      <w:color w:val="000000"/>
      <w:lang w:val="en-US" w:eastAsia="en-US"/>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B7025F"/>
    <w:rPr>
      <w:rFonts w:ascii="Arial" w:eastAsia="Times New Roman" w:hAnsi="Arial"/>
      <w:color w:val="000000"/>
      <w:lang w:val="en-US" w:eastAsia="en-US"/>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
    <w:next w:val="Normln"/>
    <w:autoRedefine/>
    <w:uiPriority w:val="39"/>
    <w:rsid w:val="00B7025F"/>
    <w:pPr>
      <w:keepLines/>
      <w:tabs>
        <w:tab w:val="left" w:pos="851"/>
      </w:tabs>
      <w:spacing w:before="120" w:after="100" w:line="240" w:lineRule="auto"/>
      <w:ind w:left="960"/>
      <w:jc w:val="both"/>
    </w:pPr>
    <w:rPr>
      <w:rFonts w:ascii="Arial" w:eastAsia="Times New Roman" w:hAnsi="Arial"/>
      <w:szCs w:val="18"/>
      <w:lang w:val="cs-CZ"/>
    </w:rPr>
  </w:style>
  <w:style w:type="paragraph" w:customStyle="1" w:styleId="Highlight3">
    <w:name w:val="Highlight 3"/>
    <w:basedOn w:val="Highlight2"/>
    <w:qFormat/>
    <w:rsid w:val="00B7025F"/>
    <w:rPr>
      <w:color w:val="00A3E0" w:themeColor="accent3"/>
    </w:rPr>
  </w:style>
  <w:style w:type="paragraph" w:styleId="Nadpisobsahu">
    <w:name w:val="TOC Heading"/>
    <w:basedOn w:val="Nadpis1"/>
    <w:next w:val="Normln"/>
    <w:uiPriority w:val="39"/>
    <w:semiHidden/>
    <w:unhideWhenUsed/>
    <w:qFormat/>
    <w:rsid w:val="00B7025F"/>
    <w:pPr>
      <w:spacing w:before="480" w:line="276" w:lineRule="auto"/>
      <w:outlineLvl w:val="9"/>
    </w:pPr>
    <w:rPr>
      <w:rFonts w:asciiTheme="majorHAnsi" w:eastAsiaTheme="majorEastAsia" w:hAnsiTheme="majorHAnsi" w:cstheme="majorBidi"/>
      <w:color w:val="638C1B" w:themeColor="accent1" w:themeShade="BF"/>
      <w:sz w:val="28"/>
    </w:rPr>
  </w:style>
  <w:style w:type="paragraph" w:styleId="Zkladntext">
    <w:name w:val="Body Text"/>
    <w:basedOn w:val="Normln"/>
    <w:link w:val="ZkladntextChar"/>
    <w:rsid w:val="00B7025F"/>
    <w:pPr>
      <w:keepLines/>
      <w:tabs>
        <w:tab w:val="left" w:pos="851"/>
      </w:tabs>
      <w:jc w:val="both"/>
    </w:pPr>
    <w:rPr>
      <w:rFonts w:eastAsia="Times New Roman"/>
      <w:szCs w:val="18"/>
      <w:lang w:val="en-GB"/>
    </w:rPr>
  </w:style>
  <w:style w:type="character" w:customStyle="1" w:styleId="ZkladntextChar">
    <w:name w:val="Základní text Char"/>
    <w:basedOn w:val="Standardnpsmoodstavce"/>
    <w:link w:val="Zkladntext"/>
    <w:rsid w:val="00B7025F"/>
    <w:rPr>
      <w:rFonts w:eastAsia="Times New Roman"/>
      <w:sz w:val="18"/>
      <w:szCs w:val="18"/>
      <w:lang w:val="en-GB" w:eastAsia="en-US"/>
    </w:rPr>
  </w:style>
  <w:style w:type="paragraph" w:customStyle="1" w:styleId="Table">
    <w:name w:val="Table"/>
    <w:basedOn w:val="Normln"/>
    <w:rsid w:val="00B7025F"/>
    <w:pPr>
      <w:keepLines/>
      <w:tabs>
        <w:tab w:val="left" w:pos="851"/>
      </w:tabs>
      <w:spacing w:before="120" w:after="0" w:line="240" w:lineRule="auto"/>
      <w:jc w:val="both"/>
    </w:pPr>
    <w:rPr>
      <w:rFonts w:ascii="Arial" w:eastAsia="Times New Roman" w:hAnsi="Arial"/>
      <w:szCs w:val="18"/>
      <w:lang w:val="cs-CZ"/>
    </w:rPr>
  </w:style>
  <w:style w:type="character" w:styleId="Odkaznakoment">
    <w:name w:val="annotation reference"/>
    <w:basedOn w:val="Standardnpsmoodstavce"/>
    <w:rsid w:val="00B7025F"/>
    <w:rPr>
      <w:sz w:val="16"/>
      <w:szCs w:val="16"/>
    </w:rPr>
  </w:style>
  <w:style w:type="paragraph" w:styleId="Normlnweb">
    <w:name w:val="Normal (Web)"/>
    <w:basedOn w:val="Normln"/>
    <w:uiPriority w:val="99"/>
    <w:unhideWhenUsed/>
    <w:rsid w:val="00B7025F"/>
    <w:pPr>
      <w:keepLines/>
      <w:tabs>
        <w:tab w:val="left" w:pos="851"/>
      </w:tabs>
      <w:spacing w:before="120" w:after="100" w:afterAutospacing="1" w:line="240" w:lineRule="auto"/>
      <w:jc w:val="both"/>
    </w:pPr>
    <w:rPr>
      <w:rFonts w:ascii="Arial" w:eastAsia="Times New Roman" w:hAnsi="Arial" w:cs="Arial"/>
      <w:color w:val="333333"/>
      <w:sz w:val="24"/>
      <w:szCs w:val="18"/>
      <w:lang w:val="cs-CZ"/>
    </w:rPr>
  </w:style>
  <w:style w:type="paragraph" w:customStyle="1" w:styleId="StyleHeading1">
    <w:name w:val="Style Heading 1"/>
    <w:basedOn w:val="Nadpis1"/>
    <w:next w:val="Normln"/>
    <w:rsid w:val="00B7025F"/>
    <w:pPr>
      <w:keepLines w:val="0"/>
      <w:spacing w:before="240" w:after="160" w:line="240" w:lineRule="auto"/>
      <w:ind w:left="720" w:hanging="360"/>
    </w:pPr>
    <w:rPr>
      <w:rFonts w:ascii="Times New Roman" w:eastAsia="Times New Roman" w:hAnsi="Times New Roman" w:cs="Arial"/>
      <w:b w:val="0"/>
      <w:bCs w:val="0"/>
      <w:color w:val="000066"/>
      <w:kern w:val="32"/>
      <w:sz w:val="60"/>
      <w:szCs w:val="32"/>
    </w:rPr>
  </w:style>
  <w:style w:type="paragraph" w:styleId="Odstavecseseznamem">
    <w:name w:val="List Paragraph"/>
    <w:basedOn w:val="Normln"/>
    <w:uiPriority w:val="34"/>
    <w:qFormat/>
    <w:rsid w:val="00B7025F"/>
    <w:pPr>
      <w:keepLines/>
      <w:tabs>
        <w:tab w:val="left" w:pos="851"/>
      </w:tabs>
      <w:spacing w:before="120" w:after="0" w:line="240" w:lineRule="auto"/>
      <w:ind w:left="720"/>
      <w:jc w:val="both"/>
    </w:pPr>
    <w:rPr>
      <w:rFonts w:ascii="Arial" w:eastAsia="Times New Roman" w:hAnsi="Arial"/>
      <w:szCs w:val="18"/>
      <w:lang w:val="cs-CZ"/>
    </w:rPr>
  </w:style>
  <w:style w:type="paragraph" w:customStyle="1" w:styleId="smlouvaobchodnipodminky1">
    <w:name w:val="smlouva obchodni podminky 1"/>
    <w:basedOn w:val="Normln"/>
    <w:qFormat/>
    <w:rsid w:val="00B204BA"/>
    <w:pPr>
      <w:numPr>
        <w:numId w:val="9"/>
      </w:numPr>
      <w:tabs>
        <w:tab w:val="left" w:pos="567"/>
      </w:tabs>
      <w:spacing w:before="240" w:after="120" w:line="240" w:lineRule="auto"/>
      <w:ind w:left="737" w:hanging="737"/>
      <w:jc w:val="both"/>
    </w:pPr>
    <w:rPr>
      <w:rFonts w:ascii="Arial" w:eastAsia="Times New Roman" w:hAnsi="Arial"/>
      <w:b/>
      <w:color w:val="000000" w:themeColor="text1"/>
      <w:sz w:val="14"/>
      <w:lang w:val="cs-CZ"/>
    </w:rPr>
  </w:style>
  <w:style w:type="paragraph" w:customStyle="1" w:styleId="smlouvaobchodnipodminky2">
    <w:name w:val="smlouva obchodni podminky 2"/>
    <w:basedOn w:val="Normln"/>
    <w:qFormat/>
    <w:rsid w:val="00B204BA"/>
    <w:pPr>
      <w:numPr>
        <w:ilvl w:val="1"/>
        <w:numId w:val="9"/>
      </w:numPr>
      <w:tabs>
        <w:tab w:val="left" w:pos="567"/>
      </w:tabs>
      <w:spacing w:before="120" w:after="0" w:line="240" w:lineRule="auto"/>
      <w:jc w:val="both"/>
    </w:pPr>
    <w:rPr>
      <w:rFonts w:ascii="Arial" w:eastAsia="Times New Roman" w:hAnsi="Arial"/>
      <w:color w:val="000000" w:themeColor="text1"/>
      <w:sz w:val="14"/>
      <w:lang w:val="cs-CZ"/>
    </w:rPr>
  </w:style>
  <w:style w:type="paragraph" w:customStyle="1" w:styleId="smlouvaobchodnipodminky3">
    <w:name w:val="smlouva obchodni podminky 3"/>
    <w:basedOn w:val="Normln"/>
    <w:qFormat/>
    <w:rsid w:val="00B204BA"/>
    <w:pPr>
      <w:numPr>
        <w:ilvl w:val="2"/>
        <w:numId w:val="9"/>
      </w:numPr>
      <w:spacing w:before="120" w:after="0" w:line="240" w:lineRule="auto"/>
      <w:jc w:val="both"/>
    </w:pPr>
    <w:rPr>
      <w:rFonts w:ascii="Arial" w:eastAsia="Times New Roman" w:hAnsi="Arial"/>
      <w:color w:val="000000" w:themeColor="text1"/>
      <w:sz w:val="14"/>
      <w:lang w:val="cs-CZ"/>
    </w:rPr>
  </w:style>
  <w:style w:type="numbering" w:customStyle="1" w:styleId="NoList1">
    <w:name w:val="No List1"/>
    <w:next w:val="Bezseznamu"/>
    <w:semiHidden/>
    <w:rsid w:val="00B7025F"/>
  </w:style>
  <w:style w:type="paragraph" w:customStyle="1" w:styleId="StyleOdstavecItalic">
    <w:name w:val="Style Odstavec + Italic"/>
    <w:basedOn w:val="Normln"/>
    <w:link w:val="StyleOdstavecItalicChar"/>
    <w:rsid w:val="00B7025F"/>
    <w:pPr>
      <w:keepLines/>
      <w:tabs>
        <w:tab w:val="left" w:pos="851"/>
        <w:tab w:val="left" w:pos="1701"/>
      </w:tabs>
      <w:spacing w:before="240" w:after="0" w:line="280" w:lineRule="exact"/>
      <w:ind w:left="1724" w:hanging="360"/>
      <w:jc w:val="both"/>
      <w:outlineLvl w:val="0"/>
    </w:pPr>
    <w:rPr>
      <w:rFonts w:ascii="Arial" w:eastAsia="Times New Roman" w:hAnsi="Arial"/>
      <w:i/>
      <w:iCs/>
      <w:szCs w:val="18"/>
      <w:lang w:val="cs-CZ"/>
    </w:rPr>
  </w:style>
  <w:style w:type="character" w:customStyle="1" w:styleId="StyleOdstavecItalicChar">
    <w:name w:val="Style Odstavec + Italic Char"/>
    <w:basedOn w:val="Standardnpsmoodstavce"/>
    <w:link w:val="StyleOdstavecItalic"/>
    <w:rsid w:val="00B7025F"/>
    <w:rPr>
      <w:rFonts w:ascii="Arial" w:eastAsia="Times New Roman" w:hAnsi="Arial"/>
      <w:i/>
      <w:iCs/>
      <w:sz w:val="18"/>
      <w:szCs w:val="18"/>
      <w:lang w:eastAsia="en-US"/>
    </w:rPr>
  </w:style>
  <w:style w:type="paragraph" w:styleId="Pedmtkomente">
    <w:name w:val="annotation subject"/>
    <w:basedOn w:val="Normln"/>
    <w:link w:val="PedmtkomenteChar"/>
    <w:rsid w:val="00B7025F"/>
    <w:pPr>
      <w:keepLines/>
      <w:tabs>
        <w:tab w:val="left" w:pos="851"/>
      </w:tabs>
      <w:spacing w:before="120" w:after="0" w:line="240" w:lineRule="auto"/>
      <w:jc w:val="both"/>
    </w:pPr>
    <w:rPr>
      <w:rFonts w:ascii="Arial" w:eastAsia="Times New Roman" w:hAnsi="Arial"/>
      <w:b/>
      <w:bCs/>
      <w:sz w:val="20"/>
      <w:szCs w:val="20"/>
      <w:lang w:val="cs-CZ"/>
    </w:rPr>
  </w:style>
  <w:style w:type="character" w:customStyle="1" w:styleId="PedmtkomenteChar">
    <w:name w:val="Předmět komentáře Char"/>
    <w:basedOn w:val="Standardnpsmoodstavce"/>
    <w:link w:val="Pedmtkomente"/>
    <w:rsid w:val="00B7025F"/>
    <w:rPr>
      <w:rFonts w:ascii="Arial" w:eastAsia="Times New Roman" w:hAnsi="Arial"/>
      <w:b/>
      <w:bCs/>
      <w:lang w:eastAsia="en-US"/>
    </w:rPr>
  </w:style>
  <w:style w:type="paragraph" w:styleId="Prosttext">
    <w:name w:val="Plain Text"/>
    <w:basedOn w:val="Normln"/>
    <w:link w:val="ProsttextChar"/>
    <w:uiPriority w:val="99"/>
    <w:semiHidden/>
    <w:unhideWhenUsed/>
    <w:rsid w:val="00B7025F"/>
    <w:pPr>
      <w:spacing w:after="0" w:line="240" w:lineRule="auto"/>
    </w:pPr>
    <w:rPr>
      <w:rFonts w:ascii="Calibri" w:eastAsiaTheme="minorHAnsi" w:hAnsi="Calibri" w:cs="Consolas"/>
      <w:sz w:val="22"/>
      <w:szCs w:val="21"/>
      <w:lang w:val="cs-CZ"/>
    </w:rPr>
  </w:style>
  <w:style w:type="character" w:customStyle="1" w:styleId="ProsttextChar">
    <w:name w:val="Prostý text Char"/>
    <w:basedOn w:val="Standardnpsmoodstavce"/>
    <w:link w:val="Prosttext"/>
    <w:uiPriority w:val="99"/>
    <w:semiHidden/>
    <w:rsid w:val="00B7025F"/>
    <w:rPr>
      <w:rFonts w:ascii="Calibri" w:eastAsiaTheme="minorHAnsi" w:hAnsi="Calibri" w:cs="Consolas"/>
      <w:sz w:val="22"/>
      <w:szCs w:val="21"/>
      <w:lang w:eastAsia="en-US"/>
    </w:rPr>
  </w:style>
  <w:style w:type="paragraph" w:styleId="Textkomente">
    <w:name w:val="annotation text"/>
    <w:basedOn w:val="Normln"/>
    <w:link w:val="TextkomenteChar"/>
    <w:semiHidden/>
    <w:pPr>
      <w:spacing w:line="240" w:lineRule="auto"/>
    </w:pPr>
    <w:rPr>
      <w:sz w:val="20"/>
      <w:szCs w:val="20"/>
    </w:rPr>
  </w:style>
  <w:style w:type="character" w:customStyle="1" w:styleId="TextkomenteChar">
    <w:name w:val="Text komentáře Char"/>
    <w:basedOn w:val="Standardnpsmoodstavce"/>
    <w:link w:val="Textkomente"/>
    <w:semiHidden/>
    <w:rPr>
      <w:lang w:val="en-US" w:eastAsia="en-US"/>
    </w:rPr>
  </w:style>
  <w:style w:type="paragraph" w:customStyle="1" w:styleId="smlouvaheading10">
    <w:name w:val="smlouva heading 1"/>
    <w:next w:val="Normln"/>
    <w:qFormat/>
    <w:rsid w:val="005800AA"/>
    <w:pPr>
      <w:spacing w:before="240" w:after="120"/>
      <w:ind w:left="360" w:hanging="360"/>
    </w:pPr>
    <w:rPr>
      <w:rFonts w:ascii="Arial" w:eastAsia="Times New Roman" w:hAnsi="Arial"/>
      <w:b/>
      <w:noProof/>
      <w:color w:val="000000" w:themeColor="text1"/>
      <w:sz w:val="19"/>
      <w:szCs w:val="24"/>
      <w:lang w:eastAsia="en-US"/>
    </w:rPr>
  </w:style>
  <w:style w:type="paragraph" w:customStyle="1" w:styleId="smlouvaheading20">
    <w:name w:val="smlouva heading 2"/>
    <w:basedOn w:val="CaptionIntroductionparagraph"/>
    <w:next w:val="Normln"/>
    <w:qFormat/>
    <w:rsid w:val="005800AA"/>
    <w:pPr>
      <w:tabs>
        <w:tab w:val="left" w:pos="567"/>
      </w:tabs>
      <w:spacing w:before="120"/>
      <w:ind w:left="720" w:hanging="360"/>
      <w:jc w:val="both"/>
    </w:pPr>
    <w:rPr>
      <w:b w:val="0"/>
      <w:color w:val="000000" w:themeColor="text1"/>
      <w:sz w:val="19"/>
    </w:rPr>
  </w:style>
  <w:style w:type="paragraph" w:customStyle="1" w:styleId="smlouvaheading30">
    <w:name w:val="smlouva heading 3"/>
    <w:basedOn w:val="smlouvaheading20"/>
    <w:next w:val="Normln"/>
    <w:qFormat/>
    <w:rsid w:val="005800AA"/>
    <w:pPr>
      <w:tabs>
        <w:tab w:val="clear" w:pos="567"/>
        <w:tab w:val="left" w:pos="794"/>
      </w:tabs>
      <w:ind w:left="794" w:hanging="794"/>
    </w:pPr>
  </w:style>
  <w:style w:type="paragraph" w:customStyle="1" w:styleId="smlouvaheading40">
    <w:name w:val="smlouva heading 4"/>
    <w:basedOn w:val="smlouvaheading30"/>
    <w:next w:val="Normln"/>
    <w:qFormat/>
    <w:rsid w:val="005800AA"/>
    <w:pPr>
      <w:tabs>
        <w:tab w:val="clear" w:pos="794"/>
      </w:tabs>
    </w:pPr>
    <w:rPr>
      <w:color w:val="auto"/>
    </w:rPr>
  </w:style>
  <w:style w:type="paragraph" w:customStyle="1" w:styleId="BodyText1">
    <w:name w:val="Body Text1"/>
    <w:qFormat/>
    <w:rsid w:val="00B6301A"/>
    <w:rPr>
      <w:rFonts w:ascii="Arial" w:eastAsia="Times New Roman" w:hAnsi="Arial"/>
      <w:color w:val="000000"/>
      <w:sz w:val="19"/>
      <w:szCs w:val="48"/>
      <w:lang w:eastAsia="en-US"/>
    </w:rPr>
  </w:style>
  <w:style w:type="paragraph" w:customStyle="1" w:styleId="Bulletslevel1">
    <w:name w:val="Bullets level 1"/>
    <w:basedOn w:val="Normln"/>
    <w:qFormat/>
    <w:rsid w:val="00B6301A"/>
    <w:pPr>
      <w:keepLines/>
      <w:numPr>
        <w:numId w:val="28"/>
      </w:numPr>
      <w:tabs>
        <w:tab w:val="left" w:pos="851"/>
      </w:tabs>
      <w:spacing w:before="120" w:after="0" w:line="240" w:lineRule="auto"/>
      <w:ind w:left="360"/>
      <w:jc w:val="both"/>
    </w:pPr>
    <w:rPr>
      <w:rFonts w:ascii="Arial" w:eastAsia="Times" w:hAnsi="Arial"/>
      <w:color w:val="000000"/>
      <w:szCs w:val="20"/>
      <w:lang w:val="en-GB"/>
    </w:rPr>
  </w:style>
  <w:style w:type="paragraph" w:styleId="Revize">
    <w:name w:val="Revision"/>
    <w:hidden/>
    <w:uiPriority w:val="99"/>
    <w:semiHidden/>
    <w:rsid w:val="00413D0E"/>
    <w:rPr>
      <w:sz w:val="18"/>
      <w:szCs w:val="22"/>
      <w:lang w:val="en-US" w:eastAsia="en-US"/>
    </w:rPr>
  </w:style>
  <w:style w:type="character" w:styleId="Nevyeenzmnka">
    <w:name w:val="Unresolved Mention"/>
    <w:basedOn w:val="Standardnpsmoodstavce"/>
    <w:uiPriority w:val="99"/>
    <w:semiHidden/>
    <w:unhideWhenUsed/>
    <w:rsid w:val="00CF6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86CA369A2413479978C5BBDD57CDD8" ma:contentTypeVersion="10" ma:contentTypeDescription="Create a new document." ma:contentTypeScope="" ma:versionID="6d37377f689964f6ce48a1fa900ee07a">
  <xsd:schema xmlns:xsd="http://www.w3.org/2001/XMLSchema" xmlns:xs="http://www.w3.org/2001/XMLSchema" xmlns:p="http://schemas.microsoft.com/office/2006/metadata/properties" xmlns:ns2="66434f01-f8f5-41b6-9b7a-902e7b4b817f" xmlns:ns3="382174b9-57b5-473b-b571-6ccaf0144f5b" targetNamespace="http://schemas.microsoft.com/office/2006/metadata/properties" ma:root="true" ma:fieldsID="8b629baa23c0a36da60849d60e0de7e7" ns2:_="" ns3:_="">
    <xsd:import namespace="66434f01-f8f5-41b6-9b7a-902e7b4b817f"/>
    <xsd:import namespace="382174b9-57b5-473b-b571-6ccaf0144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34f01-f8f5-41b6-9b7a-902e7b4b8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174b9-57b5-473b-b571-6ccaf0144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EFCEF-2D06-4FEB-A070-31A8F02633F4}">
  <ds:schemaRefs>
    <ds:schemaRef ds:uri="http://schemas.openxmlformats.org/officeDocument/2006/bibliography"/>
  </ds:schemaRefs>
</ds:datastoreItem>
</file>

<file path=customXml/itemProps2.xml><?xml version="1.0" encoding="utf-8"?>
<ds:datastoreItem xmlns:ds="http://schemas.openxmlformats.org/officeDocument/2006/customXml" ds:itemID="{52AA6CB3-FC1E-4AC7-A998-26E725FD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34f01-f8f5-41b6-9b7a-902e7b4b817f"/>
    <ds:schemaRef ds:uri="382174b9-57b5-473b-b571-6ccaf0144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1AAC-54CC-45AF-AFC1-681F621BF8F9}">
  <ds:schemaRefs>
    <ds:schemaRef ds:uri="http://schemas.microsoft.com/sharepoint/v3/contenttype/forms"/>
  </ds:schemaRefs>
</ds:datastoreItem>
</file>

<file path=customXml/itemProps4.xml><?xml version="1.0" encoding="utf-8"?>
<ds:datastoreItem xmlns:ds="http://schemas.openxmlformats.org/officeDocument/2006/customXml" ds:itemID="{ED2A1606-BBE8-430E-B540-1C92EDF9F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4007</Words>
  <Characters>23645</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Proposal_A4</vt:lpstr>
    </vt:vector>
  </TitlesOfParts>
  <Company>Deloitte Touche Tohmatsu Services, Inc.</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Havlova, Pavlina (CZ - Prague)</dc:creator>
  <cp:keywords/>
  <dc:description/>
  <cp:lastModifiedBy>Ratajová Naděžda</cp:lastModifiedBy>
  <cp:revision>2</cp:revision>
  <cp:lastPrinted>2024-10-23T08:56:00Z</cp:lastPrinted>
  <dcterms:created xsi:type="dcterms:W3CDTF">2024-10-23T08:57:00Z</dcterms:created>
  <dcterms:modified xsi:type="dcterms:W3CDTF">2024-10-23T08:57:00Z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0x0101000586CA369A2413479978C5BBDD57CDD8</vt:lpwstr>
  </property>
  <property fmtid="{D5CDD505-2E9C-101B-9397-08002B2CF9AE}" pid="3" name="MSIP_Label_ea60d57e-af5b-4752-ac57-3e4f28ca11dc_Enabled">
    <vt:lpwstr>true</vt:lpwstr>
  </property>
  <property fmtid="{D5CDD505-2E9C-101B-9397-08002B2CF9AE}" pid="4" name="MSIP_Label_ea60d57e-af5b-4752-ac57-3e4f28ca11dc_SetDate">
    <vt:lpwstr>2021-09-08T07:42:58Z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70924195-9457-479f-b44c-c74d488d72e9</vt:lpwstr>
  </property>
  <property fmtid="{D5CDD505-2E9C-101B-9397-08002B2CF9AE}" pid="9" name="MSIP_Label_ea60d57e-af5b-4752-ac57-3e4f28ca11dc_ContentBits">
    <vt:lpwstr>0</vt:lpwstr>
  </property>
</Properties>
</file>