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836" w:y="29"/>
        <w:widowControl w:val="0"/>
        <w:keepNext w:val="0"/>
        <w:keepLines w:val="0"/>
        <w:shd w:val="clear" w:color="auto" w:fill="auto"/>
        <w:bidi w:val="0"/>
        <w:jc w:val="both"/>
        <w:spacing w:before="0" w:after="0" w:line="540" w:lineRule="exact"/>
        <w:ind w:left="0" w:right="0" w:firstLine="0"/>
      </w:pPr>
      <w:r>
        <w:rPr>
          <w:rStyle w:val="CharStyle4"/>
        </w:rPr>
        <w:t xml:space="preserve">MB </w:t>
      </w:r>
      <w:r>
        <w:rPr>
          <w:rStyle w:val="CharStyle4"/>
          <w:lang w:val="cs-CZ" w:eastAsia="cs-CZ" w:bidi="cs-CZ"/>
        </w:rPr>
        <w:t>/</w:t>
      </w:r>
      <w:r>
        <w:rPr>
          <w:rStyle w:val="CharStyle4"/>
        </w:rPr>
        <w:t>mw/ioff-</w:t>
      </w:r>
    </w:p>
    <w:p>
      <w:pPr>
        <w:pStyle w:val="Style5"/>
        <w:framePr w:w="9158" w:h="383" w:hRule="exact" w:wrap="none" w:vAnchor="page" w:hAnchor="page" w:x="1203" w:y="122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'mlouvs o </w:t>
      </w:r>
      <w:r>
        <w:rPr>
          <w:rStyle w:val="CharStyle7"/>
        </w:rPr>
        <w:t xml:space="preserve">Zc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íiřtěnf školy v přírodě</w:t>
      </w:r>
      <w:bookmarkEnd w:id="0"/>
    </w:p>
    <w:p>
      <w:pPr>
        <w:pStyle w:val="Style8"/>
        <w:framePr w:w="9158" w:h="292" w:hRule="exact" w:wrap="none" w:vAnchor="page" w:hAnchor="page" w:x="1203" w:y="164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v souladu s § 1746 odst. 2 zákona č. 89/2012 Sb., občanský zákoník</w:t>
      </w:r>
    </w:p>
    <w:p>
      <w:pPr>
        <w:pStyle w:val="Style8"/>
        <w:framePr w:wrap="none" w:vAnchor="page" w:hAnchor="page" w:x="1203" w:y="2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 uzavřeli</w:t>
      </w:r>
    </w:p>
    <w:p>
      <w:pPr>
        <w:pStyle w:val="Style10"/>
        <w:framePr w:w="9158" w:h="4629" w:hRule="exact" w:wrap="none" w:vAnchor="page" w:hAnchor="page" w:x="1203" w:y="26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</w:t>
      </w:r>
    </w:p>
    <w:p>
      <w:pPr>
        <w:pStyle w:val="Style8"/>
        <w:framePr w:w="9158" w:h="4629" w:hRule="exact" w:wrap="none" w:vAnchor="page" w:hAnchor="page" w:x="1203" w:y="2637"/>
        <w:widowControl w:val="0"/>
        <w:keepNext w:val="0"/>
        <w:keepLines w:val="0"/>
        <w:shd w:val="clear" w:color="auto" w:fill="auto"/>
        <w:bidi w:val="0"/>
        <w:jc w:val="left"/>
        <w:spacing w:before="0" w:after="243" w:line="235" w:lineRule="exact"/>
        <w:ind w:left="0" w:right="5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a MŠ Emy Destinnové Nám. Svobody 3/930 160 00 Praha 6 IČO:48133892 DIČ:CZ 0 48133892 bankovní spojení: ředitel: Mgr. Ota Bažant (dále jen „Škola”)</w:t>
      </w:r>
    </w:p>
    <w:p>
      <w:pPr>
        <w:pStyle w:val="Style8"/>
        <w:framePr w:w="9158" w:h="4629" w:hRule="exact" w:wrap="none" w:vAnchor="page" w:hAnchor="page" w:x="1203" w:y="2637"/>
        <w:widowControl w:val="0"/>
        <w:keepNext w:val="0"/>
        <w:keepLines w:val="0"/>
        <w:shd w:val="clear" w:color="auto" w:fill="auto"/>
        <w:bidi w:val="0"/>
        <w:jc w:val="left"/>
        <w:spacing w:before="0" w:after="24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8"/>
        <w:framePr w:w="9158" w:h="4629" w:hRule="exact" w:wrap="none" w:vAnchor="page" w:hAnchor="page" w:x="1203" w:y="263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Sportlines, cz a.s.</w:t>
      </w:r>
    </w:p>
    <w:p>
      <w:pPr>
        <w:pStyle w:val="Style8"/>
        <w:framePr w:w="9158" w:h="4629" w:hRule="exact" w:wrap="none" w:vAnchor="page" w:hAnchor="page" w:x="1203" w:y="263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4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Květnového vítězství 938/ 79, 149 00, Praha 4 IČ:05328993 DIČ:CZ05328993 bankovní spojení:</w:t>
      </w:r>
    </w:p>
    <w:p>
      <w:pPr>
        <w:pStyle w:val="Style8"/>
        <w:framePr w:w="9158" w:h="4629" w:hRule="exact" w:wrap="none" w:vAnchor="page" w:hAnchor="page" w:x="1203" w:y="263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4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 Mgr. Kateřina Srpová, Bc. Martin Havrlík (dále jen „Dodavatel")</w:t>
      </w:r>
    </w:p>
    <w:p>
      <w:pPr>
        <w:pStyle w:val="Style12"/>
        <w:framePr w:w="9158" w:h="7375" w:hRule="exact" w:wrap="none" w:vAnchor="page" w:hAnchor="page" w:x="1203" w:y="7461"/>
        <w:widowControl w:val="0"/>
        <w:keepNext w:val="0"/>
        <w:keepLines w:val="0"/>
        <w:shd w:val="clear" w:color="auto" w:fill="auto"/>
        <w:bidi w:val="0"/>
        <w:jc w:val="left"/>
        <w:spacing w:before="0"/>
        <w:ind w:left="2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zajištění školy v přírodě (dále jen „Pobyt")</w:t>
      </w:r>
    </w:p>
    <w:p>
      <w:pPr>
        <w:pStyle w:val="Style12"/>
        <w:numPr>
          <w:ilvl w:val="0"/>
          <w:numId w:val="1"/>
        </w:numPr>
        <w:framePr w:w="9158" w:h="7375" w:hRule="exact" w:wrap="none" w:vAnchor="page" w:hAnchor="page" w:x="1203" w:y="7461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</w:p>
    <w:p>
      <w:pPr>
        <w:pStyle w:val="Style8"/>
        <w:framePr w:w="9158" w:h="7375" w:hRule="exact" w:wrap="none" w:vAnchor="page" w:hAnchor="page" w:x="1203" w:y="7461"/>
        <w:widowControl w:val="0"/>
        <w:keepNext w:val="0"/>
        <w:keepLines w:val="0"/>
        <w:shd w:val="clear" w:color="auto" w:fill="auto"/>
        <w:bidi w:val="0"/>
        <w:jc w:val="both"/>
        <w:spacing w:before="0" w:after="52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zajištění Pobytu a dalších níže specifikovaných služeb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>
      <w:pPr>
        <w:pStyle w:val="Style12"/>
        <w:numPr>
          <w:ilvl w:val="0"/>
          <w:numId w:val="1"/>
        </w:numPr>
        <w:framePr w:w="9158" w:h="7375" w:hRule="exact" w:wrap="none" w:vAnchor="page" w:hAnchor="page" w:x="1203" w:y="7461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a doba pobytu, ubytování a počet lůžek, stravování</w:t>
      </w:r>
    </w:p>
    <w:p>
      <w:pPr>
        <w:pStyle w:val="Style12"/>
        <w:framePr w:w="9158" w:h="7375" w:hRule="exact" w:wrap="none" w:vAnchor="page" w:hAnchor="page" w:x="1203" w:y="7461"/>
        <w:tabs>
          <w:tab w:leader="none" w:pos="2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Termín:</w:t>
        <w:tab/>
        <w:t>15.5.-19.5.2016</w:t>
      </w:r>
    </w:p>
    <w:p>
      <w:pPr>
        <w:pStyle w:val="Style12"/>
        <w:framePr w:w="9158" w:h="7375" w:hRule="exact" w:wrap="none" w:vAnchor="page" w:hAnchor="page" w:x="1203" w:y="7461"/>
        <w:tabs>
          <w:tab w:leader="none" w:pos="2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konání:</w:t>
        <w:tab/>
        <w:t xml:space="preserve">Penzion Sokol, </w:t>
      </w:r>
      <w:r>
        <w:rPr>
          <w:rStyle w:val="CharStyle14"/>
          <w:b w:val="0"/>
          <w:bCs w:val="0"/>
        </w:rPr>
        <w:t xml:space="preserve">Paseky nad Jizerou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270, </w:t>
      </w:r>
      <w:r>
        <w:rPr>
          <w:rStyle w:val="CharStyle14"/>
          <w:b w:val="0"/>
          <w:bCs w:val="0"/>
        </w:rPr>
        <w:t xml:space="preserve">Paseky nad Jizerou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512 47</w:t>
      </w:r>
    </w:p>
    <w:p>
      <w:pPr>
        <w:pStyle w:val="Style8"/>
        <w:framePr w:w="9158" w:h="7375" w:hRule="exact" w:wrap="none" w:vAnchor="page" w:hAnchor="page" w:x="1203" w:y="7461"/>
        <w:widowControl w:val="0"/>
        <w:keepNext w:val="0"/>
        <w:keepLines w:val="0"/>
        <w:shd w:val="clear" w:color="auto" w:fill="auto"/>
        <w:bidi w:val="0"/>
        <w:jc w:val="left"/>
        <w:spacing w:before="0" w:after="244" w:line="235" w:lineRule="exact"/>
        <w:ind w:left="2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„Provozovatel")</w:t>
      </w:r>
    </w:p>
    <w:p>
      <w:pPr>
        <w:pStyle w:val="Style8"/>
        <w:framePr w:w="9158" w:h="7375" w:hRule="exact" w:wrap="none" w:vAnchor="page" w:hAnchor="page" w:x="1203" w:y="7461"/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15"/>
        </w:rPr>
        <w:t>Ubytování: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Ve zděné budově, v 2 až 3 lůžkových pokojích a v apartmánu se sociálním zařízením -</w:t>
      </w:r>
    </w:p>
    <w:p>
      <w:pPr>
        <w:pStyle w:val="Style8"/>
        <w:framePr w:w="9158" w:h="7375" w:hRule="exact" w:wrap="none" w:vAnchor="page" w:hAnchor="page" w:x="1203" w:y="7461"/>
        <w:widowControl w:val="0"/>
        <w:keepNext w:val="0"/>
        <w:keepLines w:val="0"/>
        <w:shd w:val="clear" w:color="auto" w:fill="auto"/>
        <w:bidi w:val="0"/>
        <w:jc w:val="both"/>
        <w:spacing w:before="0" w:after="236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sprchový kout, WC - je společné na patře. Ubytování s přihlédnutím ktomu, že jedou skupiny, které se nedají sloučit - chlapci a dívky, popř. žáci různých ročníků. Na pokojích budou připraveny lůžkoviny, povlékání si děti a pedagogové zajišťují sami ve spolupráci s organizátorem.</w:t>
      </w:r>
    </w:p>
    <w:p>
      <w:pPr>
        <w:pStyle w:val="Style8"/>
        <w:framePr w:w="9158" w:h="7375" w:hRule="exact" w:wrap="none" w:vAnchor="page" w:hAnchor="page" w:x="1203" w:y="746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rStyle w:val="CharStyle15"/>
        </w:rPr>
        <w:t xml:space="preserve">Stravování: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bude zajištěno v pravidelných časech 5x denně. Současně bude zajištěn celodenní pitný režim. </w:t>
      </w:r>
      <w:r>
        <w:rPr>
          <w:rStyle w:val="CharStyle15"/>
        </w:rPr>
        <w:t xml:space="preserve">Stravování začíná obědem v den příjezdu a končí svačinou v den odjezdu (svačinou se rozumí běžná denní svačina, nikoliv balíček na cestu).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případě požadavku na speciální stravování - bezlepková dieta a další - je tuto skutečnost nutné hlásit s předstihem. V případě bezlepkové diety je nutné informovat rodiče o tom, že je potřeba s sebou dítěti přibalit tyto ingredience: bezlepkové pečivo, bezlepkové přílohy a bezlepkové sladkosti. Skladba jídelníčku může být písemně dohodnuta mezi Školou a Dodavatelem nejpozději 20 dnů před začátkem pobytu. Změna jídelníčku je možná na základě dohody obou smluvních stran.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9139" w:h="969" w:hRule="exact" w:wrap="none" w:vAnchor="page" w:hAnchor="page" w:x="1212" w:y="112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Nebudou-li faktur)' obsahovat zákonem stanovené náležitosti faktury, nebo budou-li obsahovat chybné údaje, je Škola oprávněna faktury vrátit Dodavateli k přepracování. V tomto případě neplatí původní doba splatnosti, ale celá ihůta splatnosti běží znovu ode dne doručení opravených nebo nově vystavených faktur.</w:t>
      </w:r>
    </w:p>
    <w:p>
      <w:pPr>
        <w:pStyle w:val="Style16"/>
        <w:numPr>
          <w:ilvl w:val="0"/>
          <w:numId w:val="3"/>
        </w:numPr>
        <w:framePr w:w="9139" w:h="13201" w:hRule="exact" w:wrap="none" w:vAnchor="page" w:hAnchor="page" w:x="1212" w:y="2273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1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Práva, a povinnosti smluvních stran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36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připravit na pokojích před začátkem pobytu lůžkoviny povlečení, které si samostatně provedou žáci Školy spolu s pedagogy.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3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je povinna zajistit si nahlášení pobytu na hygienickou stanici pomocí dokumentů, které budou připraveny Dodavatelem. Nahlášení pobytu u lékaře v místě konání zajišťuje Dodavatel.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zabezpečit řádný úklid všech poskytnutých prostor.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seznámit Školu s ubytovacím řádem zařízení, uvedeném článku 2. odst. 2. této smlouvy.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3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poskytnout Škole stravování v množství a kvalitě stanovené platnými právními předpisy a limity.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Žáci Školy jsou povinni 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neodpovídá za škody způsobené žáky Školy, které byly způsobeny v dopravním prostředku nebo v ubytovacím aj. zařízení, kde došlo k čerpání služby zajištěné dle smlouvy.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36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je povinna předat Dodavateli po skončení pobytu všechny užívané prostory a věci, které užívala, ve stavu, v jakém je převzala, s přihlédnutím k běžnému opotřebení.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je povinna Dodavateli nahradit škodu vzniklou na jeho majetku, která byla způsobena prokazatelně žáky Školy.</w:t>
      </w:r>
    </w:p>
    <w:p>
      <w:pPr>
        <w:pStyle w:val="Style1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</w:t>
      </w:r>
    </w:p>
    <w:p>
      <w:pPr>
        <w:pStyle w:val="Style12"/>
        <w:numPr>
          <w:ilvl w:val="0"/>
          <w:numId w:val="5"/>
        </w:numPr>
        <w:framePr w:w="9139" w:h="13201" w:hRule="exact" w:wrap="none" w:vAnchor="page" w:hAnchor="page" w:x="1212" w:y="2273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8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Odstoupeni od smlouvy</w:t>
      </w:r>
    </w:p>
    <w:p>
      <w:pPr>
        <w:pStyle w:val="Style8"/>
        <w:numPr>
          <w:ilvl w:val="0"/>
          <w:numId w:val="7"/>
        </w:numPr>
        <w:framePr w:w="9139" w:h="13201" w:hRule="exact" w:wrap="none" w:vAnchor="page" w:hAnchor="page" w:x="1212" w:y="2273"/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případech touto smlouvou výslovně neupravených se odstoupení od smlouvy řídí § 2001 a násl. občanského zákoníku.</w:t>
      </w:r>
    </w:p>
    <w:p>
      <w:pPr>
        <w:pStyle w:val="Style8"/>
        <w:numPr>
          <w:ilvl w:val="0"/>
          <w:numId w:val="7"/>
        </w:numPr>
        <w:framePr w:w="9139" w:h="13201" w:hRule="exact" w:wrap="none" w:vAnchor="page" w:hAnchor="page" w:x="1212" w:y="2273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3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má právo na odstoupení od smlouvy bez uplatnění jakýchkoliv storno podmínek v případě zrušení pobytu Dodavatelem nebo při závažné změně programu, místa ubytování, způsobu přepravy a ceny zájezdu bez předchozího písemného upozornění.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24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v tomto případě povinen vrátit zaplacenou zálohu do 30 dnů ode dne odstoupení.</w:t>
      </w:r>
    </w:p>
    <w:p>
      <w:pPr>
        <w:pStyle w:val="Style8"/>
        <w:numPr>
          <w:ilvl w:val="0"/>
          <w:numId w:val="7"/>
        </w:numPr>
        <w:framePr w:w="9139" w:h="13201" w:hRule="exact" w:wrap="none" w:vAnchor="page" w:hAnchor="page" w:x="1212" w:y="2273"/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případě zrušení pobytu z důvodu živelné pohromy, epidemie na škole nebo katastrofy je záloha nevratná a v takovém případě se obě strany písemně domluví</w:t>
      </w:r>
    </w:p>
    <w:p>
      <w:pPr>
        <w:pStyle w:val="Style8"/>
        <w:framePr w:w="9139" w:h="13201" w:hRule="exact" w:wrap="none" w:vAnchor="page" w:hAnchor="page" w:x="1212" w:y="227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náhradním termínu konání pobytu.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Cambria" w:eastAsia="Cambria" w:hAnsi="Cambria" w:cs="Cambria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6"/>
      <w:numFmt w:val="decimal"/>
      <w:lvlText w:val="%1,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mbria" w:eastAsia="Cambria" w:hAnsi="Cambria" w:cs="Cambria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Cambria" w:eastAsia="Cambria" w:hAnsi="Cambria" w:cs="Cambria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Cambria" w:eastAsia="Cambria" w:hAnsi="Cambria" w:cs="Cambria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_"/>
    <w:basedOn w:val="DefaultParagraphFont"/>
    <w:link w:val="Style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Other + Wide Latin,27 pt,Italic"/>
    <w:basedOn w:val="CharStyle3"/>
    <w:rPr>
      <w:i/>
      <w:iCs/>
      <w:sz w:val="54"/>
      <w:szCs w:val="54"/>
      <w:rFonts w:ascii="Wide Latin" w:eastAsia="Wide Latin" w:hAnsi="Wide Latin" w:cs="Wide Latin"/>
      <w:w w:val="100"/>
      <w:spacing w:val="0"/>
      <w:color w:val="000000"/>
      <w:position w:val="0"/>
    </w:rPr>
  </w:style>
  <w:style w:type="character" w:customStyle="1" w:styleId="CharStyle6">
    <w:name w:val="Heading #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2"/>
      <w:szCs w:val="32"/>
      <w:rFonts w:ascii="Cambria" w:eastAsia="Cambria" w:hAnsi="Cambria" w:cs="Cambria"/>
    </w:rPr>
  </w:style>
  <w:style w:type="character" w:customStyle="1" w:styleId="CharStyle7">
    <w:name w:val="Heading #1 + 10.5 pt"/>
    <w:basedOn w:val="CharStyle6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Cambria" w:eastAsia="Cambria" w:hAnsi="Cambria" w:cs="Cambria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13">
    <w:name w:val="Body text (4)_"/>
    <w:basedOn w:val="DefaultParagraphFont"/>
    <w:link w:val="Style12"/>
    <w:rPr>
      <w:b/>
      <w:bCs/>
      <w:i w:val="0"/>
      <w:iCs w:val="0"/>
      <w:u w:val="none"/>
      <w:strike w:val="0"/>
      <w:smallCaps w:val="0"/>
      <w:sz w:val="19"/>
      <w:szCs w:val="19"/>
      <w:rFonts w:ascii="Cambria" w:eastAsia="Cambria" w:hAnsi="Cambria" w:cs="Cambria"/>
    </w:rPr>
  </w:style>
  <w:style w:type="character" w:customStyle="1" w:styleId="CharStyle14">
    <w:name w:val="Body text (4) + Not Bold"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Body text (2) + Bold"/>
    <w:basedOn w:val="CharStyle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Body text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19">
    <w:name w:val="Body text (6)_"/>
    <w:basedOn w:val="DefaultParagraphFont"/>
    <w:link w:val="Style18"/>
    <w:rPr>
      <w:b w:val="0"/>
      <w:bCs w:val="0"/>
      <w:i/>
      <w:iCs/>
      <w:u w:val="none"/>
      <w:strike w:val="0"/>
      <w:smallCaps w:val="0"/>
      <w:sz w:val="9"/>
      <w:szCs w:val="9"/>
      <w:rFonts w:ascii="Cambria" w:eastAsia="Cambria" w:hAnsi="Cambria" w:cs="Cambria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jc w:val="center"/>
      <w:outlineLvl w:val="0"/>
      <w:spacing w:line="35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ambria" w:eastAsia="Cambria" w:hAnsi="Cambria" w:cs="Cambria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center"/>
      <w:spacing w:after="240" w:line="23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mbria" w:eastAsia="Cambria" w:hAnsi="Cambria" w:cs="Cambria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before="240" w:line="24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spacing w:before="240" w:after="240" w:line="23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mbria" w:eastAsia="Cambria" w:hAnsi="Cambria" w:cs="Cambria"/>
    </w:rPr>
  </w:style>
  <w:style w:type="paragraph" w:customStyle="1" w:styleId="Style16">
    <w:name w:val="Body text (5)"/>
    <w:basedOn w:val="Normal"/>
    <w:link w:val="CharStyle17"/>
    <w:pPr>
      <w:widowControl w:val="0"/>
      <w:shd w:val="clear" w:color="auto" w:fill="FFFFFF"/>
      <w:spacing w:before="240" w:after="240" w:line="24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paragraph" w:customStyle="1" w:styleId="Style18">
    <w:name w:val="Body text (6)"/>
    <w:basedOn w:val="Normal"/>
    <w:link w:val="CharStyle19"/>
    <w:pPr>
      <w:widowControl w:val="0"/>
      <w:shd w:val="clear" w:color="auto" w:fill="FFFFFF"/>
      <w:spacing w:line="11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