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DD" w:rsidRDefault="006305DD">
      <w:pPr>
        <w:pStyle w:val="Nadpis10"/>
        <w:keepNext/>
        <w:keepLines/>
        <w:shd w:val="clear" w:color="auto" w:fill="auto"/>
        <w:spacing w:after="372" w:line="4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85pt;margin-top:-45.55pt;width:50.4pt;height:44.15pt;z-index:-125829376;mso-wrap-distance-left:39.85pt;mso-wrap-distance-right:5pt;mso-position-horizontal-relative:margin" wrapcoords="0 0 21600 0 21600 21600 0 21600 0 0">
            <v:imagedata r:id="rId8" o:title="image1"/>
            <w10:wrap type="topAndBottom" anchorx="margin"/>
          </v:shape>
        </w:pict>
      </w:r>
      <w:bookmarkStart w:id="0" w:name="bookmark0"/>
      <w:r w:rsidR="009F2811">
        <w:t>Kooperativa</w:t>
      </w:r>
      <w:bookmarkEnd w:id="0"/>
    </w:p>
    <w:p w:rsidR="006305DD" w:rsidRDefault="009F2811">
      <w:pPr>
        <w:pStyle w:val="Nadpis30"/>
        <w:keepNext/>
        <w:keepLines/>
        <w:shd w:val="clear" w:color="auto" w:fill="auto"/>
        <w:spacing w:before="0" w:after="1118" w:line="240" w:lineRule="exact"/>
      </w:pPr>
      <w:bookmarkStart w:id="1" w:name="bookmark1"/>
      <w:r>
        <w:t>Centrum pojištění hospodářských rizik</w:t>
      </w:r>
      <w:bookmarkEnd w:id="1"/>
    </w:p>
    <w:p w:rsidR="006305DD" w:rsidRDefault="009F2811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Dodatek č. 9</w:t>
      </w:r>
      <w:bookmarkEnd w:id="2"/>
    </w:p>
    <w:p w:rsidR="006305DD" w:rsidRDefault="009F2811">
      <w:pPr>
        <w:pStyle w:val="Nadpis30"/>
        <w:keepNext/>
        <w:keepLines/>
        <w:shd w:val="clear" w:color="auto" w:fill="auto"/>
        <w:spacing w:before="0" w:after="281" w:line="280" w:lineRule="exact"/>
      </w:pPr>
      <w:bookmarkStart w:id="3" w:name="bookmark3"/>
      <w:r>
        <w:rPr>
          <w:rStyle w:val="Nadpis314pt"/>
          <w:b/>
          <w:bCs/>
        </w:rPr>
        <w:t xml:space="preserve">k pojistné smlouvě č. </w:t>
      </w:r>
      <w:r>
        <w:t xml:space="preserve">7720056887 ze dne </w:t>
      </w:r>
      <w:proofErr w:type="gramStart"/>
      <w:r>
        <w:t>01.01.2006</w:t>
      </w:r>
      <w:bookmarkEnd w:id="3"/>
      <w:proofErr w:type="gramEnd"/>
    </w:p>
    <w:p w:rsidR="006305DD" w:rsidRDefault="009F2811">
      <w:pPr>
        <w:pStyle w:val="Zkladntext20"/>
        <w:shd w:val="clear" w:color="auto" w:fill="auto"/>
        <w:spacing w:before="0" w:after="773" w:line="200" w:lineRule="exact"/>
        <w:ind w:firstLine="0"/>
      </w:pPr>
      <w:r>
        <w:t>sjednané mezi smluvními stranami:</w:t>
      </w:r>
    </w:p>
    <w:p w:rsidR="006305DD" w:rsidRDefault="009F2811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4" w:name="bookmark4"/>
      <w:r>
        <w:t>Kooperativa, pojišťovna, a. s.</w:t>
      </w:r>
      <w:bookmarkEnd w:id="4"/>
    </w:p>
    <w:p w:rsidR="006305DD" w:rsidRDefault="009F2811">
      <w:pPr>
        <w:pStyle w:val="Zkladntext30"/>
        <w:shd w:val="clear" w:color="auto" w:fill="auto"/>
        <w:spacing w:before="0"/>
        <w:ind w:right="560" w:firstLine="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6305DD" w:rsidRDefault="009F2811">
      <w:pPr>
        <w:pStyle w:val="Zkladntext20"/>
        <w:shd w:val="clear" w:color="auto" w:fill="auto"/>
        <w:spacing w:before="0" w:after="0" w:line="227" w:lineRule="exact"/>
        <w:ind w:firstLine="0"/>
      </w:pPr>
      <w:r>
        <w:t>zapsaná v obchodním rejstříku vedeném Městským soudem v Praze oddíl B, vložka 1897 (dále jen „</w:t>
      </w:r>
      <w:r>
        <w:rPr>
          <w:rStyle w:val="Zkladntext2Tun"/>
        </w:rPr>
        <w:t>pojistitel</w:t>
      </w:r>
      <w:r>
        <w:t>”),</w:t>
      </w:r>
    </w:p>
    <w:p w:rsidR="006305DD" w:rsidRDefault="009F2811">
      <w:pPr>
        <w:pStyle w:val="Zkladntext20"/>
        <w:shd w:val="clear" w:color="auto" w:fill="auto"/>
        <w:spacing w:before="0" w:after="180" w:line="227" w:lineRule="exact"/>
        <w:ind w:firstLine="0"/>
      </w:pPr>
      <w:r>
        <w:t>zastoupený na základě zmocnění níže podepsanými osobami</w:t>
      </w:r>
    </w:p>
    <w:p w:rsidR="006305DD" w:rsidRDefault="009F2811">
      <w:pPr>
        <w:pStyle w:val="Zkladntext20"/>
        <w:shd w:val="clear" w:color="auto" w:fill="auto"/>
        <w:spacing w:before="0" w:after="769" w:line="227" w:lineRule="exact"/>
        <w:ind w:firstLine="0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</w:t>
      </w:r>
      <w:r>
        <w:t>111 fax. 377417999 a</w:t>
      </w:r>
    </w:p>
    <w:p w:rsidR="006305DD" w:rsidRDefault="009F2811">
      <w:pPr>
        <w:pStyle w:val="Zkladntext40"/>
        <w:shd w:val="clear" w:color="auto" w:fill="auto"/>
        <w:spacing w:before="0" w:line="90" w:lineRule="exact"/>
        <w:ind w:left="140"/>
      </w:pPr>
      <w:r>
        <w:t>r</w:t>
      </w:r>
    </w:p>
    <w:p w:rsidR="006305DD" w:rsidRDefault="009F2811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5" w:name="bookmark5"/>
      <w:r>
        <w:t>Údržba silnic Karlovarského kraje, a.s.</w:t>
      </w:r>
      <w:bookmarkEnd w:id="5"/>
    </w:p>
    <w:p w:rsidR="006305DD" w:rsidRDefault="009F2811">
      <w:pPr>
        <w:pStyle w:val="Zkladntext30"/>
        <w:shd w:val="clear" w:color="auto" w:fill="auto"/>
        <w:spacing w:before="0" w:line="229" w:lineRule="exact"/>
        <w:ind w:firstLine="0"/>
      </w:pPr>
      <w:r>
        <w:t xml:space="preserve">se </w:t>
      </w:r>
      <w:proofErr w:type="gramStart"/>
      <w:r>
        <w:t>sídlem : 360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>, Na Vlečce 177 IČ: 264 02 068</w:t>
      </w:r>
    </w:p>
    <w:p w:rsidR="006305DD" w:rsidRDefault="009F2811">
      <w:pPr>
        <w:pStyle w:val="Zkladntext30"/>
        <w:shd w:val="clear" w:color="auto" w:fill="auto"/>
        <w:spacing w:before="0" w:line="229" w:lineRule="exact"/>
        <w:ind w:firstLine="0"/>
      </w:pPr>
      <w:r>
        <w:t xml:space="preserve">Zapsaná v obchodním rejstříku vedeném Krajským soudem v Plzni, oddíl B, vložka 1197 </w:t>
      </w:r>
      <w:r>
        <w:rPr>
          <w:rStyle w:val="Zkladntext3Netun"/>
        </w:rPr>
        <w:t xml:space="preserve">(dále jen </w:t>
      </w:r>
      <w:r>
        <w:t>pojistník)</w:t>
      </w:r>
    </w:p>
    <w:p w:rsidR="006305DD" w:rsidRDefault="009F2811">
      <w:pPr>
        <w:pStyle w:val="Zkladntext20"/>
        <w:shd w:val="clear" w:color="auto" w:fill="auto"/>
        <w:spacing w:before="0" w:after="0" w:line="229" w:lineRule="exact"/>
        <w:ind w:firstLine="0"/>
      </w:pPr>
      <w:r>
        <w:t>jednající: Ing. Martin Leichter</w:t>
      </w:r>
      <w:r>
        <w:t>, předseda představenstva</w:t>
      </w:r>
    </w:p>
    <w:p w:rsidR="006305DD" w:rsidRDefault="009F2811">
      <w:pPr>
        <w:pStyle w:val="Zkladntext20"/>
        <w:shd w:val="clear" w:color="auto" w:fill="auto"/>
        <w:spacing w:before="0" w:after="203" w:line="229" w:lineRule="exact"/>
        <w:ind w:left="860" w:firstLine="0"/>
      </w:pPr>
      <w:r>
        <w:t>Ing. Zdeněk Brázda, místopředseda představenstva</w:t>
      </w:r>
    </w:p>
    <w:p w:rsidR="006305DD" w:rsidRDefault="009F2811">
      <w:pPr>
        <w:pStyle w:val="Zkladntext20"/>
        <w:shd w:val="clear" w:color="auto" w:fill="auto"/>
        <w:spacing w:before="0" w:after="897" w:line="20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: STACH &amp; </w:t>
      </w:r>
      <w:proofErr w:type="gramStart"/>
      <w:r>
        <w:t>S.T.</w:t>
      </w:r>
      <w:proofErr w:type="gramEnd"/>
      <w:r>
        <w:t>, a.s., Jaltská 1, 360 01 Karlovy Vary</w:t>
      </w:r>
    </w:p>
    <w:p w:rsidR="006305DD" w:rsidRDefault="009F2811">
      <w:pPr>
        <w:pStyle w:val="Zkladntext20"/>
        <w:shd w:val="clear" w:color="auto" w:fill="auto"/>
        <w:spacing w:before="0" w:after="0" w:line="200" w:lineRule="exact"/>
        <w:ind w:firstLine="0"/>
      </w:pPr>
      <w:r>
        <w:t>Tato smlouva byla sjednána prostřednictvím pojišťovacího makléře:</w:t>
      </w:r>
    </w:p>
    <w:p w:rsidR="006305DD" w:rsidRDefault="009F2811">
      <w:pPr>
        <w:pStyle w:val="Nadpis30"/>
        <w:keepNext/>
        <w:keepLines/>
        <w:shd w:val="clear" w:color="auto" w:fill="auto"/>
        <w:spacing w:before="0" w:after="0" w:line="231" w:lineRule="exact"/>
      </w:pPr>
      <w:bookmarkStart w:id="6" w:name="bookmark6"/>
      <w:r>
        <w:t xml:space="preserve">STACH &amp; </w:t>
      </w:r>
      <w:proofErr w:type="gramStart"/>
      <w:r>
        <w:t>S.T.</w:t>
      </w:r>
      <w:proofErr w:type="gramEnd"/>
      <w:r>
        <w:t>, a. s.</w:t>
      </w:r>
      <w:bookmarkEnd w:id="6"/>
    </w:p>
    <w:p w:rsidR="006305DD" w:rsidRDefault="009F2811">
      <w:pPr>
        <w:pStyle w:val="Zkladntext20"/>
        <w:shd w:val="clear" w:color="auto" w:fill="auto"/>
        <w:spacing w:before="0" w:after="0" w:line="231" w:lineRule="exact"/>
        <w:ind w:firstLine="0"/>
      </w:pPr>
      <w:proofErr w:type="spellStart"/>
      <w:r>
        <w:t>Kolovratská</w:t>
      </w:r>
      <w:proofErr w:type="spellEnd"/>
      <w:r>
        <w:t xml:space="preserve"> 2/111, Praha 10 IČ: 64948366</w:t>
      </w:r>
    </w:p>
    <w:p w:rsidR="006305DD" w:rsidRDefault="009F2811">
      <w:pPr>
        <w:pStyle w:val="Zkladntext30"/>
        <w:shd w:val="clear" w:color="auto" w:fill="auto"/>
        <w:spacing w:before="0" w:line="231" w:lineRule="exact"/>
        <w:ind w:firstLine="0"/>
      </w:pPr>
      <w:r>
        <w:rPr>
          <w:rStyle w:val="Zkladntext3Netun"/>
        </w:rPr>
        <w:t xml:space="preserve">(dále jen </w:t>
      </w:r>
      <w:r>
        <w:t>„pojišťovací makléř”</w:t>
      </w:r>
      <w:r>
        <w:rPr>
          <w:rStyle w:val="Zkladntext3Netun"/>
        </w:rPr>
        <w:t>)</w:t>
      </w:r>
    </w:p>
    <w:p w:rsidR="006305DD" w:rsidRDefault="009F2811">
      <w:pPr>
        <w:pStyle w:val="Zkladntext30"/>
        <w:shd w:val="clear" w:color="auto" w:fill="auto"/>
        <w:spacing w:before="0" w:line="229" w:lineRule="exact"/>
        <w:ind w:firstLine="0"/>
      </w:pPr>
      <w:r>
        <w:t>Korespondenční adresa pojišťovacího makléře</w:t>
      </w:r>
      <w:r>
        <w:rPr>
          <w:rStyle w:val="Zkladntext3Netun"/>
        </w:rPr>
        <w:t>:</w:t>
      </w:r>
    </w:p>
    <w:p w:rsidR="006305DD" w:rsidRDefault="009F2811">
      <w:pPr>
        <w:pStyle w:val="Zkladntext20"/>
        <w:shd w:val="clear" w:color="auto" w:fill="auto"/>
        <w:spacing w:before="0" w:after="0" w:line="229" w:lineRule="exact"/>
        <w:ind w:firstLine="0"/>
      </w:pPr>
      <w:r>
        <w:t xml:space="preserve">STACH &amp; </w:t>
      </w:r>
      <w:proofErr w:type="gramStart"/>
      <w:r>
        <w:t>S.T.</w:t>
      </w:r>
      <w:proofErr w:type="gramEnd"/>
      <w:r>
        <w:t>, a.s.</w:t>
      </w:r>
    </w:p>
    <w:p w:rsidR="006305DD" w:rsidRDefault="006305DD">
      <w:pPr>
        <w:pStyle w:val="Zkladntext20"/>
        <w:shd w:val="clear" w:color="auto" w:fill="auto"/>
        <w:spacing w:before="0" w:after="0" w:line="229" w:lineRule="exact"/>
        <w:ind w:firstLine="0"/>
        <w:sectPr w:rsidR="006305DD">
          <w:headerReference w:type="default" r:id="rId9"/>
          <w:footnotePr>
            <w:numRestart w:val="eachPage"/>
          </w:footnotePr>
          <w:pgSz w:w="11900" w:h="16840"/>
          <w:pgMar w:top="880" w:right="3285" w:bottom="880" w:left="917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pt;margin-top:50.45pt;width:499.75pt;height:12.8pt;z-index:-125829375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6305DD" w:rsidRDefault="009F2811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Tento dodatek obsahuje dopojištění strojů- Zametač ,</w:t>
                  </w:r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Mulčovač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 xml:space="preserve">, </w:t>
                  </w:r>
                  <w:r>
                    <w:rPr>
                      <w:rStyle w:val="Zkladntext2Exact"/>
                    </w:rPr>
                    <w:t xml:space="preserve">válec </w:t>
                  </w:r>
                </w:p>
              </w:txbxContent>
            </v:textbox>
            <w10:wrap type="topAndBottom" anchorx="margin"/>
          </v:shape>
        </w:pict>
      </w:r>
      <w:r w:rsidR="009F2811">
        <w:t>Jaltská 1, 360 01 Karlovy Vary</w:t>
      </w:r>
    </w:p>
    <w:p w:rsidR="006305DD" w:rsidRDefault="009F2811">
      <w:pPr>
        <w:pStyle w:val="Zkladntext30"/>
        <w:shd w:val="clear" w:color="auto" w:fill="auto"/>
        <w:spacing w:before="0" w:after="42" w:line="200" w:lineRule="exact"/>
        <w:ind w:firstLine="0"/>
        <w:jc w:val="center"/>
      </w:pPr>
      <w:r>
        <w:lastRenderedPageBreak/>
        <w:t>Článek I.</w:t>
      </w:r>
    </w:p>
    <w:p w:rsidR="006305DD" w:rsidRDefault="009F2811">
      <w:pPr>
        <w:pStyle w:val="Zkladntext30"/>
        <w:shd w:val="clear" w:color="auto" w:fill="auto"/>
        <w:spacing w:before="0" w:after="249" w:line="200" w:lineRule="exact"/>
        <w:ind w:firstLine="0"/>
        <w:jc w:val="center"/>
      </w:pPr>
      <w:r>
        <w:t>Úvodní ustanovení</w:t>
      </w:r>
    </w:p>
    <w:p w:rsidR="006305DD" w:rsidRDefault="009F2811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04" w:line="200" w:lineRule="exact"/>
        <w:ind w:firstLine="0"/>
        <w:jc w:val="both"/>
      </w:pPr>
      <w:r>
        <w:t xml:space="preserve">Pojistník sjednává tuto pojistnou smlouvu ve svůj </w:t>
      </w:r>
      <w:r>
        <w:t>prospěch, tzn. je zároveň pojištěným.</w:t>
      </w:r>
    </w:p>
    <w:p w:rsidR="006305DD" w:rsidRDefault="009F2811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6" w:line="226" w:lineRule="exact"/>
        <w:ind w:left="460" w:hanging="460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6305DD" w:rsidRDefault="009F2811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30" w:lineRule="exact"/>
        <w:ind w:left="460" w:hanging="460"/>
      </w:pPr>
      <w:r>
        <w:t>K tomuto pojištění se vztahují: Všeobecné pojistné p</w:t>
      </w:r>
      <w:r>
        <w:t>odmínky pro pojištění majetku a odpovědnosti, (dále jen VPP), Zvláštní pojistné podmínky, (dále jen ZPP), a Dodatkové pojistné podmínky, (dále jen DPP).</w:t>
      </w:r>
    </w:p>
    <w:p w:rsidR="006305DD" w:rsidRDefault="009F2811">
      <w:pPr>
        <w:pStyle w:val="Zkladntext30"/>
        <w:shd w:val="clear" w:color="auto" w:fill="auto"/>
        <w:spacing w:before="0" w:line="346" w:lineRule="exact"/>
        <w:ind w:left="460" w:firstLine="0"/>
      </w:pPr>
      <w:r>
        <w:t>Všeobecné pojistné podmínky</w:t>
      </w:r>
    </w:p>
    <w:p w:rsidR="006305DD" w:rsidRDefault="009F2811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VPP P - 100/05 - pro pojištění majetku a odpovědnosti.</w:t>
      </w:r>
    </w:p>
    <w:p w:rsidR="006305DD" w:rsidRDefault="009F2811">
      <w:pPr>
        <w:pStyle w:val="Zkladntext30"/>
        <w:shd w:val="clear" w:color="auto" w:fill="auto"/>
        <w:spacing w:before="0" w:line="346" w:lineRule="exact"/>
        <w:ind w:left="460" w:firstLine="0"/>
      </w:pPr>
      <w:r>
        <w:t xml:space="preserve">Zvláštní pojistné </w:t>
      </w:r>
      <w:r>
        <w:t>podmínky</w:t>
      </w:r>
    </w:p>
    <w:p w:rsidR="006305DD" w:rsidRDefault="009F2811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- 150/05 - pro živelní pojištění</w:t>
      </w:r>
    </w:p>
    <w:p w:rsidR="006305DD" w:rsidRDefault="009F2811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6305DD" w:rsidRDefault="009F2811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- 300/05 - pro pojištění strojů</w:t>
      </w:r>
    </w:p>
    <w:p w:rsidR="006305DD" w:rsidRDefault="009F2811">
      <w:pPr>
        <w:pStyle w:val="Zkladntext20"/>
        <w:shd w:val="clear" w:color="auto" w:fill="auto"/>
        <w:spacing w:before="0" w:after="84" w:line="230" w:lineRule="exact"/>
        <w:ind w:left="460" w:firstLine="0"/>
      </w:pPr>
      <w:r>
        <w:t>ZPP P - 600/05 - pro pojištění odpovědnosti za škodu</w:t>
      </w:r>
    </w:p>
    <w:p w:rsidR="006305DD" w:rsidRDefault="009F2811">
      <w:pPr>
        <w:pStyle w:val="Zkladntext30"/>
        <w:shd w:val="clear" w:color="auto" w:fill="auto"/>
        <w:spacing w:before="0" w:line="200" w:lineRule="exact"/>
        <w:ind w:left="460" w:firstLine="0"/>
      </w:pPr>
      <w:r>
        <w:t>Dodatkové pojistné podmínky pro pojištění hospodářských rizik</w:t>
      </w:r>
    </w:p>
    <w:p w:rsidR="006305DD" w:rsidRDefault="009F2811">
      <w:pPr>
        <w:pStyle w:val="Zkladntext20"/>
        <w:shd w:val="clear" w:color="auto" w:fill="auto"/>
        <w:spacing w:before="0" w:after="104" w:line="200" w:lineRule="exact"/>
        <w:ind w:left="460" w:firstLine="0"/>
      </w:pPr>
      <w:r>
        <w:t xml:space="preserve">DPP </w:t>
      </w:r>
      <w:r>
        <w:t>P- 520/05.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6305DD" w:rsidRDefault="009F2811">
      <w:pPr>
        <w:pStyle w:val="Zkladntext20"/>
        <w:shd w:val="clear" w:color="auto" w:fill="auto"/>
        <w:spacing w:before="0" w:after="60" w:line="226" w:lineRule="exact"/>
        <w:ind w:left="460" w:right="4080" w:firstLine="0"/>
      </w:pPr>
      <w:r>
        <w:t>DST1 - Sdružený živel - Rozšíření rozsahu pojištění DST8 - Odcizení - Rozšíření rozsahu pojištění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Obecné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DOB 1 - Elektronická rizika - Výluka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DOB3 - Výklad pojmů pro účely pojistné smlouvy</w:t>
      </w:r>
    </w:p>
    <w:p w:rsidR="006305DD" w:rsidRDefault="009F2811">
      <w:pPr>
        <w:pStyle w:val="Zkladntext20"/>
        <w:shd w:val="clear" w:color="auto" w:fill="auto"/>
        <w:spacing w:before="0" w:after="1701" w:line="226" w:lineRule="exact"/>
        <w:ind w:left="460" w:firstLine="0"/>
      </w:pPr>
      <w:r>
        <w:t>DOB5 - Tíha sněhu, námraza - vymezení podmínek</w:t>
      </w:r>
    </w:p>
    <w:p w:rsidR="006305DD" w:rsidRDefault="009F2811">
      <w:pPr>
        <w:pStyle w:val="Zkladntext30"/>
        <w:shd w:val="clear" w:color="auto" w:fill="auto"/>
        <w:spacing w:before="0" w:line="200" w:lineRule="exact"/>
        <w:ind w:left="4360" w:firstLine="0"/>
      </w:pPr>
      <w:r>
        <w:t>Článek II.</w:t>
      </w:r>
    </w:p>
    <w:p w:rsidR="006305DD" w:rsidRDefault="009F2811">
      <w:pPr>
        <w:pStyle w:val="Zkladntext30"/>
        <w:shd w:val="clear" w:color="auto" w:fill="auto"/>
        <w:spacing w:before="0" w:line="298" w:lineRule="exact"/>
        <w:ind w:firstLine="0"/>
        <w:jc w:val="center"/>
      </w:pPr>
      <w:r>
        <w:t>Druhy a způsoby pojištění, předměty pojištění</w:t>
      </w:r>
    </w:p>
    <w:p w:rsidR="006305DD" w:rsidRDefault="009F2811">
      <w:pPr>
        <w:pStyle w:val="Zkladntext30"/>
        <w:numPr>
          <w:ilvl w:val="0"/>
          <w:numId w:val="2"/>
        </w:numPr>
        <w:shd w:val="clear" w:color="auto" w:fill="auto"/>
        <w:tabs>
          <w:tab w:val="left" w:pos="377"/>
        </w:tabs>
        <w:spacing w:before="0" w:after="138" w:line="298" w:lineRule="exact"/>
        <w:ind w:firstLine="0"/>
        <w:jc w:val="both"/>
      </w:pPr>
      <w:r>
        <w:t>Obecná ujednání pro pojištění majetku</w:t>
      </w:r>
    </w:p>
    <w:p w:rsidR="006305DD" w:rsidRDefault="009F2811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24" w:line="200" w:lineRule="exact"/>
        <w:ind w:firstLine="0"/>
        <w:jc w:val="both"/>
      </w:pPr>
      <w:r>
        <w:t>Pojištění majetku se sjednává na novou cenu, není-li v dalších ustanoveních této pojistné smlouvy uvedeno jinak.</w:t>
      </w:r>
    </w:p>
    <w:p w:rsidR="006305DD" w:rsidRDefault="009F2811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" w:line="200" w:lineRule="exact"/>
        <w:ind w:firstLine="0"/>
        <w:jc w:val="both"/>
      </w:pPr>
      <w:r>
        <w:t>Pojištění majetku se sjednává pro jednu a každou</w:t>
      </w:r>
      <w:r>
        <w:t xml:space="preserve"> pojistnou událost, není-li v dalších ustanoveních této pojistné</w:t>
      </w:r>
    </w:p>
    <w:p w:rsidR="006305DD" w:rsidRDefault="009F2811">
      <w:pPr>
        <w:pStyle w:val="Zkladntext20"/>
        <w:shd w:val="clear" w:color="auto" w:fill="auto"/>
        <w:spacing w:before="0" w:after="109" w:line="200" w:lineRule="exact"/>
        <w:ind w:left="460" w:firstLine="0"/>
      </w:pPr>
      <w:r>
        <w:t>smlouvy uvedeno jinak.</w:t>
      </w:r>
    </w:p>
    <w:p w:rsidR="006305DD" w:rsidRDefault="009F2811">
      <w:pPr>
        <w:pStyle w:val="Zkladntext30"/>
        <w:numPr>
          <w:ilvl w:val="1"/>
          <w:numId w:val="2"/>
        </w:numPr>
        <w:shd w:val="clear" w:color="auto" w:fill="auto"/>
        <w:tabs>
          <w:tab w:val="left" w:pos="459"/>
        </w:tabs>
        <w:spacing w:before="0" w:line="226" w:lineRule="exact"/>
        <w:ind w:left="460" w:hanging="460"/>
      </w:pPr>
      <w:r>
        <w:rPr>
          <w:rStyle w:val="Zkladntext3Netun"/>
        </w:rPr>
        <w:t xml:space="preserve">Pro pojištění majetku je místem </w:t>
      </w:r>
      <w:proofErr w:type="gramStart"/>
      <w:r>
        <w:rPr>
          <w:rStyle w:val="Zkladntext3Netun"/>
        </w:rPr>
        <w:t xml:space="preserve">pojištění : </w:t>
      </w:r>
      <w:r>
        <w:t>362 01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 Na Vlečce 177+ ostatní místa vedená v účetní evidenci pojištěného a dále místa pojištění dle</w:t>
      </w:r>
      <w:r>
        <w:t xml:space="preserve"> smluv o dílo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60" w:firstLine="0"/>
        <w:sectPr w:rsidR="006305DD">
          <w:pgSz w:w="11900" w:h="16840"/>
          <w:pgMar w:top="1128" w:right="941" w:bottom="1128" w:left="936" w:header="0" w:footer="3" w:gutter="0"/>
          <w:cols w:space="720"/>
          <w:noEndnote/>
          <w:docGrid w:linePitch="360"/>
        </w:sectPr>
      </w:pPr>
      <w:r>
        <w:t xml:space="preserve">*není-li dále uvedeno jinak. </w:t>
      </w:r>
      <w:r>
        <w:rPr>
          <w:vertAlign w:val="superscript"/>
        </w:rPr>
        <w:footnoteReference w:id="1"/>
      </w:r>
    </w:p>
    <w:p w:rsidR="006305DD" w:rsidRDefault="009F2811">
      <w:pPr>
        <w:pStyle w:val="Titulektabulky20"/>
        <w:framePr w:w="10042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lastRenderedPageBreak/>
        <w:t>2.6.7. Pojištění strojů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6305D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Místo </w:t>
            </w:r>
            <w:proofErr w:type="gramStart"/>
            <w:r>
              <w:rPr>
                <w:rStyle w:val="Zkladntext2Tun0"/>
              </w:rPr>
              <w:t xml:space="preserve">pojištění : </w:t>
            </w:r>
            <w:r>
              <w:rPr>
                <w:rStyle w:val="Zkladntext21"/>
              </w:rPr>
              <w:t>území</w:t>
            </w:r>
            <w:proofErr w:type="gramEnd"/>
            <w:r>
              <w:rPr>
                <w:rStyle w:val="Zkladntext21"/>
              </w:rPr>
              <w:t xml:space="preserve"> ČR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Rozsah </w:t>
            </w:r>
            <w:proofErr w:type="gramStart"/>
            <w:r>
              <w:rPr>
                <w:rStyle w:val="Zkladntext2Tun0"/>
              </w:rPr>
              <w:t xml:space="preserve">pojištění : </w:t>
            </w:r>
            <w:r>
              <w:rPr>
                <w:rStyle w:val="Zkladntext21"/>
              </w:rPr>
              <w:t>pojistné</w:t>
            </w:r>
            <w:proofErr w:type="gramEnd"/>
            <w:r>
              <w:rPr>
                <w:rStyle w:val="Zkladntext21"/>
              </w:rPr>
              <w:t xml:space="preserve"> nebezpečí dle čl. II. ZPP P-300/05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>Pojištění se řídí:</w:t>
            </w:r>
            <w:r>
              <w:rPr>
                <w:rStyle w:val="Zkladntext21"/>
              </w:rPr>
              <w:t xml:space="preserve">VPP P-100/05, ZPP P-300/05 a doložkami DOB1,DOB3, </w:t>
            </w:r>
            <w:r>
              <w:rPr>
                <w:rStyle w:val="Zkladntext2Tun0"/>
              </w:rPr>
              <w:t>DST1, DST8 .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</w:t>
            </w:r>
          </w:p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un0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un0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Tun0"/>
              </w:rPr>
              <w:t>Spoluúčast</w:t>
            </w:r>
          </w:p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"/>
              </w:rPr>
              <w:t>5</w:t>
            </w:r>
            <w:r>
              <w:rPr>
                <w:rStyle w:val="Zkladntext25pt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</w:pPr>
            <w:r>
              <w:rPr>
                <w:rStyle w:val="Zkladntext2Tun0"/>
              </w:rPr>
              <w:t>Pojištění</w:t>
            </w:r>
          </w:p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proofErr w:type="gramStart"/>
            <w:r>
              <w:rPr>
                <w:rStyle w:val="Zkladntext2Tun0"/>
              </w:rPr>
              <w:t>se sjednává</w:t>
            </w:r>
            <w:proofErr w:type="gramEnd"/>
          </w:p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"/>
              </w:rPr>
              <w:t>1</w:t>
            </w:r>
            <w:r>
              <w:rPr>
                <w:rStyle w:val="Zkladntext25pt"/>
              </w:rPr>
              <w:t>)</w:t>
            </w:r>
            <w:r>
              <w:rPr>
                <w:rStyle w:val="Zkladntext255pt"/>
              </w:rPr>
              <w:t>2</w:t>
            </w:r>
            <w:r>
              <w:rPr>
                <w:rStyle w:val="Zkladntext25pt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un0"/>
              </w:rPr>
              <w:t xml:space="preserve">Maximální roční limit pojistného plnění </w:t>
            </w:r>
            <w:r>
              <w:rPr>
                <w:rStyle w:val="Zkladntext2Tun0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200"/>
              <w:jc w:val="both"/>
            </w:pPr>
            <w:r>
              <w:rPr>
                <w:rStyle w:val="Zkladntext2Tun0"/>
              </w:rPr>
              <w:t xml:space="preserve">Limit pojistného plnění pro jednu poj. </w:t>
            </w:r>
            <w:proofErr w:type="gramStart"/>
            <w:r>
              <w:rPr>
                <w:rStyle w:val="Zkladntext2Tun0"/>
              </w:rPr>
              <w:t>událost</w:t>
            </w:r>
            <w:proofErr w:type="gramEnd"/>
            <w:r>
              <w:rPr>
                <w:rStyle w:val="Zkladntext2Tun0"/>
              </w:rPr>
              <w:t xml:space="preserve"> </w:t>
            </w:r>
            <w:r>
              <w:rPr>
                <w:rStyle w:val="Zkladntext25pt"/>
                <w:vertAlign w:val="superscript"/>
              </w:rPr>
              <w:footnoteReference w:id="2"/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25.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5DD" w:rsidRDefault="006305DD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88 736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5DD" w:rsidRDefault="006305DD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26.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6305DD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150 000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5DD" w:rsidRDefault="006305DD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27.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5DD" w:rsidRDefault="006305DD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757 500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5DD" w:rsidRDefault="006305DD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6305D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5DD" w:rsidRDefault="009F281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Poznámky: </w:t>
            </w:r>
            <w:r>
              <w:rPr>
                <w:rStyle w:val="Zkladntext21"/>
              </w:rPr>
              <w:t>Pro pojistné nebezpečí „povodeň“ se ujednává min. spoluúčast ve výši 10%-25.000,-Kč.</w:t>
            </w:r>
          </w:p>
        </w:tc>
      </w:tr>
    </w:tbl>
    <w:p w:rsidR="006305DD" w:rsidRDefault="009F2811">
      <w:pPr>
        <w:pStyle w:val="Titulektabulky0"/>
        <w:framePr w:w="10042" w:wrap="notBeside" w:vAnchor="text" w:hAnchor="text" w:xAlign="center" w:y="1"/>
        <w:shd w:val="clear" w:color="auto" w:fill="auto"/>
        <w:spacing w:line="190" w:lineRule="exact"/>
        <w:ind w:firstLine="0"/>
      </w:pPr>
      <w:r>
        <w:t>* není-li uvedeno, platí ustanovení čl. II. odst. 1.1.</w:t>
      </w:r>
    </w:p>
    <w:p w:rsidR="006305DD" w:rsidRDefault="009F2811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-41"/>
        </w:tabs>
        <w:spacing w:line="206" w:lineRule="exact"/>
        <w:ind w:firstLine="0"/>
      </w:pPr>
      <w:r>
        <w:t xml:space="preserve">časová cena je vyjádření pojistné hodnoty věci ve </w:t>
      </w:r>
      <w:r>
        <w:t xml:space="preserve">smyslu ustanovení čl. XVI. odst. 2. b) VPP P - 100/05, obvyklá cena je vyjádření pojistné hodnoty věci ve smyslu ustanovení čl. XVI. odst. 2. c) VPP P - 100/05, jiná cena je vyjádření pojistné hodnoty věci ve smyslu </w:t>
      </w:r>
      <w:proofErr w:type="spellStart"/>
      <w:proofErr w:type="gramStart"/>
      <w:r>
        <w:t>čl.V</w:t>
      </w:r>
      <w:proofErr w:type="spellEnd"/>
      <w:r>
        <w:t>.</w:t>
      </w:r>
      <w:proofErr w:type="gramEnd"/>
      <w:r>
        <w:t xml:space="preserve"> Zvláštní ujednání této pojistné sm</w:t>
      </w:r>
      <w:r>
        <w:t>louvy,</w:t>
      </w:r>
    </w:p>
    <w:p w:rsidR="006305DD" w:rsidRDefault="009F2811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 xml:space="preserve">první riziko je limit pojistného plnění ve smyslu ustanovení čl. XVHI . </w:t>
      </w:r>
      <w:proofErr w:type="spellStart"/>
      <w:r>
        <w:t>odst</w:t>
      </w:r>
      <w:proofErr w:type="spellEnd"/>
      <w:r>
        <w:t>, 1 a). VPP P - 100/05,</w:t>
      </w:r>
    </w:p>
    <w:p w:rsidR="006305DD" w:rsidRDefault="009F2811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 xml:space="preserve">maximální limit pojistného plnění je limitem pro všechny pojistné události za dobu pojištění ve smyslu ustanovení čl. XVIII. </w:t>
      </w:r>
      <w:proofErr w:type="gramStart"/>
      <w:r>
        <w:t>odst.3</w:t>
      </w:r>
      <w:proofErr w:type="gramEnd"/>
    </w:p>
    <w:p w:rsidR="006305DD" w:rsidRDefault="009F2811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r>
        <w:t xml:space="preserve">limit pojistného </w:t>
      </w:r>
      <w:r>
        <w:t>plnění pro jednu a každou pojistnou událost,</w:t>
      </w:r>
    </w:p>
    <w:p w:rsidR="006305DD" w:rsidRDefault="009F2811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6305DD" w:rsidRDefault="006305DD">
      <w:pPr>
        <w:framePr w:w="10042" w:wrap="notBeside" w:vAnchor="text" w:hAnchor="text" w:xAlign="center" w:y="1"/>
        <w:rPr>
          <w:sz w:val="2"/>
          <w:szCs w:val="2"/>
        </w:rPr>
      </w:pPr>
    </w:p>
    <w:p w:rsidR="006305DD" w:rsidRDefault="006305DD">
      <w:pPr>
        <w:rPr>
          <w:sz w:val="2"/>
          <w:szCs w:val="2"/>
        </w:rPr>
      </w:pPr>
    </w:p>
    <w:p w:rsidR="006305DD" w:rsidRDefault="009F2811">
      <w:pPr>
        <w:pStyle w:val="Zkladntext30"/>
        <w:shd w:val="clear" w:color="auto" w:fill="auto"/>
        <w:spacing w:before="404" w:after="904" w:line="200" w:lineRule="exact"/>
        <w:ind w:left="520" w:firstLine="0"/>
      </w:pPr>
      <w:r>
        <w:t>Ostatní ujednání článku II. se nemění</w:t>
      </w:r>
    </w:p>
    <w:p w:rsidR="006305DD" w:rsidRDefault="009F2811">
      <w:pPr>
        <w:pStyle w:val="Zkladntext30"/>
        <w:shd w:val="clear" w:color="auto" w:fill="auto"/>
        <w:spacing w:before="0" w:after="49" w:line="200" w:lineRule="exact"/>
        <w:ind w:left="520"/>
        <w:jc w:val="both"/>
      </w:pPr>
      <w:r>
        <w:t>3. Pojistné plnění - se nemění</w:t>
      </w:r>
    </w:p>
    <w:p w:rsidR="006305DD" w:rsidRDefault="009F2811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120" w:line="226" w:lineRule="exact"/>
        <w:ind w:left="520"/>
        <w:jc w:val="both"/>
      </w:pPr>
      <w:r>
        <w:t xml:space="preserve">Bez ohledu na jiná ujednání je pojistné plnění ze </w:t>
      </w:r>
      <w:r>
        <w:t xml:space="preserve">všech druhů pojištění sjednaných touto pojistnou smlouvou, za všechny pojistné události způsobené povodní nebo záplavou, nastalé v průběhu trvání pojištění, omezeno limitem pojistného plnění ve výši 100 000 </w:t>
      </w:r>
      <w:proofErr w:type="spellStart"/>
      <w:r>
        <w:t>000</w:t>
      </w:r>
      <w:proofErr w:type="spellEnd"/>
      <w:r>
        <w:t xml:space="preserve"> Kč.</w:t>
      </w:r>
    </w:p>
    <w:p w:rsidR="006305DD" w:rsidRDefault="009F2811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120" w:line="226" w:lineRule="exact"/>
        <w:ind w:left="520"/>
        <w:jc w:val="both"/>
      </w:pPr>
      <w:r>
        <w:t>Bez ohledu na jiná ujednání je pojistné p</w:t>
      </w:r>
      <w:r>
        <w:t xml:space="preserve">lnění ze všech druhů pojištění sjednaných touto pojistnou smlouvou, za všechny pojistné události způsobené vichřicí nebo krupobitím, nastalé v průběhu trvání pojištění, omezeno limitem pojistného plnění ve výši 30 000 </w:t>
      </w:r>
      <w:proofErr w:type="spellStart"/>
      <w:r>
        <w:t>000</w:t>
      </w:r>
      <w:proofErr w:type="spellEnd"/>
      <w:r>
        <w:t xml:space="preserve"> Kč.</w:t>
      </w:r>
    </w:p>
    <w:p w:rsidR="006305DD" w:rsidRDefault="009F2811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116" w:line="226" w:lineRule="exact"/>
        <w:ind w:left="520"/>
        <w:jc w:val="both"/>
      </w:pPr>
      <w:r>
        <w:t>Bez ohledu na jiná ujednání je</w:t>
      </w:r>
      <w:r>
        <w:t xml:space="preserve"> pojistné plnění ze všech druhů pojištění jednaných touto pojistnou smlouvou, za všechny pojistné události způsobené sesouváním půdy, zřícením skal nebo zemin, sesouváním nebo zřícením lavin, zemětřesením, a je-li pojištěnou věcí budova, též tíhou sněhu ne</w:t>
      </w:r>
      <w:r>
        <w:t xml:space="preserve">bo námrazy, nastalé v průběhu trvání pojištění, omezeno limitem pojistného plnění ve výši 30 000 </w:t>
      </w:r>
      <w:proofErr w:type="spellStart"/>
      <w:r>
        <w:t>000</w:t>
      </w:r>
      <w:proofErr w:type="spellEnd"/>
      <w:r>
        <w:t xml:space="preserve"> Kč.</w:t>
      </w:r>
    </w:p>
    <w:p w:rsidR="006305DD" w:rsidRDefault="009F2811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0" w:line="230" w:lineRule="exact"/>
        <w:ind w:left="520"/>
        <w:jc w:val="both"/>
      </w:pPr>
      <w:r>
        <w:t xml:space="preserve">Pro pojištění majetku se stanovuje spoluúčast jmenovitě ke každému předmětu pojištění. V případě pojistné události na více předmětech pojištění </w:t>
      </w:r>
      <w:r>
        <w:t xml:space="preserve">současně na jednom místě pojištění z téže příčiny se při likvidaci pojistné události od celkového pojistného plnění za pojistnou událost odečítá pouze ta spoluúčast, která je nejvyšší ze všech spoluúčastí </w:t>
      </w:r>
      <w:r>
        <w:lastRenderedPageBreak/>
        <w:t>sjednaných (vypočtených) pro každý jednotlivý předm</w:t>
      </w:r>
      <w:r>
        <w:t>ět pojištění postižený touto pojistnou událostí.</w:t>
      </w:r>
    </w:p>
    <w:p w:rsidR="006305DD" w:rsidRDefault="009F2811">
      <w:pPr>
        <w:pStyle w:val="Zkladntext30"/>
        <w:shd w:val="clear" w:color="auto" w:fill="auto"/>
        <w:spacing w:before="0" w:after="14" w:line="200" w:lineRule="exact"/>
        <w:ind w:right="20" w:firstLine="0"/>
        <w:jc w:val="center"/>
      </w:pPr>
      <w:r>
        <w:t>Článek III.</w:t>
      </w:r>
    </w:p>
    <w:p w:rsidR="006305DD" w:rsidRDefault="009F2811">
      <w:pPr>
        <w:pStyle w:val="Zkladntext30"/>
        <w:shd w:val="clear" w:color="auto" w:fill="auto"/>
        <w:spacing w:before="0" w:after="4" w:line="200" w:lineRule="exact"/>
        <w:ind w:right="20" w:firstLine="0"/>
        <w:jc w:val="center"/>
      </w:pPr>
      <w:r>
        <w:t>Výše a způsob placení pojistného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27" w:line="200" w:lineRule="exact"/>
        <w:ind w:left="440" w:hanging="440"/>
        <w:jc w:val="both"/>
      </w:pPr>
      <w:r>
        <w:t xml:space="preserve">Pojistné za pojistnou smlouvu po realizaci dodatku </w:t>
      </w:r>
      <w:proofErr w:type="gramStart"/>
      <w:r>
        <w:t>č.9 činí</w:t>
      </w:r>
      <w:proofErr w:type="gramEnd"/>
      <w:r>
        <w:t>:</w:t>
      </w:r>
    </w:p>
    <w:p w:rsidR="006305DD" w:rsidRDefault="009F2811">
      <w:pPr>
        <w:pStyle w:val="Zkladntext3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>Živelní pojištění</w:t>
      </w:r>
    </w:p>
    <w:p w:rsidR="006305DD" w:rsidRDefault="009F2811">
      <w:pPr>
        <w:pStyle w:val="Zkladntext20"/>
        <w:shd w:val="clear" w:color="auto" w:fill="auto"/>
        <w:tabs>
          <w:tab w:val="right" w:leader="dot" w:pos="9668"/>
          <w:tab w:val="right" w:pos="9928"/>
        </w:tabs>
        <w:spacing w:before="0" w:after="0" w:line="226" w:lineRule="exact"/>
        <w:ind w:left="440" w:firstLine="0"/>
        <w:jc w:val="both"/>
      </w:pPr>
      <w:r>
        <w:t>Pojistné</w:t>
      </w:r>
      <w:r>
        <w:tab/>
        <w:t>254.911</w:t>
      </w:r>
      <w:r>
        <w:tab/>
        <w:t>Kč</w:t>
      </w:r>
    </w:p>
    <w:p w:rsidR="006305DD" w:rsidRDefault="009F2811">
      <w:pPr>
        <w:pStyle w:val="Zkladntext3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>Pojištění pro případ odcizení</w:t>
      </w:r>
    </w:p>
    <w:p w:rsidR="006305DD" w:rsidRDefault="009F2811">
      <w:pPr>
        <w:pStyle w:val="Zkladntext20"/>
        <w:shd w:val="clear" w:color="auto" w:fill="auto"/>
        <w:tabs>
          <w:tab w:val="left" w:leader="dot" w:pos="8612"/>
          <w:tab w:val="center" w:pos="9040"/>
          <w:tab w:val="right" w:pos="9668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  <w:t>21</w:t>
      </w:r>
      <w:r>
        <w:tab/>
        <w:t>000</w:t>
      </w:r>
      <w:r>
        <w:tab/>
        <w:t>,- Kč</w:t>
      </w:r>
    </w:p>
    <w:p w:rsidR="006305DD" w:rsidRDefault="009F2811">
      <w:pPr>
        <w:pStyle w:val="Zkladntext3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 xml:space="preserve">Pojištění </w:t>
      </w:r>
      <w:r>
        <w:t>pro případ vandalismu</w:t>
      </w:r>
    </w:p>
    <w:p w:rsidR="006305DD" w:rsidRDefault="009F2811">
      <w:pPr>
        <w:pStyle w:val="Zkladntext20"/>
        <w:shd w:val="clear" w:color="auto" w:fill="auto"/>
        <w:tabs>
          <w:tab w:val="left" w:leader="dot" w:pos="8612"/>
          <w:tab w:val="center" w:pos="9040"/>
          <w:tab w:val="right" w:pos="9668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  <w:t>13</w:t>
      </w:r>
      <w:r>
        <w:tab/>
        <w:t>400</w:t>
      </w:r>
      <w:r>
        <w:tab/>
        <w:t>,- Kč</w:t>
      </w:r>
    </w:p>
    <w:p w:rsidR="006305DD" w:rsidRDefault="009F2811">
      <w:pPr>
        <w:pStyle w:val="Zkladntext3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>Pojištění elektronických zařízení</w:t>
      </w:r>
    </w:p>
    <w:p w:rsidR="006305DD" w:rsidRDefault="009F2811">
      <w:pPr>
        <w:pStyle w:val="Zkladntext20"/>
        <w:shd w:val="clear" w:color="auto" w:fill="auto"/>
        <w:tabs>
          <w:tab w:val="left" w:leader="dot" w:pos="8612"/>
          <w:tab w:val="center" w:pos="9050"/>
          <w:tab w:val="right" w:pos="9668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  <w:t>60</w:t>
      </w:r>
      <w:r>
        <w:tab/>
        <w:t>439</w:t>
      </w:r>
      <w:r>
        <w:tab/>
        <w:t>,- Kč</w:t>
      </w:r>
    </w:p>
    <w:p w:rsidR="006305DD" w:rsidRDefault="009F2811">
      <w:pPr>
        <w:pStyle w:val="Zkladntext3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>Pojištění strojů</w:t>
      </w:r>
    </w:p>
    <w:p w:rsidR="006305DD" w:rsidRDefault="009F2811">
      <w:pPr>
        <w:pStyle w:val="Zkladntext20"/>
        <w:shd w:val="clear" w:color="auto" w:fill="auto"/>
        <w:tabs>
          <w:tab w:val="left" w:leader="dot" w:pos="8612"/>
        </w:tabs>
        <w:spacing w:before="0" w:after="0" w:line="226" w:lineRule="exact"/>
        <w:ind w:left="440" w:firstLine="0"/>
        <w:jc w:val="both"/>
      </w:pPr>
      <w:r>
        <w:t>Pojistné 115.389,-Kč se mění na nově</w:t>
      </w:r>
      <w:r>
        <w:tab/>
        <w:t xml:space="preserve"> </w:t>
      </w:r>
      <w:proofErr w:type="gramStart"/>
      <w:r>
        <w:t>128.287 ,-Kč</w:t>
      </w:r>
      <w:proofErr w:type="gramEnd"/>
    </w:p>
    <w:p w:rsidR="006305DD" w:rsidRDefault="009F2811">
      <w:pPr>
        <w:pStyle w:val="Zkladntext30"/>
        <w:numPr>
          <w:ilvl w:val="0"/>
          <w:numId w:val="6"/>
        </w:numPr>
        <w:shd w:val="clear" w:color="auto" w:fill="auto"/>
        <w:tabs>
          <w:tab w:val="left" w:pos="474"/>
        </w:tabs>
        <w:spacing w:before="0" w:line="226" w:lineRule="exact"/>
        <w:ind w:left="440" w:hanging="440"/>
        <w:jc w:val="both"/>
      </w:pPr>
      <w:r>
        <w:t>Pojištění odpovědnosti za škodu</w:t>
      </w:r>
    </w:p>
    <w:p w:rsidR="006305DD" w:rsidRDefault="009F2811">
      <w:pPr>
        <w:pStyle w:val="Zkladntext20"/>
        <w:shd w:val="clear" w:color="auto" w:fill="auto"/>
        <w:tabs>
          <w:tab w:val="center" w:leader="dot" w:pos="9009"/>
          <w:tab w:val="left" w:pos="9400"/>
        </w:tabs>
        <w:spacing w:before="0" w:after="81" w:line="226" w:lineRule="exact"/>
        <w:ind w:left="440" w:firstLine="0"/>
        <w:jc w:val="both"/>
      </w:pPr>
      <w:r>
        <w:t xml:space="preserve">Pojistné </w:t>
      </w:r>
      <w:r>
        <w:tab/>
        <w:t>131.146</w:t>
      </w:r>
      <w:r>
        <w:tab/>
        <w:t>,- Kč</w:t>
      </w:r>
    </w:p>
    <w:p w:rsidR="006305DD" w:rsidRDefault="009F2811">
      <w:pPr>
        <w:pStyle w:val="Zkladntext30"/>
        <w:shd w:val="clear" w:color="auto" w:fill="auto"/>
        <w:tabs>
          <w:tab w:val="left" w:pos="1976"/>
          <w:tab w:val="right" w:leader="dot" w:pos="9668"/>
        </w:tabs>
        <w:spacing w:before="0" w:after="164" w:line="200" w:lineRule="exact"/>
        <w:ind w:left="440" w:hanging="440"/>
        <w:jc w:val="both"/>
      </w:pPr>
      <w:r>
        <w:t>Celkové pojistné činí</w:t>
      </w:r>
      <w:r>
        <w:tab/>
        <w:t>nově</w:t>
      </w:r>
      <w:r>
        <w:tab/>
      </w:r>
      <w:r>
        <w:t>609.183,- Kč</w:t>
      </w:r>
      <w:r>
        <w:rPr>
          <w:rStyle w:val="Zkladntext3Netun"/>
        </w:rPr>
        <w:t>.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0" w:line="226" w:lineRule="exact"/>
        <w:ind w:left="440" w:hanging="440"/>
        <w:jc w:val="both"/>
      </w:pPr>
      <w:r>
        <w:t>Pojistné je sjednáno jako běžné.</w:t>
      </w:r>
    </w:p>
    <w:p w:rsidR="006305DD" w:rsidRDefault="009F2811">
      <w:pPr>
        <w:pStyle w:val="Zkladntext20"/>
        <w:shd w:val="clear" w:color="auto" w:fill="auto"/>
        <w:spacing w:before="0" w:after="0" w:line="226" w:lineRule="exact"/>
        <w:ind w:left="440" w:right="380" w:firstLine="0"/>
      </w:pPr>
      <w:r>
        <w:t xml:space="preserve">Pojistné období je tříměsíční. Pojistné za tento dodatek č. 9 ( výši PRORATA sdělí pojistitel písemně po </w:t>
      </w:r>
      <w:proofErr w:type="gramStart"/>
      <w:r>
        <w:t>podpisu ) je</w:t>
      </w:r>
      <w:proofErr w:type="gramEnd"/>
      <w:r>
        <w:t xml:space="preserve"> splatné k </w:t>
      </w:r>
      <w:r>
        <w:rPr>
          <w:rStyle w:val="Zkladntext2Tun"/>
        </w:rPr>
        <w:t xml:space="preserve">23.04.2007 </w:t>
      </w:r>
      <w:r>
        <w:t>, další řádné splátky k datům a v částkách takto:</w:t>
      </w:r>
    </w:p>
    <w:p w:rsidR="006305DD" w:rsidRDefault="009F2811">
      <w:pPr>
        <w:pStyle w:val="Zkladntext20"/>
        <w:shd w:val="clear" w:color="auto" w:fill="auto"/>
        <w:tabs>
          <w:tab w:val="right" w:pos="4568"/>
        </w:tabs>
        <w:spacing w:before="0" w:after="0" w:line="346" w:lineRule="exact"/>
        <w:ind w:left="920" w:firstLine="0"/>
        <w:jc w:val="both"/>
      </w:pPr>
      <w:r>
        <w:t>datum:</w:t>
      </w:r>
      <w:r>
        <w:tab/>
        <w:t>částka:</w:t>
      </w:r>
    </w:p>
    <w:p w:rsidR="006305DD" w:rsidRDefault="009F2811">
      <w:pPr>
        <w:pStyle w:val="Zkladntext20"/>
        <w:numPr>
          <w:ilvl w:val="0"/>
          <w:numId w:val="7"/>
        </w:numPr>
        <w:shd w:val="clear" w:color="auto" w:fill="auto"/>
        <w:tabs>
          <w:tab w:val="right" w:pos="4957"/>
        </w:tabs>
        <w:spacing w:before="0" w:after="0" w:line="346" w:lineRule="exact"/>
        <w:ind w:left="920" w:firstLine="0"/>
        <w:jc w:val="both"/>
      </w:pPr>
      <w:r>
        <w:t>145.235,-Kč</w:t>
      </w:r>
    </w:p>
    <w:p w:rsidR="006305DD" w:rsidRDefault="009F2811">
      <w:pPr>
        <w:pStyle w:val="Zkladntext20"/>
        <w:numPr>
          <w:ilvl w:val="0"/>
          <w:numId w:val="8"/>
        </w:numPr>
        <w:shd w:val="clear" w:color="auto" w:fill="auto"/>
        <w:tabs>
          <w:tab w:val="right" w:pos="4957"/>
        </w:tabs>
        <w:spacing w:before="0" w:after="156" w:line="346" w:lineRule="exact"/>
        <w:ind w:left="920" w:firstLine="0"/>
        <w:jc w:val="both"/>
      </w:pPr>
      <w:r>
        <w:t>145.235,-Kč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81" w:line="226" w:lineRule="exact"/>
        <w:ind w:left="440" w:right="2540" w:hanging="440"/>
      </w:pPr>
      <w:r>
        <w:t xml:space="preserve">Pojistník je povinen uhradit pojistné v uvedené výši na účet pojišťovacího makléře číslo 2502640103/2600, vedený u </w:t>
      </w:r>
      <w:proofErr w:type="spellStart"/>
      <w:r>
        <w:t>Citibank</w:t>
      </w:r>
      <w:proofErr w:type="spellEnd"/>
      <w:r>
        <w:t xml:space="preserve"> a.s., variabilní symbol: </w:t>
      </w:r>
      <w:r>
        <w:rPr>
          <w:rStyle w:val="Zkladntext2Tun"/>
        </w:rPr>
        <w:t>7720056887.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1007" w:line="200" w:lineRule="exact"/>
        <w:ind w:left="440" w:hanging="440"/>
        <w:jc w:val="both"/>
      </w:pPr>
      <w:r>
        <w:t xml:space="preserve">Pojistné se považuje za zaplacené okamžikem připsání pojistného v plné </w:t>
      </w:r>
      <w:r>
        <w:t>výši na výše uvedený účet.</w:t>
      </w:r>
    </w:p>
    <w:p w:rsidR="006305DD" w:rsidRDefault="009F2811">
      <w:pPr>
        <w:pStyle w:val="Zkladntext30"/>
        <w:shd w:val="clear" w:color="auto" w:fill="auto"/>
        <w:spacing w:before="0" w:after="4" w:line="200" w:lineRule="exact"/>
        <w:ind w:right="20" w:firstLine="0"/>
        <w:jc w:val="center"/>
      </w:pPr>
      <w:r>
        <w:t>Článek IV.</w:t>
      </w:r>
    </w:p>
    <w:p w:rsidR="006305DD" w:rsidRDefault="009F2811">
      <w:pPr>
        <w:pStyle w:val="Zkladntext30"/>
        <w:shd w:val="clear" w:color="auto" w:fill="auto"/>
        <w:spacing w:before="0" w:after="119" w:line="200" w:lineRule="exact"/>
        <w:ind w:right="20" w:firstLine="0"/>
        <w:jc w:val="center"/>
      </w:pPr>
      <w:r>
        <w:t>Hlášení škodných událostí</w:t>
      </w:r>
    </w:p>
    <w:p w:rsidR="006305DD" w:rsidRDefault="009F2811">
      <w:pPr>
        <w:pStyle w:val="Zkladntext20"/>
        <w:shd w:val="clear" w:color="auto" w:fill="auto"/>
        <w:spacing w:before="0" w:after="1227" w:line="200" w:lineRule="exact"/>
        <w:ind w:right="20" w:firstLine="0"/>
        <w:jc w:val="center"/>
      </w:pPr>
      <w:proofErr w:type="gramStart"/>
      <w:r>
        <w:t>Se nemění</w:t>
      </w:r>
      <w:proofErr w:type="gramEnd"/>
    </w:p>
    <w:p w:rsidR="006305DD" w:rsidRDefault="009F2811">
      <w:pPr>
        <w:pStyle w:val="Zkladntext30"/>
        <w:shd w:val="clear" w:color="auto" w:fill="auto"/>
        <w:spacing w:before="0" w:after="81" w:line="226" w:lineRule="exact"/>
        <w:ind w:right="20" w:firstLine="0"/>
        <w:jc w:val="center"/>
      </w:pPr>
      <w:r>
        <w:t>Článek V.</w:t>
      </w:r>
      <w:r>
        <w:br/>
        <w:t>Zvláštní ujednání</w:t>
      </w:r>
    </w:p>
    <w:p w:rsidR="006305DD" w:rsidRDefault="009F2811">
      <w:pPr>
        <w:pStyle w:val="Zkladntext20"/>
        <w:shd w:val="clear" w:color="auto" w:fill="auto"/>
        <w:spacing w:before="0" w:after="1127" w:line="200" w:lineRule="exact"/>
        <w:ind w:right="20" w:firstLine="0"/>
        <w:jc w:val="center"/>
      </w:pPr>
      <w:r>
        <w:t>Nesjednává se.</w:t>
      </w:r>
    </w:p>
    <w:p w:rsidR="006305DD" w:rsidRDefault="009F2811">
      <w:pPr>
        <w:pStyle w:val="Zkladntext30"/>
        <w:shd w:val="clear" w:color="auto" w:fill="auto"/>
        <w:spacing w:before="0" w:after="9" w:line="200" w:lineRule="exact"/>
        <w:ind w:right="20" w:firstLine="0"/>
        <w:jc w:val="center"/>
      </w:pPr>
      <w:r>
        <w:t>Článek VI.</w:t>
      </w:r>
    </w:p>
    <w:p w:rsidR="006305DD" w:rsidRDefault="009F2811">
      <w:pPr>
        <w:pStyle w:val="Zkladntext30"/>
        <w:shd w:val="clear" w:color="auto" w:fill="auto"/>
        <w:spacing w:before="0" w:after="4" w:line="200" w:lineRule="exact"/>
        <w:ind w:right="20" w:firstLine="0"/>
        <w:jc w:val="center"/>
      </w:pPr>
      <w:r>
        <w:t>Závěrečná ustanovení</w:t>
      </w:r>
    </w:p>
    <w:p w:rsidR="006305DD" w:rsidRDefault="009F2811">
      <w:pPr>
        <w:pStyle w:val="Zkladntext20"/>
        <w:numPr>
          <w:ilvl w:val="0"/>
          <w:numId w:val="9"/>
        </w:numPr>
        <w:shd w:val="clear" w:color="auto" w:fill="auto"/>
        <w:tabs>
          <w:tab w:val="left" w:pos="397"/>
        </w:tabs>
        <w:spacing w:before="0" w:after="143" w:line="200" w:lineRule="exact"/>
        <w:ind w:left="440" w:hanging="440"/>
        <w:jc w:val="both"/>
      </w:pPr>
      <w:r>
        <w:t xml:space="preserve">Tento dodatek pojistné smlouvy se sjednává na dobu </w:t>
      </w:r>
      <w:r>
        <w:rPr>
          <w:rStyle w:val="Zkladntext2Tun"/>
        </w:rPr>
        <w:t xml:space="preserve">od 14.04.2007 - do </w:t>
      </w:r>
      <w:proofErr w:type="gramStart"/>
      <w:r>
        <w:rPr>
          <w:rStyle w:val="Zkladntext2Tun"/>
        </w:rPr>
        <w:t>31.12.2007</w:t>
      </w:r>
      <w:proofErr w:type="gramEnd"/>
      <w:r>
        <w:rPr>
          <w:rStyle w:val="Zkladntext2Tun"/>
        </w:rPr>
        <w:t>.</w:t>
      </w:r>
    </w:p>
    <w:p w:rsidR="006305DD" w:rsidRDefault="009F2811">
      <w:pPr>
        <w:pStyle w:val="Zkladntext30"/>
        <w:numPr>
          <w:ilvl w:val="0"/>
          <w:numId w:val="9"/>
        </w:numPr>
        <w:shd w:val="clear" w:color="auto" w:fill="auto"/>
        <w:tabs>
          <w:tab w:val="left" w:pos="397"/>
        </w:tabs>
        <w:spacing w:before="0" w:after="60" w:line="230" w:lineRule="exact"/>
        <w:ind w:left="440" w:right="820" w:hanging="440"/>
      </w:pPr>
      <w:r>
        <w:t>Účinnost pojištění lze po</w:t>
      </w:r>
      <w:r>
        <w:t xml:space="preserve"> vzájemné dohodě </w:t>
      </w:r>
      <w:proofErr w:type="gramStart"/>
      <w:r>
        <w:t>prodloužit , pojistná</w:t>
      </w:r>
      <w:proofErr w:type="gramEnd"/>
      <w:r>
        <w:t xml:space="preserve"> smlouva bude aktualizována, vypočteno výsledné roční pojistné a stanoven předpis pojistného pro nadcházející pojistný rok.</w:t>
      </w:r>
    </w:p>
    <w:p w:rsidR="006305DD" w:rsidRDefault="009F2811">
      <w:pPr>
        <w:pStyle w:val="Zkladntext20"/>
        <w:numPr>
          <w:ilvl w:val="0"/>
          <w:numId w:val="9"/>
        </w:numPr>
        <w:shd w:val="clear" w:color="auto" w:fill="auto"/>
        <w:tabs>
          <w:tab w:val="left" w:pos="397"/>
        </w:tabs>
        <w:spacing w:before="0" w:after="0" w:line="230" w:lineRule="exact"/>
        <w:ind w:left="440" w:hanging="440"/>
        <w:jc w:val="both"/>
      </w:pPr>
      <w:r>
        <w:t>Pojistník podpisem tohoto dodatku prohlašuje, že byl před jejím uzavřením jasně a srozumitelně seznámen s pojistnými podmínkami pojistitele a doložkami, které se vztahují k pojištění vzniklému na základě této smlouvy a že mu byly oznámeny informace v soula</w:t>
      </w:r>
      <w:r>
        <w:t xml:space="preserve">du s ustanovením § 65 a </w:t>
      </w:r>
      <w:proofErr w:type="spellStart"/>
      <w:r>
        <w:t>násl</w:t>
      </w:r>
      <w:proofErr w:type="spellEnd"/>
      <w:r>
        <w:t xml:space="preserve">. zák. č. 37/2004 Sb., o pojistné smlouvě. </w:t>
      </w:r>
      <w:r>
        <w:rPr>
          <w:vertAlign w:val="superscript"/>
        </w:rPr>
        <w:t>4</w:t>
      </w:r>
      <w:r>
        <w:br w:type="page"/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74"/>
        </w:tabs>
        <w:spacing w:before="0" w:after="60" w:line="230" w:lineRule="exact"/>
        <w:ind w:left="420" w:hanging="420"/>
        <w:jc w:val="both"/>
      </w:pPr>
      <w:r>
        <w:lastRenderedPageBreak/>
        <w:t>Pojistník, je-li osobou odlišnou od pojištěného, dále prohlašuje, že poskytl pojistiteli osobní údaje pojištěného, uvedené v pojistné smlouvě a dal souhlas k jejich zpracování ve smy</w:t>
      </w:r>
      <w:r>
        <w:t>slu odst. 3.) tohoto článku na základě plné moci od pojištěného.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74"/>
        </w:tabs>
        <w:spacing w:before="0" w:after="60" w:line="230" w:lineRule="exact"/>
        <w:ind w:left="420" w:hanging="420"/>
        <w:jc w:val="both"/>
      </w:pPr>
      <w:r>
        <w:t>Dodatek byl vypracován ve 4 stejnopisech, pojistník obdrží 1 stejnopis, pojistitel si ponechá 2 stejnopisy a pojišťovací makléř obdrží 1 stejnopis.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74"/>
        </w:tabs>
        <w:spacing w:before="0" w:after="84" w:line="230" w:lineRule="exact"/>
        <w:ind w:left="420" w:hanging="420"/>
        <w:jc w:val="both"/>
      </w:pPr>
      <w:r>
        <w:t>Stejnopis tohoto dodatku, který obdrží poji</w:t>
      </w:r>
      <w:r>
        <w:t>stník, je zároveň potvrzením o uzavření pojistné smlouvy (pojistkou) ve smyslu zákona o pojistné smlouvě.</w:t>
      </w:r>
    </w:p>
    <w:p w:rsidR="006305DD" w:rsidRDefault="009F2811">
      <w:pPr>
        <w:pStyle w:val="Zkladntext20"/>
        <w:numPr>
          <w:ilvl w:val="0"/>
          <w:numId w:val="5"/>
        </w:numPr>
        <w:shd w:val="clear" w:color="auto" w:fill="auto"/>
        <w:tabs>
          <w:tab w:val="left" w:pos="374"/>
        </w:tabs>
        <w:spacing w:before="0" w:after="1559" w:line="200" w:lineRule="exact"/>
        <w:ind w:left="420" w:hanging="420"/>
        <w:jc w:val="both"/>
      </w:pPr>
      <w:r>
        <w:t xml:space="preserve">Tento dodatek obsahuje 5 stran a 1 přílohu - požadavek k </w:t>
      </w:r>
      <w:proofErr w:type="gramStart"/>
      <w:r>
        <w:t>pojištění .</w:t>
      </w:r>
      <w:proofErr w:type="gramEnd"/>
    </w:p>
    <w:p w:rsidR="006305DD" w:rsidRDefault="006305DD">
      <w:pPr>
        <w:pStyle w:val="Zkladntext20"/>
        <w:shd w:val="clear" w:color="auto" w:fill="auto"/>
        <w:tabs>
          <w:tab w:val="left" w:pos="1459"/>
        </w:tabs>
        <w:spacing w:before="0" w:after="0" w:line="200" w:lineRule="exact"/>
        <w:ind w:left="420" w:hanging="420"/>
        <w:jc w:val="both"/>
      </w:pPr>
      <w:r>
        <w:pict>
          <v:shape id="_x0000_s1029" type="#_x0000_t202" style="position:absolute;left:0;text-align:left;margin-left:20.3pt;margin-top:101.2pt;width:183.85pt;height:12.9pt;z-index:-125829374;mso-wrap-distance-left:17.75pt;mso-wrap-distance-right:300pt;mso-position-horizontal-relative:margin" filled="f" stroked="f">
            <v:textbox style="mso-fit-shape-to-text:t" inset="0,0,0,0">
              <w:txbxContent>
                <w:p w:rsidR="006305DD" w:rsidRDefault="009F2811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Zkladntext2Exact"/>
                    </w:rPr>
                    <w:t>Ing.Martin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2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86.7pt;margin-top:101.2pt;width:206.65pt;height:12.9pt;z-index:-125829373;mso-wrap-distance-left:284.15pt;mso-wrap-distance-right:10.8pt;mso-position-horizontal-relative:margin" filled="f" stroked="f">
            <v:textbox style="mso-fit-shape-to-text:t" inset="0,0,0,0">
              <w:txbxContent>
                <w:p w:rsidR="006305DD" w:rsidRDefault="009F2811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Ing. Zdeněk Brázda, </w:t>
                  </w:r>
                  <w:r>
                    <w:rPr>
                      <w:rStyle w:val="Zkladntext2Exact"/>
                    </w:rPr>
                    <w:t>místopředseda představenstva</w:t>
                  </w:r>
                </w:p>
              </w:txbxContent>
            </v:textbox>
            <w10:wrap type="topAndBottom" anchorx="margin"/>
          </v:shape>
        </w:pict>
      </w:r>
      <w:r w:rsidR="009F2811">
        <w:t xml:space="preserve">Za </w:t>
      </w:r>
      <w:proofErr w:type="spellStart"/>
      <w:r w:rsidR="009F2811">
        <w:t>pojistníka</w:t>
      </w:r>
      <w:proofErr w:type="spellEnd"/>
      <w:r w:rsidR="009F2811">
        <w:t>:</w:t>
      </w:r>
      <w:r w:rsidR="009F2811">
        <w:tab/>
        <w:t xml:space="preserve">V Karlových Varech dne </w:t>
      </w:r>
      <w:proofErr w:type="gramStart"/>
      <w:r w:rsidR="009F2811">
        <w:t>13.04.2007</w:t>
      </w:r>
      <w:proofErr w:type="gramEnd"/>
    </w:p>
    <w:p w:rsidR="006305DD" w:rsidRDefault="009F2811">
      <w:pPr>
        <w:pStyle w:val="Zkladntext20"/>
        <w:shd w:val="clear" w:color="auto" w:fill="auto"/>
        <w:tabs>
          <w:tab w:val="left" w:pos="1454"/>
        </w:tabs>
        <w:spacing w:before="0" w:after="0" w:line="200" w:lineRule="exact"/>
        <w:ind w:firstLine="0"/>
        <w:jc w:val="both"/>
      </w:pPr>
      <w:r>
        <w:t>Za pojistitele:</w:t>
      </w:r>
      <w:r>
        <w:tab/>
        <w:t xml:space="preserve">V Karlových Varech dne </w:t>
      </w:r>
      <w:proofErr w:type="gramStart"/>
      <w:r>
        <w:t>13.04.2007</w:t>
      </w:r>
      <w:proofErr w:type="gramEnd"/>
    </w:p>
    <w:sectPr w:rsidR="006305DD" w:rsidSect="006305DD">
      <w:pgSz w:w="11900" w:h="16840"/>
      <w:pgMar w:top="1113" w:right="896" w:bottom="878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DD" w:rsidRDefault="006305DD" w:rsidP="006305DD">
      <w:r>
        <w:separator/>
      </w:r>
    </w:p>
  </w:endnote>
  <w:endnote w:type="continuationSeparator" w:id="0">
    <w:p w:rsidR="006305DD" w:rsidRDefault="006305DD" w:rsidP="0063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DD" w:rsidRDefault="009F2811">
      <w:r>
        <w:separator/>
      </w:r>
    </w:p>
  </w:footnote>
  <w:footnote w:type="continuationSeparator" w:id="0">
    <w:p w:rsidR="006305DD" w:rsidRDefault="009F2811">
      <w:r>
        <w:continuationSeparator/>
      </w:r>
    </w:p>
  </w:footnote>
  <w:footnote w:id="1">
    <w:p w:rsidR="006305DD" w:rsidRDefault="009F2811">
      <w:pPr>
        <w:pStyle w:val="Poznmkapodarou0"/>
        <w:shd w:val="clear" w:color="auto" w:fill="auto"/>
        <w:ind w:left="460" w:right="840"/>
      </w:pPr>
      <w:r>
        <w:rPr>
          <w:rStyle w:val="PoznmkapodarouTun"/>
        </w:rPr>
        <w:footnoteRef/>
      </w:r>
      <w:r>
        <w:rPr>
          <w:rStyle w:val="PoznmkapodarouTun"/>
        </w:rPr>
        <w:t xml:space="preserve"> </w:t>
      </w:r>
      <w:proofErr w:type="gramStart"/>
      <w:r>
        <w:rPr>
          <w:rStyle w:val="PoznmkapodarouTun"/>
        </w:rPr>
        <w:t>Pojištění , jejichž</w:t>
      </w:r>
      <w:proofErr w:type="gramEnd"/>
      <w:r>
        <w:rPr>
          <w:rStyle w:val="PoznmkapodarouTun"/>
        </w:rPr>
        <w:t xml:space="preserve"> platnost začíná dnem účinnosti toho dodatku - </w:t>
      </w:r>
      <w:r>
        <w:t>( pojištění doposud sjednaná se nemění ) Pojištění se sj</w:t>
      </w:r>
      <w:r>
        <w:t>ednává pro předmět pojištění v rozsahu a na místě pojištění uvedených v následující tabulce:</w:t>
      </w:r>
    </w:p>
  </w:footnote>
  <w:footnote w:id="2">
    <w:p w:rsidR="006305DD" w:rsidRDefault="009F2811">
      <w:pPr>
        <w:pStyle w:val="Poznmkapodarou0"/>
        <w:shd w:val="clear" w:color="auto" w:fill="auto"/>
        <w:tabs>
          <w:tab w:val="left" w:pos="355"/>
        </w:tabs>
        <w:spacing w:line="226" w:lineRule="exact"/>
        <w:ind w:left="380" w:hanging="380"/>
      </w:pPr>
      <w:r>
        <w:footnoteRef/>
      </w:r>
      <w:r>
        <w:tab/>
        <w:t xml:space="preserve">Pojistník podpisem dodatku prohlašuje, že byl informován o rozsahu a účelu zpracování jeho osobních údajů a o právu přístupu k nim v souladu s ustanovením § 11, </w:t>
      </w:r>
      <w:r>
        <w:t>12, 21 zákona č. 101/2000 Sb. o ochraně osobních údajů.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DD" w:rsidRDefault="006305DD">
    <w:pPr>
      <w:rPr>
        <w:sz w:val="2"/>
        <w:szCs w:val="2"/>
      </w:rPr>
    </w:pPr>
    <w:r w:rsidRPr="006305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4pt;margin-top:37.5pt;width:31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5DD" w:rsidRDefault="009F281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9F2811">
                    <w:rPr>
                      <w:rStyle w:val="ZhlavneboZpat1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3F6"/>
    <w:multiLevelType w:val="multilevel"/>
    <w:tmpl w:val="802A5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4527A"/>
    <w:multiLevelType w:val="multilevel"/>
    <w:tmpl w:val="91D40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9529F"/>
    <w:multiLevelType w:val="multilevel"/>
    <w:tmpl w:val="C5C47B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224CB"/>
    <w:multiLevelType w:val="multilevel"/>
    <w:tmpl w:val="535094D0"/>
    <w:lvl w:ilvl="0">
      <w:start w:val="2007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27E84"/>
    <w:multiLevelType w:val="multilevel"/>
    <w:tmpl w:val="CD1C4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222DC"/>
    <w:multiLevelType w:val="multilevel"/>
    <w:tmpl w:val="31F6F468"/>
    <w:lvl w:ilvl="0">
      <w:start w:val="2007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11AE0"/>
    <w:multiLevelType w:val="multilevel"/>
    <w:tmpl w:val="4FE8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7259E"/>
    <w:multiLevelType w:val="multilevel"/>
    <w:tmpl w:val="913AC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1C7E1F"/>
    <w:multiLevelType w:val="multilevel"/>
    <w:tmpl w:val="766817D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6305DD"/>
    <w:rsid w:val="006305DD"/>
    <w:rsid w:val="009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305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05DD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630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znmkapodarouTun">
    <w:name w:val="Poznámka pod čarou + Tučné"/>
    <w:basedOn w:val="Poznmkapodarou"/>
    <w:rsid w:val="006305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630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Exact">
    <w:name w:val="Základní text (2) + 9;5 pt Exact"/>
    <w:basedOn w:val="Zkladntext2"/>
    <w:rsid w:val="006305DD"/>
    <w:rPr>
      <w:sz w:val="19"/>
      <w:szCs w:val="19"/>
    </w:rPr>
  </w:style>
  <w:style w:type="character" w:customStyle="1" w:styleId="Nadpis1">
    <w:name w:val="Nadpis #1_"/>
    <w:basedOn w:val="Standardnpsmoodstavce"/>
    <w:link w:val="Nadpis10"/>
    <w:rsid w:val="006305DD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sid w:val="0063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63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14pt">
    <w:name w:val="Nadpis #3 + 14 pt"/>
    <w:basedOn w:val="Nadpis3"/>
    <w:rsid w:val="006305DD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30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63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6305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305DD"/>
    <w:rPr>
      <w:rFonts w:ascii="Tahoma" w:eastAsia="Tahoma" w:hAnsi="Tahoma" w:cs="Tahoma"/>
      <w:b/>
      <w:bCs/>
      <w:i/>
      <w:iCs/>
      <w:smallCaps w:val="0"/>
      <w:strike w:val="0"/>
      <w:w w:val="200"/>
      <w:sz w:val="9"/>
      <w:szCs w:val="9"/>
      <w:u w:val="none"/>
    </w:rPr>
  </w:style>
  <w:style w:type="character" w:customStyle="1" w:styleId="Zkladntext3Netun">
    <w:name w:val="Základní text (3) + Ne tučné"/>
    <w:basedOn w:val="Zkladntext3"/>
    <w:rsid w:val="006305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3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6305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30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6305D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30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sid w:val="006305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305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6305DD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pt">
    <w:name w:val="Základní text (2) + 5 pt"/>
    <w:basedOn w:val="Zkladntext2"/>
    <w:rsid w:val="006305DD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6305DD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305DD"/>
    <w:pPr>
      <w:shd w:val="clear" w:color="auto" w:fill="FFFFFF"/>
      <w:spacing w:before="360" w:after="840" w:line="0" w:lineRule="atLeas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6305DD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b/>
      <w:bCs/>
      <w:spacing w:val="-10"/>
      <w:sz w:val="42"/>
      <w:szCs w:val="42"/>
    </w:rPr>
  </w:style>
  <w:style w:type="paragraph" w:customStyle="1" w:styleId="Nadpis30">
    <w:name w:val="Nadpis #3"/>
    <w:basedOn w:val="Normln"/>
    <w:link w:val="Nadpis3"/>
    <w:rsid w:val="006305DD"/>
    <w:pPr>
      <w:shd w:val="clear" w:color="auto" w:fill="FFFFFF"/>
      <w:spacing w:before="480" w:after="12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6305DD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6305DD"/>
    <w:pPr>
      <w:shd w:val="clear" w:color="auto" w:fill="FFFFFF"/>
      <w:spacing w:before="60" w:line="227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305DD"/>
    <w:pPr>
      <w:shd w:val="clear" w:color="auto" w:fill="FFFFFF"/>
      <w:spacing w:before="660" w:line="0" w:lineRule="atLeast"/>
    </w:pPr>
    <w:rPr>
      <w:rFonts w:ascii="Tahoma" w:eastAsia="Tahoma" w:hAnsi="Tahoma" w:cs="Tahoma"/>
      <w:b/>
      <w:bCs/>
      <w:i/>
      <w:iCs/>
      <w:w w:val="200"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6305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6305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305DD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632B9-0583-43C9-BB3A-C22045C9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6922</Characters>
  <Application>Microsoft Office Word</Application>
  <DocSecurity>0</DocSecurity>
  <Lines>57</Lines>
  <Paragraphs>16</Paragraphs>
  <ScaleCrop>false</ScaleCrop>
  <Company>Údržba silnic Karlovarského kraje, a.s.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2017-07-25T19:09:00Z</dcterms:created>
  <dcterms:modified xsi:type="dcterms:W3CDTF">2017-07-25T19:10:00Z</dcterms:modified>
</cp:coreProperties>
</file>