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432799/2024/Vaš UID: spuess920e6d33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720"/>
        <w:jc w:val="both"/>
      </w:pPr>
      <w:r>
        <w:rPr>
          <w:rStyle w:val="CharStyle3"/>
        </w:rPr>
        <w:t>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Josef </w:t>
      </w:r>
      <w:r>
        <w:rPr>
          <w:rStyle w:val="CharStyle3"/>
          <w:b/>
          <w:bCs/>
          <w:lang w:val="en-US" w:eastAsia="en-US" w:bidi="en-US"/>
        </w:rPr>
        <w:t xml:space="preserve">Honig, </w:t>
      </w:r>
      <w:r>
        <w:rPr>
          <w:rStyle w:val="CharStyle3"/>
        </w:rPr>
        <w:t>r.č.: xxxxxx/xxxx, IČO: 75014629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Zemědělský podnikatel - fyzická osoba nezapsaná v obchodním rejstříku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Bytem, sídlo: xxxxxxxxx, 412 01 Hlinná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Doručovací adresa: xxxxxxx, 412 01 Hlinná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tento</w:t>
        <w:tab/>
      </w:r>
      <w:r>
        <w:rPr>
          <w:rStyle w:val="CharStyle3"/>
          <w:b/>
          <w:bCs/>
        </w:rPr>
        <w:t>dodatek č. 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" w:name="bookmark3"/>
      <w:r>
        <w:rPr>
          <w:rStyle w:val="CharStyle5"/>
          <w:b/>
          <w:bCs/>
        </w:rPr>
        <w:t xml:space="preserve">k pachtovní smlouvě </w:t>
      </w:r>
      <w:r>
        <w:rPr>
          <w:rStyle w:val="CharStyle5"/>
          <w:b/>
          <w:bCs/>
          <w:lang w:val="sk-SK" w:eastAsia="sk-SK" w:bidi="sk-SK"/>
        </w:rPr>
        <w:t xml:space="preserve">č. </w:t>
      </w:r>
      <w:r>
        <w:rPr>
          <w:rStyle w:val="CharStyle5"/>
          <w:b/>
          <w:bCs/>
        </w:rPr>
        <w:t>166N23/38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 xml:space="preserve">kterým se mění předmět pachtu a výše ročního pachtovného u pachtovní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>166N23/38 (dále jen "smlouva") uzavřené dne 30.10.2023.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rStyle w:val="CharStyle3"/>
        </w:rPr>
        <w:t>Na základě ČI. V pachtovní smlouvy je pachtýř povinen hradit propachtovateli roční pachtovné ve výši 73.459,- Kč.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Na základě několika v současnosti i minulosti zpracovaných analýz a predikcí možného vývoje cen zemědělských pozemků a pachtovného za zemědělské pozemky bylo potvrzeno, že v posledním desetiletí ceny zemědělských pozemků vykazují kontinuální a relativně výrazný růst. Stávající pachtovné/nájemné za pozemky ve vlastnictví státu (příslušnosti hospodařit Státního pozemkového úřadu) náležející do zemědělského půdního fondu již dlouhodobě neodpovídá aktuálním ekonomickým podmínkám v sektoru zemědělství.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Z uvedeného důvodu je nezbytným ekonomickým opatřením úprava ročního pachtovného procentní sazbou určenou dle jednotlivých výrobních oblastí z ceny pozemků dle vyhlášky MZe o stanovení seznamu katastrálních území s přiřazenými průměrnými základními cenami zemědělských pozemků platné k aktuálnímu datu.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3"/>
        </w:rPr>
        <w:t>Z výše uvedených důvodů Státní pozemkový úřad přistupuje k aktualizaci pachtovného na pachtovní smlouvě 166N23/38.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rStyle w:val="CharStyle3"/>
        </w:rPr>
        <w:t xml:space="preserve">Smluvní strany se dohodly, že s ohledem na skutečnosti uvedené včl. II. tohoto dodatku se výše ročního pachtovného aktualizuje na částku </w:t>
      </w:r>
      <w:r>
        <w:rPr>
          <w:rStyle w:val="CharStyle3"/>
          <w:b/>
          <w:bCs/>
        </w:rPr>
        <w:t>45.605,-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720"/>
        <w:jc w:val="both"/>
      </w:pPr>
      <w:r>
        <w:rPr>
          <w:rStyle w:val="CharStyle3"/>
          <w:u w:val="single"/>
        </w:rPr>
        <w:t xml:space="preserve">K </w:t>
      </w:r>
      <w:r>
        <w:rPr>
          <w:rStyle w:val="CharStyle3"/>
          <w:b/>
          <w:bCs/>
          <w:u w:val="single"/>
        </w:rPr>
        <w:t xml:space="preserve">1.10.2025 </w:t>
      </w:r>
      <w:r>
        <w:rPr>
          <w:rStyle w:val="CharStyle3"/>
          <w:u w:val="single"/>
        </w:rPr>
        <w:t xml:space="preserve">je pachtýř povinen zaplatit částku </w:t>
      </w:r>
      <w:r>
        <w:rPr>
          <w:rStyle w:val="CharStyle3"/>
          <w:b/>
          <w:bCs/>
          <w:u w:val="single"/>
        </w:rPr>
        <w:t>47.970,-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čtyhcetsedmtisícdevětsetsedmdesát korun českých).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IV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0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jakékoliv změně údajů týkajících se jejich specifikace jako smluvních stran této smlouvy, a to nejpozději do 30 dnů ode dne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Ostatní ustanovení smlouvy nejsou tímto dodatkem č. 1 neupravena, zůstávají nezměněna.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9" w:lineRule="auto"/>
        <w:ind w:left="0" w:right="0" w:firstLine="740"/>
        <w:jc w:val="both"/>
      </w:pPr>
      <w:r>
        <w:rPr>
          <w:rStyle w:val="CharStyle3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 o archivnictví a spisové službě a o změně některých zákonů, ve znění pozdějších předpisů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rStyle w:val="CharStyle3"/>
        </w:rPr>
        <w:t>Tento dodatek nabývá platnosti dnem podpisu smluvními stranami a účinnosti 1.11.2024, nejdříve však dnem uveřejnění v registru smluv dle ustanovení § 6 odst. 1 zákona č. 340/2015 Sb., o zvláštních podmínkách účinnosti některých smluv, uveřejňování těchto smluv a o registru smluv (zákon o registru smluv). Uveřejnění tohoto dodatku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VII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00"/>
        <w:jc w:val="both"/>
      </w:pPr>
      <w:r>
        <w:rPr>
          <w:rStyle w:val="CharStyle3"/>
        </w:rPr>
        <w:t>Smluvní strany po přečtení tohoto dodatku prohlašují, že s jeho obsahem souhlasí a že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both"/>
      </w:pPr>
      <w:r>
        <w:rPr>
          <w:rStyle w:val="CharStyle3"/>
        </w:rPr>
        <w:t>V Litoměřicích, dne 30. 10.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0" w:right="0" w:firstLine="48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4499610</wp:posOffset>
                </wp:positionH>
                <wp:positionV relativeFrom="paragraph">
                  <wp:posOffset>12700</wp:posOffset>
                </wp:positionV>
                <wp:extent cx="902970" cy="65595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970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Josef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Honig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4.30000000000001pt;margin-top:1.pt;width:71.100000000000009pt;height:51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Josef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Honig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Ing. Lenka Drábová vedoucí Pobočky Litoměřice Státní pozemkový úřad propachtovatel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  <w:lang w:val="sk-SK" w:eastAsia="sk-SK" w:bidi="sk-SK"/>
        </w:rPr>
        <w:t xml:space="preserve">Tento </w:t>
      </w:r>
      <w:r>
        <w:rPr>
          <w:rStyle w:val="CharStyle3"/>
        </w:rPr>
        <w:t>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8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0" w:val="left"/>
          <w:tab w:leader="dot" w:pos="328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smlouvy: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0" w:val="left"/>
          <w:tab w:leader="dot" w:pos="328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Registraci provedl: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82" w:val="left"/>
          <w:tab w:leader="dot" w:pos="860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V Litoměřicích dne </w:t>
        <w:tab/>
        <w:t xml:space="preserve"> 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581" w:right="735" w:bottom="968" w:left="638" w:header="153" w:footer="54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4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0050AA46F26A241030122605</dc:title>
  <dc:subject/>
  <dc:creator>vasakovad</dc:creator>
  <cp:keywords/>
</cp:coreProperties>
</file>