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051" w:left="1367" w:right="1355" w:bottom="1565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1200/2023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 12-3175-0200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„PPV, Březenec - porucha hráze – havárie“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5400" distB="0" distL="0" distR="0" simplePos="0" relativeHeight="125829378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25400</wp:posOffset>
                </wp:positionV>
                <wp:extent cx="2069465" cy="15151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0.pt;margin-top:2.pt;width:162.95000000000002pt;height:119.3pt;z-index:-125829375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575" distB="804545" distL="0" distR="0" simplePos="0" relativeHeight="125829380" behindDoc="0" locked="0" layoutInCell="1" allowOverlap="1">
                <wp:simplePos x="0" y="0"/>
                <wp:positionH relativeFrom="page">
                  <wp:posOffset>3403600</wp:posOffset>
                </wp:positionH>
                <wp:positionV relativeFrom="paragraph">
                  <wp:posOffset>28575</wp:posOffset>
                </wp:positionV>
                <wp:extent cx="2225040" cy="7073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8.pt;margin-top:2.25pt;width:175.20000000000002pt;height:55.700000000000003pt;z-index:-125829373;mso-wrap-distance-left:0;mso-wrap-distance-top:2.25pt;mso-wrap-distance-right:0;mso-wrap-distance-bottom:63.3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8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Sweco a.s.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8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Táborská 940/31, 140 16 Praha 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oprávněn(i) jednat o věcech smluvních: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878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26475081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878" w:val="left"/>
        </w:tabs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vedeném u Městského soudu v Praze v oddílu B, vložce 7326 (dále jen „zhotovitel“)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dosavadní nezaujetí stanoviska k navrženému technickému řešení dotčenou stranou (J.P.B. Kovovýroba, s.r.o.). Dotčené straně byl předložen návrh odkoupení části pozemku pod opěrnou konstrukcí a tento je nyní projednáván. Jelikož nebylo získáno stanovisko vlastníka k technickému řešení, nemohlo být zahájeno projednávání dokumentace s úřady. Dále jsou dodatkem řešeny změny v legislativě.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 Předmět smlouvy a předmět díla, Čl. II. Dílo a způsob provedení díla a ČI. III. Termíny plnění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59" w:val="left"/>
        </w:tabs>
        <w:bidi w:val="0"/>
        <w:spacing w:before="0" w:after="440" w:line="240" w:lineRule="auto"/>
        <w:ind w:left="2860" w:right="0" w:firstLine="0"/>
        <w:jc w:val="left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 A PŘEDMĚT DÍLA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 součástí dokladové části tzv. majetkoprávní elaborát - souhlasy dotčených vlastníků nemovitostí s trvalým nebo dočasným záborem na vzorových formulářích, které poskytne objednatel. Dle § 184a stavebního zákona musí být souhlas s navrhovaným stavebním záměrem vyznačen na situačním výkresu projektové dokumentace.</w:t>
      </w:r>
      <w:bookmarkEnd w:id="1"/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 součástí dokladové části tzv. majetkoprávní elaborát - souhlasy dotčených vlastníků nemovitostí s trvalým nebo dočasným záborem na vzorových formulářích, které poskytne objednatel. Souhlas s navrhovaným stavebním záměrem musí být vyznačen na situačním výkresu projektové dokumentace.</w:t>
      </w:r>
      <w:bookmarkEnd w:id="4"/>
      <w:bookmarkEnd w:id="5"/>
      <w:bookmarkEnd w:id="6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1" w:val="left"/>
        </w:tabs>
        <w:bidi w:val="0"/>
        <w:spacing w:before="0" w:after="200" w:line="240" w:lineRule="auto"/>
        <w:ind w:left="0" w:right="0" w:firstLine="0"/>
        <w:jc w:val="center"/>
      </w:pPr>
      <w:bookmarkStart w:id="7" w:name="bookmark7"/>
      <w:bookmarkEnd w:id="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A ZPŮSOB PROVEDENÍ DÍLA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souladu s §159 zákona č. 183/2006 Sb., o územním plánování a stavebním řádu (stavební zákon), ve znění pozdějších předpisů, a to s odbornou péčí, v rozsahu a kvalitě podle této smlouvy a v termínu plnění, jak je definováno níže.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bude zpracována v souladu s vyhláškou č. 499/2006 Sb., o dokumentaci staveb, ve znění vyhlášky č. 405/2017 Sb., a vyhláškou č. 169/2016 Sb., o stanovení rozsahu dokumentace veřejné zakázky na stavební práce a soupisu stavebních prací, dodávek a služeb s výkazem výměr, ve znění vyhlášky č. 405/2017 Sb.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rámec povinných částí ve smyslu vyhlášky č. 499/2006 Sb., v platném znění požadujeme zpracovat: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souladu se zákonem č. 283/2021 Sb., stavební zákon, ve znění pozdějších předpisů, a to s odbornou péčí, v rozsahu a kvalitě podle této smlouvy a v termínu plnění, jak je definováno níže.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bude zpracována v souladu s vyhláškou č. 131/2024 Sb., o dokumentaci staveb a vyhláškou č. 169/2016 Sb., o stanovení rozsahu dokumentace veřejné zakázky na stavební práce a soupisu stavebních prací, dodávek a služeb s výkazem výměr, ve znění vyhlášky č. 405/2017 Sb.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 rámec povinných částí ve smyslu vyhlášky č. 131/2024 Sb., v platném znění požadujeme zpracovat: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3" w:val="left"/>
        </w:tabs>
        <w:bidi w:val="0"/>
        <w:spacing w:before="0" w:after="180" w:line="240" w:lineRule="auto"/>
        <w:ind w:left="0" w:right="0" w:firstLine="0"/>
        <w:jc w:val="center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11"/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bez zbytečného odkladu,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však do 4 týdnů po nabytí účinnosti smlouvy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180" w:line="240" w:lineRule="auto"/>
        <w:ind w:left="720" w:right="0" w:hanging="4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termín - předání kompletní PD (2 x tištěné + 1 x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22.07.2024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180" w:line="240" w:lineRule="auto"/>
        <w:ind w:left="720" w:right="0" w:hanging="4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kompletní PD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(4x tištěné + 2x elektronicky)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Jeden měsíc po schválení v dokumentační komisi (dále jen DK)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zahájení prací na předmětu plnění: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bez zbytečného odkladu,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však do 4 týdnů po nabytí účinnosti smlouvy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after="200" w:line="240" w:lineRule="auto"/>
        <w:ind w:left="720" w:right="0" w:hanging="4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termín -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13.12.2024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(4x tištěné + elektronicky)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Jeden měsíc po schválení v dokumentační komisi (dále jen v DK)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prohlašují, že se termíny plnění specifikovanými v tomto Dodatku č. 2 řídily již od 1.7.2024 na základě ústní dohody smluvních stran, která se obsahově shoduje se zněním tohoto dodatku.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12700</wp:posOffset>
                </wp:positionV>
                <wp:extent cx="819785" cy="22860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55000000000001pt;margin-top:1.pt;width:64.549999999999997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5500" distB="58420" distL="0" distR="0" simplePos="0" relativeHeight="125829384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825500</wp:posOffset>
                </wp:positionV>
                <wp:extent cx="1993265" cy="70993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ekonomický ředitel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900000000000006pt;margin-top:65.pt;width:156.95000000000002pt;height:55.899999999999999pt;z-index:-125829369;mso-wrap-distance-left:0;mso-wrap-distance-top:65.pt;mso-wrap-distance-right:0;mso-wrap-distance-bottom:4.600000000000000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ekonomický ředitel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86" behindDoc="0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825500</wp:posOffset>
                </wp:positionV>
                <wp:extent cx="2030095" cy="7683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768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 místopředseda představenstva Sweco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17.60000000000002pt;margin-top:65.pt;width:159.84999999999999pt;height:60.5pt;z-index:-125829367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 místopředseda představenstva Sweco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členka představenstva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1" w:left="1367" w:right="1355" w:bottom="156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5994400</wp:posOffset>
              </wp:positionH>
              <wp:positionV relativeFrom="page">
                <wp:posOffset>9805035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2.pt;margin-top:772.05000000000007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4805680</wp:posOffset>
              </wp:positionH>
              <wp:positionV relativeFrom="page">
                <wp:posOffset>429895</wp:posOffset>
              </wp:positionV>
              <wp:extent cx="185928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928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č. 1200/2023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40000000000003pt;margin-top:33.850000000000001pt;width:146.4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č. 1200/2023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57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