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379B0" w14:textId="48F6896B" w:rsidR="00607FDF" w:rsidRDefault="005D5CF3">
      <w:pPr>
        <w:pStyle w:val="Nadpis20"/>
        <w:keepNext/>
        <w:keepLines/>
        <w:shd w:val="clear" w:color="auto" w:fill="auto"/>
        <w:tabs>
          <w:tab w:val="left" w:pos="2808"/>
        </w:tabs>
        <w:spacing w:line="210" w:lineRule="exact"/>
        <w:sectPr w:rsidR="00607FDF">
          <w:pgSz w:w="11900" w:h="16840"/>
          <w:pgMar w:top="384" w:right="404" w:bottom="1859" w:left="8500" w:header="0" w:footer="3" w:gutter="0"/>
          <w:cols w:space="720"/>
          <w:noEndnote/>
          <w:docGrid w:linePitch="360"/>
        </w:sectPr>
      </w:pPr>
      <w:bookmarkStart w:id="0" w:name="bookmark0"/>
      <w:r>
        <w:rPr>
          <w:rStyle w:val="Nadpis21"/>
        </w:rPr>
        <w:tab/>
      </w:r>
      <w:bookmarkEnd w:id="0"/>
    </w:p>
    <w:p w14:paraId="7D802149" w14:textId="77777777" w:rsidR="00607FDF" w:rsidRDefault="00607FDF">
      <w:pPr>
        <w:spacing w:line="176" w:lineRule="exact"/>
        <w:rPr>
          <w:sz w:val="14"/>
          <w:szCs w:val="14"/>
        </w:rPr>
      </w:pPr>
    </w:p>
    <w:p w14:paraId="3789F13F" w14:textId="77777777" w:rsidR="00607FDF" w:rsidRDefault="00607FDF">
      <w:pPr>
        <w:rPr>
          <w:sz w:val="2"/>
          <w:szCs w:val="2"/>
        </w:rPr>
        <w:sectPr w:rsidR="00607FDF">
          <w:type w:val="continuous"/>
          <w:pgSz w:w="11900" w:h="16840"/>
          <w:pgMar w:top="383" w:right="0" w:bottom="1860" w:left="0" w:header="0" w:footer="3" w:gutter="0"/>
          <w:cols w:space="720"/>
          <w:noEndnote/>
          <w:docGrid w:linePitch="360"/>
        </w:sectPr>
      </w:pPr>
    </w:p>
    <w:p w14:paraId="41F8BDF3" w14:textId="77777777" w:rsidR="00607FDF" w:rsidRDefault="005D5CF3">
      <w:pPr>
        <w:pStyle w:val="Nadpis30"/>
        <w:keepNext/>
        <w:keepLines/>
        <w:shd w:val="clear" w:color="auto" w:fill="auto"/>
        <w:spacing w:after="0" w:line="340" w:lineRule="exact"/>
        <w:ind w:right="60"/>
      </w:pPr>
      <w:bookmarkStart w:id="1" w:name="bookmark1"/>
      <w:r>
        <w:t>SMLOUVA O SPOLUPRÁCI</w:t>
      </w:r>
      <w:bookmarkEnd w:id="1"/>
    </w:p>
    <w:p w14:paraId="7E9BF8BA" w14:textId="35029F9E" w:rsidR="00607FDF" w:rsidRDefault="005D5CF3">
      <w:pPr>
        <w:pStyle w:val="Zkladntext20"/>
        <w:shd w:val="clear" w:color="auto" w:fill="auto"/>
        <w:spacing w:before="0"/>
        <w:ind w:firstLine="1360"/>
      </w:pPr>
      <w:r>
        <w:pict w14:anchorId="25DFAA6B">
          <v:shapetype id="_x0000_t202" coordsize="21600,21600" o:spt="202" path="m,l,21600r21600,l21600,xe">
            <v:stroke joinstyle="miter"/>
            <v:path gradientshapeok="t" o:connecttype="rect"/>
          </v:shapetype>
          <v:shape id="_x0000_s1026" type="#_x0000_t202" style="position:absolute;left:0;text-align:left;margin-left:240.15pt;margin-top:-1.2pt;width:144.5pt;height:13.6pt;z-index:-125829376;mso-wrap-distance-left:5pt;mso-wrap-distance-right:122.65pt;mso-wrap-distance-bottom:74.45pt;mso-position-horizontal-relative:margin" filled="f" stroked="f">
            <v:textbox style="mso-fit-shape-to-text:t" inset="0,0,0,0">
              <w:txbxContent>
                <w:p w14:paraId="5F22FF63" w14:textId="77777777" w:rsidR="00607FDF" w:rsidRDefault="005D5CF3">
                  <w:pPr>
                    <w:pStyle w:val="Zkladntext20"/>
                    <w:shd w:val="clear" w:color="auto" w:fill="auto"/>
                    <w:spacing w:before="0" w:line="210" w:lineRule="exact"/>
                    <w:ind w:firstLine="0"/>
                  </w:pPr>
                  <w:r>
                    <w:rPr>
                      <w:rStyle w:val="Zkladntext2Exact"/>
                    </w:rPr>
                    <w:t>roku těmito smluvními stranami:</w:t>
                  </w:r>
                </w:p>
              </w:txbxContent>
            </v:textbox>
            <w10:wrap type="square" side="left" anchorx="margin"/>
          </v:shape>
        </w:pict>
      </w:r>
      <w:r>
        <w:pict w14:anchorId="6DB8D52C">
          <v:shape id="_x0000_s1028" type="#_x0000_t202" style="position:absolute;left:0;text-align:left;margin-left:472.95pt;margin-top:17.75pt;width:34.3pt;height:55.85pt;z-index:-125829374;mso-wrap-distance-left:234.95pt;mso-wrap-distance-top:17.75pt;mso-wrap-distance-right:5pt;mso-wrap-distance-bottom:13.25pt;mso-position-horizontal-relative:margin" filled="f" stroked="f">
            <v:textbox style="mso-fit-shape-to-text:t" inset="0,0,0,0">
              <w:txbxContent>
                <w:p w14:paraId="336708F1" w14:textId="40B250C2" w:rsidR="00607FDF" w:rsidRDefault="00607FDF">
                  <w:pPr>
                    <w:pStyle w:val="Zkladntext6"/>
                    <w:shd w:val="clear" w:color="auto" w:fill="auto"/>
                    <w:spacing w:before="0" w:line="210" w:lineRule="exact"/>
                  </w:pPr>
                </w:p>
              </w:txbxContent>
            </v:textbox>
            <w10:wrap type="square" side="left" anchorx="margin"/>
          </v:shape>
        </w:pict>
      </w:r>
      <w:r>
        <w:t xml:space="preserve">uzavřená níže uvedeného dne, měsíce a </w:t>
      </w:r>
      <w:r>
        <w:rPr>
          <w:rStyle w:val="Zkladntext2Kurzva"/>
        </w:rPr>
        <w:t>Na straně jedné:</w:t>
      </w:r>
    </w:p>
    <w:p w14:paraId="40A1F586" w14:textId="77777777" w:rsidR="00607FDF" w:rsidRDefault="005D5CF3">
      <w:pPr>
        <w:pStyle w:val="Zkladntext30"/>
        <w:shd w:val="clear" w:color="auto" w:fill="auto"/>
      </w:pPr>
      <w:r>
        <w:t>Nemocnice Třinec, příspěvková organizace</w:t>
      </w:r>
    </w:p>
    <w:p w14:paraId="2054FC8F" w14:textId="77777777" w:rsidR="00607FDF" w:rsidRDefault="005D5CF3">
      <w:pPr>
        <w:pStyle w:val="Zkladntext20"/>
        <w:shd w:val="clear" w:color="auto" w:fill="auto"/>
        <w:spacing w:before="0" w:line="254" w:lineRule="exact"/>
        <w:ind w:firstLine="0"/>
      </w:pPr>
      <w:r>
        <w:t xml:space="preserve">se sídlem Kaštanová 268, Dolní </w:t>
      </w:r>
      <w:proofErr w:type="spellStart"/>
      <w:r>
        <w:t>Líštná</w:t>
      </w:r>
      <w:proofErr w:type="spellEnd"/>
      <w:r>
        <w:t xml:space="preserve">, 739 61 Třinec IČ: 005 34 242 DIČ: CZ00534242 zapsána v obchodním rejstříku vedeném u Krajského soudu v Ostravě, oddíl </w:t>
      </w:r>
      <w:proofErr w:type="spellStart"/>
      <w:r>
        <w:t>Pr</w:t>
      </w:r>
      <w:proofErr w:type="spellEnd"/>
      <w:r>
        <w:t xml:space="preserve">, vložka č. 908 zastoupena: Ing. Jiří Veverka, ředitel (dále též jen jako </w:t>
      </w:r>
      <w:r>
        <w:rPr>
          <w:rStyle w:val="Zkladntext2Tun"/>
        </w:rPr>
        <w:t xml:space="preserve">„odběratel") </w:t>
      </w:r>
      <w:r>
        <w:rPr>
          <w:rStyle w:val="Zkladntext4"/>
        </w:rPr>
        <w:t>a na straně druhé:</w:t>
      </w:r>
    </w:p>
    <w:p w14:paraId="7769BC7C" w14:textId="77777777" w:rsidR="00607FDF" w:rsidRDefault="005D5CF3">
      <w:pPr>
        <w:pStyle w:val="Zkladntext30"/>
        <w:shd w:val="clear" w:color="auto" w:fill="auto"/>
        <w:spacing w:line="259" w:lineRule="exact"/>
      </w:pPr>
      <w:r>
        <w:t xml:space="preserve">Prádelny </w:t>
      </w:r>
      <w:proofErr w:type="spellStart"/>
      <w:r>
        <w:t>Škodák</w:t>
      </w:r>
      <w:proofErr w:type="spellEnd"/>
      <w:r>
        <w:t>, s.r.o.</w:t>
      </w:r>
    </w:p>
    <w:p w14:paraId="2E70C647" w14:textId="77777777" w:rsidR="00607FDF" w:rsidRDefault="005D5CF3">
      <w:pPr>
        <w:pStyle w:val="Zkladntext20"/>
        <w:shd w:val="clear" w:color="auto" w:fill="auto"/>
        <w:spacing w:before="0" w:line="259" w:lineRule="exact"/>
        <w:ind w:firstLine="0"/>
      </w:pPr>
      <w:r>
        <w:t>se sídlem Úprková 1895, 696 62 Strážnice</w:t>
      </w:r>
    </w:p>
    <w:p w14:paraId="3773548E" w14:textId="77777777" w:rsidR="00607FDF" w:rsidRDefault="005D5CF3">
      <w:pPr>
        <w:pStyle w:val="Zkladntext20"/>
        <w:shd w:val="clear" w:color="auto" w:fill="auto"/>
        <w:spacing w:before="0" w:line="259" w:lineRule="exact"/>
        <w:ind w:firstLine="0"/>
      </w:pPr>
      <w:r>
        <w:t>IČ: 292 88 762</w:t>
      </w:r>
    </w:p>
    <w:p w14:paraId="5E7F9F5B" w14:textId="77777777" w:rsidR="00607FDF" w:rsidRDefault="005D5CF3">
      <w:pPr>
        <w:pStyle w:val="Zkladntext20"/>
        <w:shd w:val="clear" w:color="auto" w:fill="auto"/>
        <w:spacing w:before="0" w:line="259" w:lineRule="exact"/>
        <w:ind w:firstLine="0"/>
      </w:pPr>
      <w:r>
        <w:t>DIČ: CZ29288762</w:t>
      </w:r>
    </w:p>
    <w:p w14:paraId="611142BE" w14:textId="77777777" w:rsidR="00607FDF" w:rsidRDefault="005D5CF3">
      <w:pPr>
        <w:pStyle w:val="Zkladntext20"/>
        <w:shd w:val="clear" w:color="auto" w:fill="auto"/>
        <w:spacing w:before="0" w:after="424" w:line="259" w:lineRule="exact"/>
        <w:ind w:firstLine="0"/>
      </w:pPr>
      <w:r>
        <w:t xml:space="preserve">zapsána v obchodním rejstříku vedeném u Krajského soudu v Brně, oddíl C, vložka 71318 zastoupená: Stanislave </w:t>
      </w:r>
      <w:proofErr w:type="spellStart"/>
      <w:r>
        <w:t>Škodákem</w:t>
      </w:r>
      <w:proofErr w:type="spellEnd"/>
      <w:r>
        <w:t xml:space="preserve">, jednatelem (dále též jen jako </w:t>
      </w:r>
      <w:r>
        <w:rPr>
          <w:rStyle w:val="Zkladntext2Tun"/>
        </w:rPr>
        <w:t>„dodavatel")</w:t>
      </w:r>
    </w:p>
    <w:p w14:paraId="6E3A674F" w14:textId="77777777" w:rsidR="00607FDF" w:rsidRDefault="005D5CF3">
      <w:pPr>
        <w:pStyle w:val="Nadpis40"/>
        <w:keepNext/>
        <w:keepLines/>
        <w:shd w:val="clear" w:color="auto" w:fill="auto"/>
        <w:spacing w:before="0"/>
        <w:ind w:right="60"/>
      </w:pPr>
      <w:bookmarkStart w:id="2" w:name="bookmark2"/>
      <w:r>
        <w:t>I.</w:t>
      </w:r>
      <w:bookmarkEnd w:id="2"/>
    </w:p>
    <w:p w14:paraId="519A3E4E" w14:textId="77777777" w:rsidR="00607FDF" w:rsidRDefault="005D5CF3">
      <w:pPr>
        <w:pStyle w:val="Zkladntext20"/>
        <w:numPr>
          <w:ilvl w:val="0"/>
          <w:numId w:val="1"/>
        </w:numPr>
        <w:shd w:val="clear" w:color="auto" w:fill="auto"/>
        <w:tabs>
          <w:tab w:val="left" w:pos="289"/>
        </w:tabs>
        <w:spacing w:before="0" w:after="60" w:line="254" w:lineRule="exact"/>
        <w:ind w:left="360" w:hanging="360"/>
        <w:jc w:val="both"/>
      </w:pPr>
      <w:r>
        <w:t xml:space="preserve">Dodavatel jako prodávající má zájem dodávat odběrateli a odběratel jako kupující má zájem odebírat od dodavatele zboží ze sortimentu dodavatele (zdravotnické </w:t>
      </w:r>
      <w:proofErr w:type="gramStart"/>
      <w:r>
        <w:t>prostředky - dále</w:t>
      </w:r>
      <w:proofErr w:type="gramEnd"/>
      <w:r>
        <w:t xml:space="preserve"> jen „Zboží"), kdy takto budou uzavírány jednotlivé kupní smlouvy na základě dílčích objednávek odběratele (tyto kupní smlouvy dále jen „Kupní smlouvy"). Smluvní strany se pak tímto dohodly, že dodávky Zboží dle takto uzavíraných Kupních smluv budou prováděny formou náhradního plnění dle </w:t>
      </w:r>
      <w:proofErr w:type="spellStart"/>
      <w:r>
        <w:t>ust</w:t>
      </w:r>
      <w:proofErr w:type="spellEnd"/>
      <w:r>
        <w:t>. § 81 odst. 2 písm. b) zákona č. 435/2004 Sb. o zaměstnanosti, ve znění pozdějších předpisů (dále jen „Zákon"), a to za podmínek ujednaných touto smlouvou.</w:t>
      </w:r>
    </w:p>
    <w:p w14:paraId="255512E0" w14:textId="77777777" w:rsidR="00607FDF" w:rsidRDefault="005D5CF3">
      <w:pPr>
        <w:pStyle w:val="Zkladntext20"/>
        <w:numPr>
          <w:ilvl w:val="0"/>
          <w:numId w:val="1"/>
        </w:numPr>
        <w:shd w:val="clear" w:color="auto" w:fill="auto"/>
        <w:tabs>
          <w:tab w:val="left" w:pos="289"/>
        </w:tabs>
        <w:spacing w:before="0" w:after="60" w:line="254" w:lineRule="exact"/>
        <w:ind w:left="360" w:hanging="360"/>
        <w:jc w:val="both"/>
      </w:pPr>
      <w:r>
        <w:t xml:space="preserve">Dodavatel prohlašuje, že zaměstnává v souladu s příslušnými ustanoveními Zákona více než 50 % osob se zdravotním postižením z celkového počtu svých zaměstnanců, a má tak ve smyslu </w:t>
      </w:r>
      <w:proofErr w:type="spellStart"/>
      <w:r>
        <w:t>ust</w:t>
      </w:r>
      <w:proofErr w:type="spellEnd"/>
      <w:r>
        <w:t xml:space="preserve">. § 78 Zákona s Úřadem práce uzavřenu příslušnou písemnou dohodu o jeho uznání za zaměstnavatele na chráněném trhu práce, a splňuje i další podmínky pro účely výpočtu možnosti poskytování náhradního plnění dle </w:t>
      </w:r>
      <w:proofErr w:type="spellStart"/>
      <w:r>
        <w:t>ust</w:t>
      </w:r>
      <w:proofErr w:type="spellEnd"/>
      <w:r>
        <w:t>. § 81 Zákona a plnění povinností odběratele dle uvedeného ustanovení v souvislosti s dodávkou Zboží dle Kupních smluv. Dodavatel je veden v Seznamu dodavatelů náhradního plnění vedeného Ministerstvem práce a sociálních věcí (dále jen „MPSV") a je oprávněn poskytovat třetím osobám náhradní plněn</w:t>
      </w:r>
      <w:r>
        <w:t>í v souladu s platnými právními předpisy, zejména Zákonem.</w:t>
      </w:r>
    </w:p>
    <w:p w14:paraId="4BC1DB5D" w14:textId="77777777" w:rsidR="00607FDF" w:rsidRDefault="005D5CF3">
      <w:pPr>
        <w:pStyle w:val="Zkladntext20"/>
        <w:numPr>
          <w:ilvl w:val="0"/>
          <w:numId w:val="1"/>
        </w:numPr>
        <w:shd w:val="clear" w:color="auto" w:fill="auto"/>
        <w:tabs>
          <w:tab w:val="left" w:pos="289"/>
        </w:tabs>
        <w:spacing w:before="0" w:after="420" w:line="254" w:lineRule="exact"/>
        <w:ind w:left="360" w:hanging="360"/>
        <w:jc w:val="both"/>
      </w:pPr>
      <w:r>
        <w:t xml:space="preserve">Smluvní strany uzavírají tuto smlouvu o spolupráci za účelem plnění povinnosti odběratele stanovené v </w:t>
      </w:r>
      <w:proofErr w:type="spellStart"/>
      <w:r>
        <w:t>ust</w:t>
      </w:r>
      <w:proofErr w:type="spellEnd"/>
      <w:r>
        <w:t>. § 81 a násl. Zákona, a to povinnosti zaměstnávat osoby se zdravotním postižením ve výši povinného podílu těchto osob na celkovém počtu zaměstnanců, kdy tato povinnost bude splněna náhradní, povolenou formou, nákupu Zboží od dodavatele dle jednotlivých mezi těmito uzavíraných Kupních smluv.</w:t>
      </w:r>
    </w:p>
    <w:p w14:paraId="67095D45" w14:textId="77777777" w:rsidR="00607FDF" w:rsidRDefault="005D5CF3">
      <w:pPr>
        <w:pStyle w:val="Zkladntext20"/>
        <w:shd w:val="clear" w:color="auto" w:fill="auto"/>
        <w:spacing w:before="0" w:line="254" w:lineRule="exact"/>
        <w:ind w:left="4520" w:firstLine="0"/>
      </w:pPr>
      <w:r>
        <w:t>II.</w:t>
      </w:r>
    </w:p>
    <w:p w14:paraId="6D4BFBC7" w14:textId="77777777" w:rsidR="00607FDF" w:rsidRDefault="005D5CF3">
      <w:pPr>
        <w:pStyle w:val="Zkladntext20"/>
        <w:numPr>
          <w:ilvl w:val="0"/>
          <w:numId w:val="2"/>
        </w:numPr>
        <w:shd w:val="clear" w:color="auto" w:fill="auto"/>
        <w:tabs>
          <w:tab w:val="left" w:pos="289"/>
        </w:tabs>
        <w:spacing w:before="0" w:after="60" w:line="254" w:lineRule="exact"/>
        <w:ind w:left="360" w:hanging="360"/>
        <w:jc w:val="both"/>
      </w:pPr>
      <w:r>
        <w:t xml:space="preserve">Dodavatel se tak podpisem této smlouvy zavazuje, že za účelem splnění povinnosti odběratele dle </w:t>
      </w:r>
      <w:proofErr w:type="spellStart"/>
      <w:r>
        <w:t>ust</w:t>
      </w:r>
      <w:proofErr w:type="spellEnd"/>
      <w:r>
        <w:t xml:space="preserve">. § 81 Zákona, a tak při poskytování plnění dodavatelem dle </w:t>
      </w:r>
      <w:proofErr w:type="spellStart"/>
      <w:r>
        <w:t>ust</w:t>
      </w:r>
      <w:proofErr w:type="spellEnd"/>
      <w:r>
        <w:t xml:space="preserve">. § 81 odst. 3 Zákona, budou dodávky Zboží dle Kupních smluv mezi těmito uzavíraných, a to v každém kalendářním roce trvání této smlouvy až do objemu min. </w:t>
      </w:r>
      <w:proofErr w:type="gramStart"/>
      <w:r>
        <w:t>2.000.000,-</w:t>
      </w:r>
      <w:proofErr w:type="gramEnd"/>
      <w:r>
        <w:t xml:space="preserve"> Kč bez DPH v daném kalendářním roce prováděny formou náhradního plnění ve smyslu </w:t>
      </w:r>
      <w:proofErr w:type="spellStart"/>
      <w:r>
        <w:t>ust</w:t>
      </w:r>
      <w:proofErr w:type="spellEnd"/>
      <w:r>
        <w:t>. § 81 odst. 2 písm. b) Zákona. Netrvá-li tato smlouva po celý kalendářní rok, tento minimální objem bude v takovém kalendářním roce činit násobek jedné</w:t>
      </w:r>
      <w:r>
        <w:br w:type="page"/>
      </w:r>
      <w:r>
        <w:lastRenderedPageBreak/>
        <w:t xml:space="preserve">dvanáctiny této částky (tj. 1/12 z částky </w:t>
      </w:r>
      <w:proofErr w:type="gramStart"/>
      <w:r>
        <w:t>2.000.000,-</w:t>
      </w:r>
      <w:proofErr w:type="gramEnd"/>
      <w:r>
        <w:t xml:space="preserve"> Kč bez DPH) a počtu byť jen započatých kalendářních měsíců trvání této smlouvy v takovém kalendářním roce.</w:t>
      </w:r>
    </w:p>
    <w:p w14:paraId="1706E7B9" w14:textId="77777777" w:rsidR="00607FDF" w:rsidRDefault="005D5CF3">
      <w:pPr>
        <w:pStyle w:val="Zkladntext20"/>
        <w:numPr>
          <w:ilvl w:val="0"/>
          <w:numId w:val="2"/>
        </w:numPr>
        <w:shd w:val="clear" w:color="auto" w:fill="auto"/>
        <w:tabs>
          <w:tab w:val="left" w:pos="338"/>
        </w:tabs>
        <w:spacing w:before="0" w:after="336" w:line="254" w:lineRule="exact"/>
        <w:ind w:left="380"/>
        <w:jc w:val="both"/>
      </w:pPr>
      <w:r>
        <w:t>Smluvní strany prohlašují, že mezi těmito se nesjednává žádné závazné minimální ani maximální množství objednávek (Zboží) za určité časové, či opakující se, období, které by byl povinen či oprávněn odběratel vyčerpat (učinit). Jednotlivé objednávky tak budou prováděny dle aktuálních potřeb a požadavků odběratele. Tato smlouva tak nestanovuje odběrateli povinnost k učinění (jakékoli) objednávky a dodavateli povinnost k jejímu přijetí, a tak k uzavření Kupních smluv v jakémkoli počtu a/či jakémkoli objemu Zbo</w:t>
      </w:r>
      <w:r>
        <w:t xml:space="preserve">ží, ani nijak nestanoví závazný obsah takových Kupních smluv (tj. práva a povinnosti prodávajícího a kupujícího při vlastní realizaci Kupních smluv), když dle této smlouvy bude toliko objem postupně odebraného Zboží na základě (případně) mezi dodavatelem a odběratelem uzavřených Kupních smluv (v režimu náhradního plnění) započítáván na stanovený objem dle shora v tomto článku ujednaného, resp. účelem a obsahem této smlouvy je ujednání podmínek (s)plnění povinnosti odběratele dle </w:t>
      </w:r>
      <w:proofErr w:type="spellStart"/>
      <w:r>
        <w:t>ust</w:t>
      </w:r>
      <w:proofErr w:type="spellEnd"/>
      <w:r>
        <w:t>. § 81 odst. 1 Zákona for</w:t>
      </w:r>
      <w:r>
        <w:t xml:space="preserve">mou náhradního plnění dle </w:t>
      </w:r>
      <w:proofErr w:type="spellStart"/>
      <w:r>
        <w:t>ust</w:t>
      </w:r>
      <w:proofErr w:type="spellEnd"/>
      <w:r>
        <w:t>. § 81 odst. 2 písm. b) zákona prostřednictvím dodávek Zboží dle Kupních smluv.</w:t>
      </w:r>
    </w:p>
    <w:p w14:paraId="7EF4635E" w14:textId="77777777" w:rsidR="00607FDF" w:rsidRDefault="005D5CF3">
      <w:pPr>
        <w:pStyle w:val="Zkladntext20"/>
        <w:shd w:val="clear" w:color="auto" w:fill="auto"/>
        <w:spacing w:before="0" w:line="210" w:lineRule="exact"/>
        <w:ind w:left="4480" w:firstLine="0"/>
      </w:pPr>
      <w:r>
        <w:t>III.</w:t>
      </w:r>
    </w:p>
    <w:p w14:paraId="00951213" w14:textId="77777777" w:rsidR="00607FDF" w:rsidRDefault="005D5CF3">
      <w:pPr>
        <w:pStyle w:val="Zkladntext20"/>
        <w:numPr>
          <w:ilvl w:val="0"/>
          <w:numId w:val="3"/>
        </w:numPr>
        <w:shd w:val="clear" w:color="auto" w:fill="auto"/>
        <w:tabs>
          <w:tab w:val="left" w:pos="338"/>
        </w:tabs>
        <w:spacing w:before="0" w:after="56" w:line="254" w:lineRule="exact"/>
        <w:ind w:left="380"/>
        <w:jc w:val="both"/>
      </w:pPr>
      <w:r>
        <w:t>Dodavatel se dále zavazuje, že bude plnit veškeré povinnosti vyplývající mu ze Zákona, zejména ve vztahu k plnění povinného podílu, vč. předávání předepsaných údajů do elektronické evidence MPSV. Dodavatel je povinen předat odběrateli kopii dohody uzavřené s Úřadem práce prokazující jeho uznání jako zaměstnavatele na chráněném trhu práce.</w:t>
      </w:r>
    </w:p>
    <w:p w14:paraId="71E31F5E" w14:textId="77777777" w:rsidR="00607FDF" w:rsidRDefault="005D5CF3">
      <w:pPr>
        <w:pStyle w:val="Zkladntext20"/>
        <w:numPr>
          <w:ilvl w:val="0"/>
          <w:numId w:val="3"/>
        </w:numPr>
        <w:shd w:val="clear" w:color="auto" w:fill="auto"/>
        <w:tabs>
          <w:tab w:val="left" w:pos="338"/>
        </w:tabs>
        <w:spacing w:before="0" w:after="64" w:line="259" w:lineRule="exact"/>
        <w:ind w:left="380"/>
        <w:jc w:val="both"/>
      </w:pPr>
      <w:r>
        <w:t>Dodavatel bude vést evidenci dokladů (zejména faktur), které slouží odběrateli k započtení do celkového finančního objemu pro plnění povinného podílu dle Zákona.</w:t>
      </w:r>
    </w:p>
    <w:p w14:paraId="31374965" w14:textId="77777777" w:rsidR="00607FDF" w:rsidRDefault="005D5CF3">
      <w:pPr>
        <w:pStyle w:val="Zkladntext20"/>
        <w:numPr>
          <w:ilvl w:val="0"/>
          <w:numId w:val="3"/>
        </w:numPr>
        <w:shd w:val="clear" w:color="auto" w:fill="auto"/>
        <w:tabs>
          <w:tab w:val="left" w:pos="338"/>
        </w:tabs>
        <w:spacing w:before="0" w:after="336" w:line="254" w:lineRule="exact"/>
        <w:ind w:left="380"/>
        <w:jc w:val="both"/>
      </w:pPr>
      <w:r>
        <w:t xml:space="preserve">V případě, že dojde k situaci, kdy nebude dodavatel splňovat podmínky stanovené Zákonem ve vztahu k plnění povinného podílu, jež by mohly mít vliv na plnění povinností odběratele či </w:t>
      </w:r>
      <w:r>
        <w:t>dodavatele dle Zákona, či by jinak mohlo být ohroženo plnění povinností dodavatele dle této smlouvy, bude o tomto neprodleně informovat odběratele.</w:t>
      </w:r>
    </w:p>
    <w:p w14:paraId="31076A74" w14:textId="77777777" w:rsidR="00607FDF" w:rsidRDefault="005D5CF3">
      <w:pPr>
        <w:pStyle w:val="Zkladntext30"/>
        <w:shd w:val="clear" w:color="auto" w:fill="auto"/>
        <w:spacing w:line="210" w:lineRule="exact"/>
        <w:ind w:left="4480"/>
      </w:pPr>
      <w:r>
        <w:t>IV.</w:t>
      </w:r>
    </w:p>
    <w:p w14:paraId="048BB7EA" w14:textId="77777777" w:rsidR="00607FDF" w:rsidRDefault="005D5CF3">
      <w:pPr>
        <w:pStyle w:val="Zkladntext20"/>
        <w:numPr>
          <w:ilvl w:val="0"/>
          <w:numId w:val="4"/>
        </w:numPr>
        <w:shd w:val="clear" w:color="auto" w:fill="auto"/>
        <w:tabs>
          <w:tab w:val="left" w:pos="338"/>
        </w:tabs>
        <w:spacing w:before="0" w:after="64" w:line="259" w:lineRule="exact"/>
        <w:ind w:left="380"/>
        <w:jc w:val="both"/>
      </w:pPr>
      <w:r>
        <w:t xml:space="preserve">V případě, že odběratel včas neuhradí kupní cenu Zboží dle Kupní smlouvy, dodavatel jej na tuto </w:t>
      </w:r>
      <w:r>
        <w:t>skutečnost bezodkladně upozorní, tak aby předmětný finanční objem takové dodávky nebyl vyloučen z evidence plnění poskytovaných odběrateli k plnění jeho povinnosti dle Zákona.</w:t>
      </w:r>
    </w:p>
    <w:p w14:paraId="7F1B4254" w14:textId="77777777" w:rsidR="00607FDF" w:rsidRDefault="005D5CF3">
      <w:pPr>
        <w:pStyle w:val="Zkladntext20"/>
        <w:numPr>
          <w:ilvl w:val="0"/>
          <w:numId w:val="4"/>
        </w:numPr>
        <w:shd w:val="clear" w:color="auto" w:fill="auto"/>
        <w:tabs>
          <w:tab w:val="left" w:pos="338"/>
        </w:tabs>
        <w:spacing w:before="0" w:after="336" w:line="254" w:lineRule="exact"/>
        <w:ind w:left="380"/>
        <w:jc w:val="both"/>
      </w:pPr>
      <w:r>
        <w:t>V případě nedodržení sjednaného objemu dodavatelem dle čl. II. odst. 1 této smlouvy, nebo v případě, že bude příslušným úřadem práce zjištěno, že dodavatel nesplňuje podmínky pro to, aby mohl poskytovat služby nebo dodávky k plnění povinného podílu, zejména pak ve sjednaném rozsahu, zavazuje se dodavatel uhradit odběrateli veškeré prokazatelné škody a náklady, které mu v důsledku toho či v důsledku nedodržení povinností dodavatele dle této smlouvy vzniknou, zejména škodu odpovídající částce odvodu do státní</w:t>
      </w:r>
      <w:r>
        <w:t>ho rozpočtu, včetně veškerého příslušenství.</w:t>
      </w:r>
    </w:p>
    <w:p w14:paraId="53CC84CE" w14:textId="77777777" w:rsidR="00607FDF" w:rsidRDefault="005D5CF3">
      <w:pPr>
        <w:pStyle w:val="Zkladntext30"/>
        <w:shd w:val="clear" w:color="auto" w:fill="auto"/>
        <w:spacing w:line="210" w:lineRule="exact"/>
        <w:ind w:left="4480"/>
      </w:pPr>
      <w:r>
        <w:t>V.</w:t>
      </w:r>
    </w:p>
    <w:p w14:paraId="680FA914" w14:textId="77777777" w:rsidR="00607FDF" w:rsidRDefault="005D5CF3">
      <w:pPr>
        <w:pStyle w:val="Zkladntext20"/>
        <w:numPr>
          <w:ilvl w:val="0"/>
          <w:numId w:val="5"/>
        </w:numPr>
        <w:shd w:val="clear" w:color="auto" w:fill="auto"/>
        <w:tabs>
          <w:tab w:val="left" w:pos="338"/>
        </w:tabs>
        <w:spacing w:before="0" w:after="84" w:line="210" w:lineRule="exact"/>
        <w:ind w:left="380"/>
        <w:jc w:val="both"/>
      </w:pPr>
      <w:r>
        <w:t>Tato smlouva se uzavírá na dobu určitou do 31.12. 2024.</w:t>
      </w:r>
    </w:p>
    <w:p w14:paraId="3BD640BA" w14:textId="77777777" w:rsidR="00607FDF" w:rsidRDefault="005D5CF3">
      <w:pPr>
        <w:pStyle w:val="Zkladntext20"/>
        <w:numPr>
          <w:ilvl w:val="0"/>
          <w:numId w:val="5"/>
        </w:numPr>
        <w:shd w:val="clear" w:color="auto" w:fill="auto"/>
        <w:tabs>
          <w:tab w:val="left" w:pos="338"/>
        </w:tabs>
        <w:spacing w:before="0" w:after="300" w:line="254" w:lineRule="exact"/>
        <w:ind w:left="380"/>
        <w:jc w:val="both"/>
      </w:pPr>
      <w:r>
        <w:t>Kterákoli ze smluvních stran může tuto smlouvu písemně vypovědět i bez uvedení důvodu, a to s jednoměsíční výpovědní lhůtou. Výpovědní lhůta začíná běžet od prvého dne měsíce následujícího po doručení výpovědi druhé smluvní straně.</w:t>
      </w:r>
    </w:p>
    <w:p w14:paraId="257DFEF5" w14:textId="77777777" w:rsidR="00607FDF" w:rsidRDefault="005D5CF3">
      <w:pPr>
        <w:pStyle w:val="Zkladntext30"/>
        <w:shd w:val="clear" w:color="auto" w:fill="auto"/>
        <w:ind w:left="4480"/>
      </w:pPr>
      <w:r>
        <w:t>VI.</w:t>
      </w:r>
    </w:p>
    <w:p w14:paraId="6DAAB93E" w14:textId="77777777" w:rsidR="00607FDF" w:rsidRDefault="005D5CF3">
      <w:pPr>
        <w:pStyle w:val="Zkladntext20"/>
        <w:shd w:val="clear" w:color="auto" w:fill="auto"/>
        <w:spacing w:before="0" w:line="254" w:lineRule="exact"/>
        <w:ind w:left="380"/>
        <w:jc w:val="both"/>
      </w:pPr>
      <w:r>
        <w:t>1. 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r>
        <w:br w:type="page"/>
      </w:r>
    </w:p>
    <w:p w14:paraId="49918139" w14:textId="77777777" w:rsidR="00607FDF" w:rsidRDefault="005D5CF3">
      <w:pPr>
        <w:pStyle w:val="Zkladntext20"/>
        <w:numPr>
          <w:ilvl w:val="0"/>
          <w:numId w:val="6"/>
        </w:numPr>
        <w:shd w:val="clear" w:color="auto" w:fill="auto"/>
        <w:tabs>
          <w:tab w:val="left" w:pos="338"/>
        </w:tabs>
        <w:spacing w:before="0" w:after="60" w:line="254" w:lineRule="exact"/>
        <w:ind w:left="380"/>
        <w:jc w:val="both"/>
      </w:pPr>
      <w:r>
        <w:lastRenderedPageBreak/>
        <w:t xml:space="preserve">Tato smlouva, jakož i práva a povinnosti v této výslovně neupravená, se řídí právním řádem České republiky, zejména ustanoveními zákona č. 89/2012 Sb., občanského zákoníku, s výslovným vyloučením aplikace </w:t>
      </w:r>
      <w:proofErr w:type="spellStart"/>
      <w:r>
        <w:t>ust</w:t>
      </w:r>
      <w:proofErr w:type="spellEnd"/>
      <w:r>
        <w:t>. § 557 občanského zákoníku.</w:t>
      </w:r>
    </w:p>
    <w:p w14:paraId="6E1751BA" w14:textId="77777777" w:rsidR="00607FDF" w:rsidRDefault="005D5CF3">
      <w:pPr>
        <w:pStyle w:val="Zkladntext20"/>
        <w:numPr>
          <w:ilvl w:val="0"/>
          <w:numId w:val="6"/>
        </w:numPr>
        <w:shd w:val="clear" w:color="auto" w:fill="auto"/>
        <w:tabs>
          <w:tab w:val="left" w:pos="338"/>
        </w:tabs>
        <w:spacing w:before="0" w:after="60" w:line="254" w:lineRule="exact"/>
        <w:ind w:left="380"/>
        <w:jc w:val="both"/>
      </w:pPr>
      <w:r>
        <w:t>Není-li v této smlouvě výslovně ujednáno jinak, tuto smlouvu je možno měnit pouze písemnými (popř. ve formě sjednané pro uzavření této smlouvy dle odst. 4 tohoto článku), číslovanými dodatky, podepsanými všemi stranami. Strany výslovně vylučují provádět jakékoli změny této smlouvy ve formě jiné než dle věty první tohoto odstavce (příp. ve formě přísnější od této).</w:t>
      </w:r>
    </w:p>
    <w:p w14:paraId="0FA74D9A" w14:textId="77777777" w:rsidR="00607FDF" w:rsidRDefault="005D5CF3">
      <w:pPr>
        <w:pStyle w:val="Zkladntext20"/>
        <w:numPr>
          <w:ilvl w:val="0"/>
          <w:numId w:val="6"/>
        </w:numPr>
        <w:shd w:val="clear" w:color="auto" w:fill="auto"/>
        <w:tabs>
          <w:tab w:val="left" w:pos="338"/>
        </w:tabs>
        <w:spacing w:before="0" w:after="60" w:line="254" w:lineRule="exact"/>
        <w:ind w:left="380"/>
        <w:jc w:val="both"/>
      </w:pPr>
      <w:r>
        <w:t>Tato smlouva je vyhotovena ve 2 stejnopisech s platností originálu, z nichž dodavatel obdrží 1 a odběratel 1. Tato smlouva může být uzavřena rovněž elektronicky, uznávanými elektronickými podpisy; v takovém případě každá ze smluvních stran obdrží takto elektronicky uzavřenou a podepsanou smlouvu.</w:t>
      </w:r>
    </w:p>
    <w:p w14:paraId="2058B855" w14:textId="77777777" w:rsidR="00607FDF" w:rsidRDefault="005D5CF3">
      <w:pPr>
        <w:pStyle w:val="Zkladntext20"/>
        <w:numPr>
          <w:ilvl w:val="0"/>
          <w:numId w:val="6"/>
        </w:numPr>
        <w:shd w:val="clear" w:color="auto" w:fill="auto"/>
        <w:tabs>
          <w:tab w:val="left" w:pos="338"/>
        </w:tabs>
        <w:spacing w:before="0" w:after="60" w:line="254" w:lineRule="exact"/>
        <w:ind w:left="380"/>
        <w:jc w:val="both"/>
      </w:pPr>
      <w:r>
        <w:t xml:space="preserve">Smlouva vzniká a nabývá účinnosti dnem jejího uzavření; dnem uzavření této smlouvy je den označený datem u podpisů smluvních stran. Je-li takto označeno více dní, je dnem uzavření této smlouvy den z označených dnů nejpozdější. Podléhá-li tato smlouva režimu zákona č. 340/2015 Sb., o registru smluv, v platném znění, pak v souladu s </w:t>
      </w:r>
      <w:proofErr w:type="spellStart"/>
      <w:r>
        <w:t>ust</w:t>
      </w:r>
      <w:proofErr w:type="spellEnd"/>
      <w:r>
        <w:t>. § 6 odst. 1 uvedeného zákona tato smlouva nabývá účinnosti dnem jejího uveřejnění v registru smluv. Smluvní strany se v takovém případě dohodly, že uveřejnění této smlouvy v souladu se zákonem o registru smluv provede odběratel.</w:t>
      </w:r>
    </w:p>
    <w:p w14:paraId="06A44EE1" w14:textId="77777777" w:rsidR="00607FDF" w:rsidRDefault="005D5CF3">
      <w:pPr>
        <w:pStyle w:val="Zkladntext20"/>
        <w:numPr>
          <w:ilvl w:val="0"/>
          <w:numId w:val="6"/>
        </w:numPr>
        <w:shd w:val="clear" w:color="auto" w:fill="auto"/>
        <w:tabs>
          <w:tab w:val="left" w:pos="338"/>
        </w:tabs>
        <w:spacing w:before="0" w:after="60" w:line="254" w:lineRule="exact"/>
        <w:ind w:left="38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6872B17A" w14:textId="77777777" w:rsidR="00607FDF" w:rsidRDefault="005D5CF3">
      <w:pPr>
        <w:pStyle w:val="Zkladntext20"/>
        <w:numPr>
          <w:ilvl w:val="0"/>
          <w:numId w:val="6"/>
        </w:numPr>
        <w:shd w:val="clear" w:color="auto" w:fill="auto"/>
        <w:tabs>
          <w:tab w:val="left" w:pos="338"/>
        </w:tabs>
        <w:spacing w:before="0" w:after="60" w:line="254" w:lineRule="exact"/>
        <w:ind w:left="38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30F87D0" w14:textId="77777777" w:rsidR="00607FDF" w:rsidRDefault="005D5CF3">
      <w:pPr>
        <w:pStyle w:val="Zkladntext20"/>
        <w:numPr>
          <w:ilvl w:val="0"/>
          <w:numId w:val="6"/>
        </w:numPr>
        <w:shd w:val="clear" w:color="auto" w:fill="auto"/>
        <w:tabs>
          <w:tab w:val="left" w:pos="338"/>
        </w:tabs>
        <w:spacing w:before="0" w:after="60" w:line="254" w:lineRule="exact"/>
        <w:ind w:left="380"/>
        <w:jc w:val="both"/>
      </w:pPr>
      <w: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55D9FF04" w14:textId="77777777" w:rsidR="00607FDF" w:rsidRDefault="005D5CF3">
      <w:pPr>
        <w:pStyle w:val="Zkladntext20"/>
        <w:numPr>
          <w:ilvl w:val="0"/>
          <w:numId w:val="6"/>
        </w:numPr>
        <w:shd w:val="clear" w:color="auto" w:fill="auto"/>
        <w:tabs>
          <w:tab w:val="left" w:pos="338"/>
        </w:tabs>
        <w:spacing w:before="0" w:after="60" w:line="254" w:lineRule="exact"/>
        <w:ind w:left="380"/>
        <w:jc w:val="both"/>
      </w:pPr>
      <w:r>
        <w:t>Smluvní strany výslovně vylučují možnost přijetí nabídky na uzavření této smlouvy s dodatkem nebo odchylkou ve smyslu ustanovení § 1740 odst. 3 občanského zákoníku.</w:t>
      </w:r>
    </w:p>
    <w:p w14:paraId="27192F18" w14:textId="77777777" w:rsidR="00607FDF" w:rsidRDefault="005D5CF3">
      <w:pPr>
        <w:pStyle w:val="Zkladntext20"/>
        <w:numPr>
          <w:ilvl w:val="0"/>
          <w:numId w:val="6"/>
        </w:numPr>
        <w:shd w:val="clear" w:color="auto" w:fill="auto"/>
        <w:tabs>
          <w:tab w:val="left" w:pos="375"/>
        </w:tabs>
        <w:spacing w:before="0" w:line="254" w:lineRule="exact"/>
        <w:ind w:left="380"/>
        <w:jc w:val="both"/>
        <w:sectPr w:rsidR="00607FDF">
          <w:type w:val="continuous"/>
          <w:pgSz w:w="11900" w:h="16840"/>
          <w:pgMar w:top="383" w:right="1555" w:bottom="1860" w:left="1480" w:header="0" w:footer="3" w:gutter="0"/>
          <w:cols w:space="720"/>
          <w:noEndnote/>
          <w:docGrid w:linePitch="360"/>
        </w:sectPr>
      </w:pPr>
      <w:r>
        <w:t xml:space="preserve">Smluvní strany zároveň tímto přebírají podle </w:t>
      </w:r>
      <w:proofErr w:type="spellStart"/>
      <w:r>
        <w:t>ust</w:t>
      </w:r>
      <w:proofErr w:type="spellEnd"/>
      <w:r>
        <w:t>. § 1765 občanského zákoníku riziko změny okolností, a to v plném rozsahu.</w:t>
      </w:r>
    </w:p>
    <w:p w14:paraId="0C30821D" w14:textId="77777777" w:rsidR="00607FDF" w:rsidRDefault="00607FDF">
      <w:pPr>
        <w:spacing w:before="69" w:after="69" w:line="240" w:lineRule="exact"/>
        <w:rPr>
          <w:sz w:val="19"/>
          <w:szCs w:val="19"/>
        </w:rPr>
      </w:pPr>
    </w:p>
    <w:p w14:paraId="3BFC5692" w14:textId="77777777" w:rsidR="00607FDF" w:rsidRDefault="00607FDF">
      <w:pPr>
        <w:rPr>
          <w:sz w:val="2"/>
          <w:szCs w:val="2"/>
        </w:rPr>
        <w:sectPr w:rsidR="00607FDF">
          <w:type w:val="continuous"/>
          <w:pgSz w:w="11900" w:h="16840"/>
          <w:pgMar w:top="932" w:right="0" w:bottom="932" w:left="0" w:header="0" w:footer="3" w:gutter="0"/>
          <w:cols w:space="720"/>
          <w:noEndnote/>
          <w:docGrid w:linePitch="360"/>
        </w:sectPr>
      </w:pPr>
    </w:p>
    <w:p w14:paraId="5A91F62E" w14:textId="77777777" w:rsidR="00607FDF" w:rsidRDefault="005D5CF3">
      <w:pPr>
        <w:rPr>
          <w:sz w:val="2"/>
          <w:szCs w:val="2"/>
        </w:rPr>
      </w:pPr>
      <w:r>
        <w:pict w14:anchorId="66D6E0C2">
          <v:shape id="_x0000_s1029" type="#_x0000_t202" style="position:absolute;margin-left:-6.45pt;margin-top:9.15pt;width:33.35pt;height:13.35pt;z-index:-125829373;mso-wrap-distance-left:5pt;mso-wrap-distance-top:3.5pt;mso-wrap-distance-right:12.25pt;mso-wrap-distance-bottom:37pt;mso-position-horizontal-relative:margin" filled="f" stroked="f">
            <v:textbox style="mso-fit-shape-to-text:t" inset="0,0,0,0">
              <w:txbxContent>
                <w:p w14:paraId="210FE289" w14:textId="77777777" w:rsidR="00607FDF" w:rsidRDefault="005D5CF3">
                  <w:pPr>
                    <w:pStyle w:val="Zkladntext20"/>
                    <w:shd w:val="clear" w:color="auto" w:fill="auto"/>
                    <w:spacing w:before="0" w:line="210" w:lineRule="exact"/>
                    <w:ind w:firstLine="0"/>
                  </w:pPr>
                  <w:r>
                    <w:rPr>
                      <w:rStyle w:val="Zkladntext2Exact"/>
                    </w:rPr>
                    <w:t>V Třinci</w:t>
                  </w:r>
                </w:p>
              </w:txbxContent>
            </v:textbox>
            <w10:wrap type="square" side="right" anchorx="margin"/>
          </v:shape>
        </w:pict>
      </w:r>
      <w:r>
        <w:pict w14:anchorId="5C796258">
          <v:shape id="_x0000_s1030" type="#_x0000_t202" style="position:absolute;margin-left:126.05pt;margin-top:12.25pt;width:87.85pt;height:75.6pt;z-index:-125829372;mso-wrap-distance-left:5pt;mso-wrap-distance-right:5pt;mso-position-horizontal-relative:margin" filled="f" stroked="f">
            <v:textbox style="mso-fit-shape-to-text:t" inset="0,0,0,0">
              <w:txbxContent>
                <w:p w14:paraId="32FDBAE5" w14:textId="5110DC41" w:rsidR="00607FDF" w:rsidRDefault="00607FDF">
                  <w:pPr>
                    <w:pStyle w:val="Zkladntext70"/>
                    <w:shd w:val="clear" w:color="auto" w:fill="auto"/>
                    <w:spacing w:after="0" w:line="288" w:lineRule="exact"/>
                    <w:jc w:val="left"/>
                  </w:pPr>
                </w:p>
              </w:txbxContent>
            </v:textbox>
            <w10:wrap type="square" anchorx="margin"/>
          </v:shape>
        </w:pict>
      </w:r>
    </w:p>
    <w:p w14:paraId="4A272E78" w14:textId="13D0EC95" w:rsidR="00607FDF" w:rsidRDefault="00607FDF">
      <w:pPr>
        <w:pStyle w:val="Nadpis10"/>
        <w:keepNext/>
        <w:keepLines/>
        <w:shd w:val="clear" w:color="auto" w:fill="auto"/>
        <w:spacing w:before="0"/>
      </w:pPr>
    </w:p>
    <w:p w14:paraId="5C2E98B2" w14:textId="77777777" w:rsidR="00607FDF" w:rsidRDefault="005D5CF3">
      <w:pPr>
        <w:pStyle w:val="Zkladntext20"/>
        <w:shd w:val="clear" w:color="auto" w:fill="auto"/>
        <w:spacing w:before="0" w:line="254" w:lineRule="exact"/>
        <w:ind w:right="60" w:firstLine="0"/>
        <w:jc w:val="center"/>
      </w:pPr>
      <w:r>
        <w:t xml:space="preserve">Nemocnice Třinec, </w:t>
      </w:r>
      <w:r>
        <w:t>příspěvková organizace</w:t>
      </w:r>
      <w:r>
        <w:br/>
        <w:t>Ing. Jiří Veverka, ředitel</w:t>
      </w:r>
      <w:r>
        <w:br/>
        <w:t>odběratel</w:t>
      </w:r>
    </w:p>
    <w:p w14:paraId="02A4BC1C" w14:textId="77777777" w:rsidR="00607FDF" w:rsidRDefault="005D5CF3">
      <w:pPr>
        <w:pStyle w:val="Zkladntext20"/>
        <w:shd w:val="clear" w:color="auto" w:fill="auto"/>
        <w:spacing w:before="0" w:after="243" w:line="210" w:lineRule="exact"/>
        <w:ind w:firstLine="0"/>
      </w:pPr>
      <w:r>
        <w:br w:type="column"/>
      </w:r>
      <w:r>
        <w:t>Ve Strážnici</w:t>
      </w:r>
    </w:p>
    <w:p w14:paraId="6970ED7D" w14:textId="77777777" w:rsidR="00607FDF" w:rsidRDefault="005D5CF3">
      <w:pPr>
        <w:pStyle w:val="Zkladntext20"/>
        <w:shd w:val="clear" w:color="auto" w:fill="auto"/>
        <w:spacing w:before="0" w:line="254" w:lineRule="exact"/>
        <w:ind w:right="220" w:firstLine="0"/>
        <w:jc w:val="center"/>
        <w:sectPr w:rsidR="00607FDF">
          <w:type w:val="continuous"/>
          <w:pgSz w:w="11900" w:h="16840"/>
          <w:pgMar w:top="932" w:right="2040" w:bottom="932" w:left="1954" w:header="0" w:footer="3" w:gutter="0"/>
          <w:cols w:num="2" w:space="721"/>
          <w:noEndnote/>
          <w:docGrid w:linePitch="360"/>
        </w:sectPr>
      </w:pPr>
      <w:r>
        <w:t xml:space="preserve">Prádelny </w:t>
      </w:r>
      <w:proofErr w:type="spellStart"/>
      <w:r>
        <w:t>Škodák</w:t>
      </w:r>
      <w:proofErr w:type="spellEnd"/>
      <w:r>
        <w:t>, s.r.o.</w:t>
      </w:r>
      <w:r>
        <w:br/>
        <w:t xml:space="preserve">Stanislav </w:t>
      </w:r>
      <w:proofErr w:type="spellStart"/>
      <w:r>
        <w:t>Škodák</w:t>
      </w:r>
      <w:proofErr w:type="spellEnd"/>
      <w:r>
        <w:t xml:space="preserve">, </w:t>
      </w:r>
      <w:r>
        <w:t>jednatel</w:t>
      </w:r>
      <w:r>
        <w:br/>
        <w:t>dodavatel</w:t>
      </w:r>
    </w:p>
    <w:p w14:paraId="2C53CCAC" w14:textId="77777777" w:rsidR="00607FDF" w:rsidRDefault="00607FDF"/>
    <w:sectPr w:rsidR="00607FDF">
      <w:headerReference w:type="default" r:id="rId7"/>
      <w:pgSz w:w="11900" w:h="16840"/>
      <w:pgMar w:top="788" w:right="595" w:bottom="788" w:left="111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6F991" w14:textId="77777777" w:rsidR="005D5CF3" w:rsidRDefault="005D5CF3">
      <w:r>
        <w:separator/>
      </w:r>
    </w:p>
  </w:endnote>
  <w:endnote w:type="continuationSeparator" w:id="0">
    <w:p w14:paraId="409103ED" w14:textId="77777777" w:rsidR="005D5CF3" w:rsidRDefault="005D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5E154" w14:textId="77777777" w:rsidR="00607FDF" w:rsidRDefault="00607FDF"/>
  </w:footnote>
  <w:footnote w:type="continuationSeparator" w:id="0">
    <w:p w14:paraId="54678A4F" w14:textId="77777777" w:rsidR="00607FDF" w:rsidRDefault="00607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4B2DE" w14:textId="77777777" w:rsidR="00607FDF" w:rsidRDefault="005D5CF3">
    <w:pPr>
      <w:rPr>
        <w:sz w:val="2"/>
        <w:szCs w:val="2"/>
      </w:rPr>
    </w:pPr>
    <w:r>
      <w:pict w14:anchorId="01596FCF">
        <v:shapetype id="_x0000_t202" coordsize="21600,21600" o:spt="202" path="m,l,21600r21600,l21600,xe">
          <v:stroke joinstyle="miter"/>
          <v:path gradientshapeok="t" o:connecttype="rect"/>
        </v:shapetype>
        <v:shape id="_x0000_s2049" type="#_x0000_t202" style="position:absolute;margin-left:559.75pt;margin-top:9.65pt;width:2.4pt;height:3.85pt;z-index:-251658752;mso-wrap-style:none;mso-wrap-distance-left:5pt;mso-wrap-distance-right:5pt;mso-position-horizontal-relative:page;mso-position-vertical-relative:page" wrapcoords="0 0" filled="f" stroked="f">
          <v:textbox style="mso-fit-shape-to-text:t" inset="0,0,0,0">
            <w:txbxContent>
              <w:p w14:paraId="20B707BF" w14:textId="77777777" w:rsidR="00607FDF" w:rsidRDefault="005D5CF3">
                <w:pPr>
                  <w:pStyle w:val="ZhlavneboZpat0"/>
                  <w:shd w:val="clear" w:color="auto" w:fill="auto"/>
                  <w:spacing w:line="240" w:lineRule="auto"/>
                </w:pPr>
                <w:r>
                  <w:rPr>
                    <w:rStyle w:val="ZhlavneboZpat1"/>
                  </w:rPr>
                  <w:t>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C3924"/>
    <w:multiLevelType w:val="multilevel"/>
    <w:tmpl w:val="C17088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F34244"/>
    <w:multiLevelType w:val="multilevel"/>
    <w:tmpl w:val="F11201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AD1D8A"/>
    <w:multiLevelType w:val="multilevel"/>
    <w:tmpl w:val="B9929C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CA2273"/>
    <w:multiLevelType w:val="multilevel"/>
    <w:tmpl w:val="9A0056D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106E29"/>
    <w:multiLevelType w:val="multilevel"/>
    <w:tmpl w:val="F15E29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3E340B"/>
    <w:multiLevelType w:val="multilevel"/>
    <w:tmpl w:val="A7A4CB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1685110">
    <w:abstractNumId w:val="0"/>
  </w:num>
  <w:num w:numId="2" w16cid:durableId="666206023">
    <w:abstractNumId w:val="5"/>
  </w:num>
  <w:num w:numId="3" w16cid:durableId="808282466">
    <w:abstractNumId w:val="1"/>
  </w:num>
  <w:num w:numId="4" w16cid:durableId="824511830">
    <w:abstractNumId w:val="4"/>
  </w:num>
  <w:num w:numId="5" w16cid:durableId="764031266">
    <w:abstractNumId w:val="2"/>
  </w:num>
  <w:num w:numId="6" w16cid:durableId="402414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07FDF"/>
    <w:rsid w:val="005D5CF3"/>
    <w:rsid w:val="00607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2B6DA7"/>
  <w15:docId w15:val="{F7521E98-4533-4887-AD28-426BA42F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1"/>
      <w:szCs w:val="21"/>
      <w:u w:val="none"/>
    </w:rPr>
  </w:style>
  <w:style w:type="character" w:customStyle="1" w:styleId="Nadpis21">
    <w:name w:val="Nadpis #2"/>
    <w:basedOn w:val="Nadpis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5Exact">
    <w:name w:val="Základní text (5) Exact"/>
    <w:basedOn w:val="Standardnpsmoodstavce"/>
    <w:link w:val="Zkladntext5"/>
    <w:rPr>
      <w:rFonts w:ascii="Impact" w:eastAsia="Impact" w:hAnsi="Impact" w:cs="Impact"/>
      <w:b w:val="0"/>
      <w:bCs w:val="0"/>
      <w:i/>
      <w:iCs/>
      <w:smallCaps w:val="0"/>
      <w:strike w:val="0"/>
      <w:spacing w:val="0"/>
      <w:sz w:val="17"/>
      <w:szCs w:val="17"/>
      <w:u w:val="none"/>
    </w:rPr>
  </w:style>
  <w:style w:type="character" w:customStyle="1" w:styleId="Zkladntext5Exact0">
    <w:name w:val="Základní text (5) Exact"/>
    <w:basedOn w:val="Zkladntext5Exact"/>
    <w:rPr>
      <w:rFonts w:ascii="Impact" w:eastAsia="Impact" w:hAnsi="Impact" w:cs="Impact"/>
      <w:b w:val="0"/>
      <w:bCs w:val="0"/>
      <w:i/>
      <w:iCs/>
      <w:smallCaps w:val="0"/>
      <w:strike w:val="0"/>
      <w:color w:val="000000"/>
      <w:spacing w:val="0"/>
      <w:w w:val="100"/>
      <w:position w:val="0"/>
      <w:sz w:val="17"/>
      <w:szCs w:val="17"/>
      <w:u w:val="none"/>
      <w:lang w:val="cs-CZ" w:eastAsia="cs-CZ" w:bidi="cs-CZ"/>
    </w:rPr>
  </w:style>
  <w:style w:type="character" w:customStyle="1" w:styleId="Zkladntext6Exact">
    <w:name w:val="Základní text (6) Exact"/>
    <w:basedOn w:val="Standardnpsmoodstavce"/>
    <w:link w:val="Zkladntext6"/>
    <w:rPr>
      <w:rFonts w:ascii="Calibri" w:eastAsia="Calibri" w:hAnsi="Calibri" w:cs="Calibri"/>
      <w:b w:val="0"/>
      <w:bCs w:val="0"/>
      <w:i/>
      <w:iCs/>
      <w:smallCaps w:val="0"/>
      <w:strike w:val="0"/>
      <w:sz w:val="21"/>
      <w:szCs w:val="21"/>
      <w:u w:val="none"/>
    </w:rPr>
  </w:style>
  <w:style w:type="character" w:customStyle="1" w:styleId="Zkladntext6NekurzvaExact">
    <w:name w:val="Základní text (6) + Ne kurzíva Exact"/>
    <w:basedOn w:val="Zkladntext6Exact"/>
    <w:rPr>
      <w:rFonts w:ascii="Calibri" w:eastAsia="Calibri" w:hAnsi="Calibri" w:cs="Calibri"/>
      <w:b/>
      <w:bCs/>
      <w:i/>
      <w:iCs/>
      <w:smallCaps w:val="0"/>
      <w:strike w:val="0"/>
      <w:color w:val="000000"/>
      <w:spacing w:val="0"/>
      <w:w w:val="100"/>
      <w:position w:val="0"/>
      <w:sz w:val="21"/>
      <w:szCs w:val="21"/>
      <w:u w:val="none"/>
      <w:lang w:val="cs-CZ" w:eastAsia="cs-CZ" w:bidi="cs-CZ"/>
    </w:rPr>
  </w:style>
  <w:style w:type="character" w:customStyle="1" w:styleId="Zkladntext6Exact0">
    <w:name w:val="Základní text (6) Exact"/>
    <w:basedOn w:val="Zkladntext6Exact"/>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pacing w:val="0"/>
      <w:sz w:val="34"/>
      <w:szCs w:val="3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
    <w:basedOn w:val="Standardnpsmoodstavce"/>
    <w:rPr>
      <w:rFonts w:ascii="Calibri" w:eastAsia="Calibri" w:hAnsi="Calibri" w:cs="Calibri"/>
      <w:b w:val="0"/>
      <w:bCs w:val="0"/>
      <w:i/>
      <w:iCs/>
      <w:smallCaps w:val="0"/>
      <w:strike w:val="0"/>
      <w:sz w:val="21"/>
      <w:szCs w:val="21"/>
      <w:u w:val="none"/>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1"/>
      <w:szCs w:val="21"/>
      <w:u w:val="none"/>
    </w:rPr>
  </w:style>
  <w:style w:type="character" w:customStyle="1" w:styleId="Zkladntext7Exact">
    <w:name w:val="Základní text (7)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7TrebuchetMS11ptExact">
    <w:name w:val="Základní text (7) + Trebuchet MS;11 pt Exact"/>
    <w:basedOn w:val="Zkladntext7"/>
    <w:rPr>
      <w:rFonts w:ascii="Trebuchet MS" w:eastAsia="Trebuchet MS" w:hAnsi="Trebuchet MS" w:cs="Trebuchet MS"/>
      <w:b w:val="0"/>
      <w:bCs w:val="0"/>
      <w:i w:val="0"/>
      <w:iCs w:val="0"/>
      <w:smallCaps w:val="0"/>
      <w:strike w:val="0"/>
      <w:sz w:val="22"/>
      <w:szCs w:val="22"/>
      <w:u w:val="none"/>
    </w:rPr>
  </w:style>
  <w:style w:type="character" w:customStyle="1" w:styleId="Zkladntext785ptExact">
    <w:name w:val="Základní text (7) + 8;5 pt Exact"/>
    <w:basedOn w:val="Zkladntext7"/>
    <w:rPr>
      <w:rFonts w:ascii="Calibri" w:eastAsia="Calibri" w:hAnsi="Calibri" w:cs="Calibri"/>
      <w:b w:val="0"/>
      <w:bCs w:val="0"/>
      <w:i w:val="0"/>
      <w:iCs w:val="0"/>
      <w:smallCaps w:val="0"/>
      <w:strike w:val="0"/>
      <w:sz w:val="17"/>
      <w:szCs w:val="17"/>
      <w:u w:val="none"/>
    </w:rPr>
  </w:style>
  <w:style w:type="character" w:customStyle="1" w:styleId="Zkladntext7TrebuchetMS11ptExact0">
    <w:name w:val="Základní text (7) + Trebuchet MS;11 pt Exact"/>
    <w:basedOn w:val="Zkladntext7"/>
    <w:rPr>
      <w:rFonts w:ascii="Trebuchet MS" w:eastAsia="Trebuchet MS" w:hAnsi="Trebuchet MS" w:cs="Trebuchet MS"/>
      <w:b w:val="0"/>
      <w:bCs w:val="0"/>
      <w:i w:val="0"/>
      <w:iCs w:val="0"/>
      <w:smallCaps w:val="0"/>
      <w:strike w:val="0"/>
      <w:sz w:val="22"/>
      <w:szCs w:val="22"/>
      <w:u w:val="single"/>
    </w:rPr>
  </w:style>
  <w:style w:type="character" w:customStyle="1" w:styleId="Zkladntext785ptExact0">
    <w:name w:val="Základní text (7) + 8;5 pt Exact"/>
    <w:basedOn w:val="Zkladntext7"/>
    <w:rPr>
      <w:rFonts w:ascii="Calibri" w:eastAsia="Calibri" w:hAnsi="Calibri" w:cs="Calibri"/>
      <w:b w:val="0"/>
      <w:bCs w:val="0"/>
      <w:i w:val="0"/>
      <w:iCs w:val="0"/>
      <w:smallCaps w:val="0"/>
      <w:strike w:val="0"/>
      <w:sz w:val="17"/>
      <w:szCs w:val="17"/>
      <w:u w:val="singl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4"/>
      <w:szCs w:val="24"/>
      <w:u w:val="none"/>
    </w:rPr>
  </w:style>
  <w:style w:type="character" w:customStyle="1" w:styleId="Nadpis1">
    <w:name w:val="Nadpis #1_"/>
    <w:basedOn w:val="Standardnpsmoodstavce"/>
    <w:link w:val="Nadpis10"/>
    <w:rPr>
      <w:rFonts w:ascii="Trebuchet MS" w:eastAsia="Trebuchet MS" w:hAnsi="Trebuchet MS" w:cs="Trebuchet MS"/>
      <w:b w:val="0"/>
      <w:bCs w:val="0"/>
      <w:i w:val="0"/>
      <w:iCs w:val="0"/>
      <w:smallCaps w:val="0"/>
      <w:strike w:val="0"/>
      <w:sz w:val="44"/>
      <w:szCs w:val="44"/>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18"/>
      <w:szCs w:val="18"/>
      <w:u w:val="none"/>
    </w:rPr>
  </w:style>
  <w:style w:type="character" w:customStyle="1" w:styleId="Zkladntext895pt">
    <w:name w:val="Základní text (8) + 9;5 pt"/>
    <w:basedOn w:val="Zkladntext8"/>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810ptTundkovn1pt">
    <w:name w:val="Základní text (8) + 10 pt;Tučné;Řádkování 1 pt"/>
    <w:basedOn w:val="Zkladntext8"/>
    <w:rPr>
      <w:rFonts w:ascii="Calibri" w:eastAsia="Calibri" w:hAnsi="Calibri" w:cs="Calibri"/>
      <w:b/>
      <w:bCs/>
      <w:i w:val="0"/>
      <w:iCs w:val="0"/>
      <w:smallCaps w:val="0"/>
      <w:strike w:val="0"/>
      <w:color w:val="000000"/>
      <w:spacing w:val="20"/>
      <w:w w:val="100"/>
      <w:position w:val="0"/>
      <w:sz w:val="20"/>
      <w:szCs w:val="20"/>
      <w:u w:val="none"/>
      <w:lang w:val="cs-CZ" w:eastAsia="cs-CZ" w:bidi="cs-CZ"/>
    </w:rPr>
  </w:style>
  <w:style w:type="character" w:customStyle="1" w:styleId="Zkladntext810ptTundkovn1pt0">
    <w:name w:val="Základní text (8) + 10 pt;Tučné;Řádkování 1 pt"/>
    <w:basedOn w:val="Zkladntext8"/>
    <w:rPr>
      <w:rFonts w:ascii="Calibri" w:eastAsia="Calibri" w:hAnsi="Calibri" w:cs="Calibri"/>
      <w:b/>
      <w:bCs/>
      <w:i w:val="0"/>
      <w:iCs w:val="0"/>
      <w:smallCaps w:val="0"/>
      <w:strike w:val="0"/>
      <w:color w:val="000000"/>
      <w:spacing w:val="20"/>
      <w:w w:val="100"/>
      <w:position w:val="0"/>
      <w:sz w:val="20"/>
      <w:szCs w:val="20"/>
      <w:u w:val="none"/>
      <w:lang w:val="cs-CZ" w:eastAsia="cs-CZ" w:bidi="cs-CZ"/>
    </w:rPr>
  </w:style>
  <w:style w:type="character" w:customStyle="1" w:styleId="Zkladntext810ptTun">
    <w:name w:val="Základní text (8) + 10 pt;Tučné"/>
    <w:basedOn w:val="Zkladntext8"/>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9">
    <w:name w:val="Základní text (9)_"/>
    <w:basedOn w:val="Standardnpsmoodstavce"/>
    <w:link w:val="Zkladntext90"/>
    <w:rPr>
      <w:rFonts w:ascii="Trebuchet MS" w:eastAsia="Trebuchet MS" w:hAnsi="Trebuchet MS" w:cs="Trebuchet MS"/>
      <w:b w:val="0"/>
      <w:bCs w:val="0"/>
      <w:i w:val="0"/>
      <w:iCs w:val="0"/>
      <w:smallCaps w:val="0"/>
      <w:strike w:val="0"/>
      <w:sz w:val="16"/>
      <w:szCs w:val="16"/>
      <w:u w:val="none"/>
    </w:rPr>
  </w:style>
  <w:style w:type="character" w:customStyle="1" w:styleId="Zkladntext9Malpsmena">
    <w:name w:val="Základní text (9) + Malá písmena"/>
    <w:basedOn w:val="Zkladntext9"/>
    <w:rPr>
      <w:rFonts w:ascii="Trebuchet MS" w:eastAsia="Trebuchet MS" w:hAnsi="Trebuchet MS" w:cs="Trebuchet MS"/>
      <w:b w:val="0"/>
      <w:bCs w:val="0"/>
      <w:i w:val="0"/>
      <w:iCs w:val="0"/>
      <w:smallCaps/>
      <w:strike w:val="0"/>
      <w:color w:val="000000"/>
      <w:spacing w:val="0"/>
      <w:w w:val="100"/>
      <w:position w:val="0"/>
      <w:sz w:val="16"/>
      <w:szCs w:val="16"/>
      <w:u w:val="none"/>
      <w:lang w:val="cs-CZ" w:eastAsia="cs-CZ" w:bidi="cs-CZ"/>
    </w:rPr>
  </w:style>
  <w:style w:type="character" w:customStyle="1" w:styleId="Zkladntext9dkovn1pt">
    <w:name w:val="Základní text (9) + Řádkování 1 pt"/>
    <w:basedOn w:val="Zkladntext9"/>
    <w:rPr>
      <w:rFonts w:ascii="Trebuchet MS" w:eastAsia="Trebuchet MS" w:hAnsi="Trebuchet MS" w:cs="Trebuchet MS"/>
      <w:b w:val="0"/>
      <w:bCs w:val="0"/>
      <w:i w:val="0"/>
      <w:iCs w:val="0"/>
      <w:smallCaps w:val="0"/>
      <w:strike w:val="0"/>
      <w:color w:val="000000"/>
      <w:spacing w:val="20"/>
      <w:w w:val="100"/>
      <w:position w:val="0"/>
      <w:sz w:val="16"/>
      <w:szCs w:val="16"/>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1"/>
      <w:szCs w:val="11"/>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paragraph" w:customStyle="1" w:styleId="Nadpis20">
    <w:name w:val="Nadpis #2"/>
    <w:basedOn w:val="Normln"/>
    <w:link w:val="Nadpis2"/>
    <w:pPr>
      <w:shd w:val="clear" w:color="auto" w:fill="FFFFFF"/>
      <w:spacing w:line="0" w:lineRule="atLeast"/>
      <w:jc w:val="both"/>
      <w:outlineLvl w:val="1"/>
    </w:pPr>
    <w:rPr>
      <w:rFonts w:ascii="Calibri" w:eastAsia="Calibri" w:hAnsi="Calibri" w:cs="Calibri"/>
      <w:sz w:val="21"/>
      <w:szCs w:val="21"/>
    </w:rPr>
  </w:style>
  <w:style w:type="paragraph" w:customStyle="1" w:styleId="Zkladntext20">
    <w:name w:val="Základní text (2)"/>
    <w:basedOn w:val="Normln"/>
    <w:link w:val="Zkladntext2"/>
    <w:pPr>
      <w:shd w:val="clear" w:color="auto" w:fill="FFFFFF"/>
      <w:spacing w:before="60" w:line="509" w:lineRule="exact"/>
      <w:ind w:hanging="380"/>
    </w:pPr>
    <w:rPr>
      <w:rFonts w:ascii="Calibri" w:eastAsia="Calibri" w:hAnsi="Calibri" w:cs="Calibri"/>
      <w:sz w:val="21"/>
      <w:szCs w:val="21"/>
    </w:rPr>
  </w:style>
  <w:style w:type="paragraph" w:customStyle="1" w:styleId="Zkladntext5">
    <w:name w:val="Základní text (5)"/>
    <w:basedOn w:val="Normln"/>
    <w:link w:val="Zkladntext5Exact"/>
    <w:pPr>
      <w:shd w:val="clear" w:color="auto" w:fill="FFFFFF"/>
      <w:spacing w:after="600" w:line="0" w:lineRule="atLeast"/>
    </w:pPr>
    <w:rPr>
      <w:rFonts w:ascii="Impact" w:eastAsia="Impact" w:hAnsi="Impact" w:cs="Impact"/>
      <w:i/>
      <w:iCs/>
      <w:sz w:val="17"/>
      <w:szCs w:val="17"/>
    </w:rPr>
  </w:style>
  <w:style w:type="paragraph" w:customStyle="1" w:styleId="Zkladntext6">
    <w:name w:val="Základní text (6)"/>
    <w:basedOn w:val="Normln"/>
    <w:link w:val="Zkladntext6Exact"/>
    <w:pPr>
      <w:shd w:val="clear" w:color="auto" w:fill="FFFFFF"/>
      <w:spacing w:before="600" w:line="0" w:lineRule="atLeast"/>
    </w:pPr>
    <w:rPr>
      <w:rFonts w:ascii="Calibri" w:eastAsia="Calibri" w:hAnsi="Calibri" w:cs="Calibri"/>
      <w:i/>
      <w:iCs/>
      <w:sz w:val="21"/>
      <w:szCs w:val="21"/>
    </w:rPr>
  </w:style>
  <w:style w:type="paragraph" w:customStyle="1" w:styleId="Nadpis30">
    <w:name w:val="Nadpis #3"/>
    <w:basedOn w:val="Normln"/>
    <w:link w:val="Nadpis3"/>
    <w:pPr>
      <w:shd w:val="clear" w:color="auto" w:fill="FFFFFF"/>
      <w:spacing w:after="60" w:line="0" w:lineRule="atLeast"/>
      <w:jc w:val="center"/>
      <w:outlineLvl w:val="2"/>
    </w:pPr>
    <w:rPr>
      <w:rFonts w:ascii="Calibri" w:eastAsia="Calibri" w:hAnsi="Calibri" w:cs="Calibri"/>
      <w:b/>
      <w:bCs/>
      <w:sz w:val="34"/>
      <w:szCs w:val="34"/>
    </w:rPr>
  </w:style>
  <w:style w:type="paragraph" w:customStyle="1" w:styleId="Zkladntext30">
    <w:name w:val="Základní text (3)"/>
    <w:basedOn w:val="Normln"/>
    <w:link w:val="Zkladntext3"/>
    <w:pPr>
      <w:shd w:val="clear" w:color="auto" w:fill="FFFFFF"/>
      <w:spacing w:line="254" w:lineRule="exact"/>
    </w:pPr>
    <w:rPr>
      <w:rFonts w:ascii="Calibri" w:eastAsia="Calibri" w:hAnsi="Calibri" w:cs="Calibri"/>
      <w:b/>
      <w:bCs/>
      <w:sz w:val="21"/>
      <w:szCs w:val="21"/>
    </w:rPr>
  </w:style>
  <w:style w:type="paragraph" w:customStyle="1" w:styleId="Nadpis40">
    <w:name w:val="Nadpis #4"/>
    <w:basedOn w:val="Normln"/>
    <w:link w:val="Nadpis4"/>
    <w:pPr>
      <w:shd w:val="clear" w:color="auto" w:fill="FFFFFF"/>
      <w:spacing w:before="420" w:line="254" w:lineRule="exact"/>
      <w:jc w:val="center"/>
      <w:outlineLvl w:val="3"/>
    </w:pPr>
    <w:rPr>
      <w:rFonts w:ascii="Calibri" w:eastAsia="Calibri" w:hAnsi="Calibri" w:cs="Calibri"/>
      <w:sz w:val="21"/>
      <w:szCs w:val="21"/>
    </w:rPr>
  </w:style>
  <w:style w:type="paragraph" w:customStyle="1" w:styleId="Zkladntext70">
    <w:name w:val="Základní text (7)"/>
    <w:basedOn w:val="Normln"/>
    <w:link w:val="Zkladntext7"/>
    <w:pPr>
      <w:shd w:val="clear" w:color="auto" w:fill="FFFFFF"/>
      <w:spacing w:after="60" w:line="0" w:lineRule="atLeast"/>
      <w:jc w:val="right"/>
    </w:pPr>
    <w:rPr>
      <w:rFonts w:ascii="Calibri" w:eastAsia="Calibri" w:hAnsi="Calibri" w:cs="Calibri"/>
    </w:rPr>
  </w:style>
  <w:style w:type="paragraph" w:customStyle="1" w:styleId="Nadpis10">
    <w:name w:val="Nadpis #1"/>
    <w:basedOn w:val="Normln"/>
    <w:link w:val="Nadpis1"/>
    <w:pPr>
      <w:shd w:val="clear" w:color="auto" w:fill="FFFFFF"/>
      <w:spacing w:before="60" w:line="658" w:lineRule="exact"/>
      <w:jc w:val="both"/>
      <w:outlineLvl w:val="0"/>
    </w:pPr>
    <w:rPr>
      <w:rFonts w:ascii="Trebuchet MS" w:eastAsia="Trebuchet MS" w:hAnsi="Trebuchet MS" w:cs="Trebuchet MS"/>
      <w:sz w:val="44"/>
      <w:szCs w:val="44"/>
    </w:rPr>
  </w:style>
  <w:style w:type="paragraph" w:customStyle="1" w:styleId="Zkladntext80">
    <w:name w:val="Základní text (8)"/>
    <w:basedOn w:val="Normln"/>
    <w:link w:val="Zkladntext8"/>
    <w:pPr>
      <w:shd w:val="clear" w:color="auto" w:fill="FFFFFF"/>
      <w:spacing w:before="240" w:after="60" w:line="154" w:lineRule="exact"/>
      <w:jc w:val="both"/>
    </w:pPr>
    <w:rPr>
      <w:rFonts w:ascii="Calibri" w:eastAsia="Calibri" w:hAnsi="Calibri" w:cs="Calibri"/>
      <w:sz w:val="18"/>
      <w:szCs w:val="18"/>
    </w:rPr>
  </w:style>
  <w:style w:type="paragraph" w:customStyle="1" w:styleId="Zkladntext90">
    <w:name w:val="Základní text (9)"/>
    <w:basedOn w:val="Normln"/>
    <w:link w:val="Zkladntext9"/>
    <w:pPr>
      <w:shd w:val="clear" w:color="auto" w:fill="FFFFFF"/>
      <w:spacing w:before="60" w:line="216" w:lineRule="exact"/>
      <w:jc w:val="both"/>
    </w:pPr>
    <w:rPr>
      <w:rFonts w:ascii="Trebuchet MS" w:eastAsia="Trebuchet MS" w:hAnsi="Trebuchet MS" w:cs="Trebuchet MS"/>
      <w:sz w:val="16"/>
      <w:szCs w:val="16"/>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1420</Words>
  <Characters>8380</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103476</cp:lastModifiedBy>
  <cp:revision>2</cp:revision>
  <dcterms:created xsi:type="dcterms:W3CDTF">2024-10-30T09:54:00Z</dcterms:created>
  <dcterms:modified xsi:type="dcterms:W3CDTF">2024-10-30T09:56:00Z</dcterms:modified>
</cp:coreProperties>
</file>