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line="340" w:lineRule="exact"/>
        <w:ind w:left="0" w:right="0" w:firstLine="0"/>
      </w:pPr>
      <w:r>
        <w:rPr>
          <w:rStyle w:val="CharStyle5"/>
          <w:b/>
          <w:bCs/>
        </w:rPr>
        <w:t>Kooperativa</w:t>
      </w:r>
    </w:p>
    <w:p>
      <w:pPr>
        <w:pStyle w:val="Style6"/>
        <w:tabs>
          <w:tab w:leader="none" w:pos="8899" w:val="left"/>
        </w:tabs>
        <w:widowControl w:val="0"/>
        <w:keepNext w:val="0"/>
        <w:keepLines w:val="0"/>
        <w:shd w:val="clear" w:color="auto" w:fill="auto"/>
        <w:bidi w:val="0"/>
        <w:spacing w:before="0" w:after="805" w:line="240" w:lineRule="exact"/>
        <w:ind w:left="0" w:right="0" w:firstLine="0"/>
      </w:pPr>
      <w:r>
        <w:rPr>
          <w:rStyle w:val="CharStyle8"/>
          <w:b/>
          <w:bCs/>
        </w:rPr>
        <w:t>Vienna Insurance Group</w:t>
        <w:tab/>
      </w:r>
      <w:r>
        <w:rPr>
          <w:rStyle w:val="CharStyle9"/>
          <w:b/>
          <w:bCs/>
        </w:rPr>
        <w:t>P-600/05</w:t>
      </w:r>
    </w:p>
    <w:p>
      <w:pPr>
        <w:pStyle w:val="Style10"/>
        <w:widowControl w:val="0"/>
        <w:keepNext/>
        <w:keepLines/>
        <w:shd w:val="clear" w:color="auto" w:fill="auto"/>
        <w:bidi w:val="0"/>
        <w:jc w:val="left"/>
        <w:spacing w:before="0" w:after="93" w:line="500" w:lineRule="exact"/>
        <w:ind w:left="0" w:right="0" w:firstLine="0"/>
      </w:pPr>
      <w:bookmarkStart w:id="0" w:name="bookmark0"/>
      <w:r>
        <w:rPr>
          <w:rStyle w:val="CharStyle12"/>
          <w:b/>
          <w:bCs/>
        </w:rPr>
        <w:t>Zvláštní pojistné podmínky</w:t>
      </w:r>
      <w:bookmarkEnd w:id="0"/>
    </w:p>
    <w:p>
      <w:pPr>
        <w:pStyle w:val="Style10"/>
        <w:widowControl w:val="0"/>
        <w:keepNext/>
        <w:keepLines/>
        <w:shd w:val="clear" w:color="auto" w:fill="auto"/>
        <w:bidi w:val="0"/>
        <w:jc w:val="left"/>
        <w:spacing w:before="0" w:after="0" w:line="500" w:lineRule="exact"/>
        <w:ind w:left="0" w:right="0" w:firstLine="0"/>
        <w:sectPr>
          <w:footnotePr>
            <w:pos w:val="pageBottom"/>
            <w:numFmt w:val="decimal"/>
            <w:numRestart w:val="continuous"/>
          </w:footnotePr>
          <w:pgSz w:w="11900" w:h="16840"/>
          <w:pgMar w:top="1344" w:left="929" w:right="929" w:bottom="1397" w:header="0" w:footer="3" w:gutter="0"/>
          <w:rtlGutter w:val="0"/>
          <w:cols w:space="720"/>
          <w:noEndnote/>
          <w:docGrid w:linePitch="360"/>
        </w:sectPr>
      </w:pPr>
      <w:bookmarkStart w:id="1" w:name="bookmark1"/>
      <w:r>
        <w:rPr>
          <w:rStyle w:val="CharStyle12"/>
          <w:b/>
          <w:bCs/>
        </w:rPr>
        <w:t>pro pojištění odpovědnosti za škodu</w:t>
      </w:r>
      <w:bookmarkEnd w:id="1"/>
    </w:p>
    <w:p>
      <w:pPr>
        <w:widowControl w:val="0"/>
        <w:spacing w:line="240" w:lineRule="exact"/>
        <w:rPr>
          <w:sz w:val="19"/>
          <w:szCs w:val="19"/>
        </w:rPr>
      </w:pPr>
    </w:p>
    <w:p>
      <w:pPr>
        <w:widowControl w:val="0"/>
        <w:spacing w:before="84" w:after="84" w:line="240" w:lineRule="exact"/>
        <w:rPr>
          <w:sz w:val="19"/>
          <w:szCs w:val="19"/>
        </w:rPr>
      </w:pPr>
    </w:p>
    <w:p>
      <w:pPr>
        <w:widowControl w:val="0"/>
        <w:rPr>
          <w:sz w:val="2"/>
          <w:szCs w:val="2"/>
        </w:rPr>
        <w:sectPr>
          <w:type w:val="continuous"/>
          <w:pgSz w:w="11900" w:h="16840"/>
          <w:pgMar w:top="1344" w:left="0" w:right="0" w:bottom="1344" w:header="0" w:footer="3" w:gutter="0"/>
          <w:rtlGutter w:val="0"/>
          <w:cols w:space="720"/>
          <w:noEndnote/>
          <w:docGrid w:linePitch="360"/>
        </w:sectPr>
      </w:pPr>
    </w:p>
    <w:p>
      <w:pPr>
        <w:pStyle w:val="Style13"/>
        <w:widowControl w:val="0"/>
        <w:keepNext/>
        <w:keepLines/>
        <w:shd w:val="clear" w:color="auto" w:fill="auto"/>
        <w:bidi w:val="0"/>
        <w:jc w:val="left"/>
        <w:spacing w:before="0" w:after="59" w:line="140" w:lineRule="exact"/>
        <w:ind w:left="0" w:right="0" w:firstLine="0"/>
      </w:pPr>
      <w:bookmarkStart w:id="2" w:name="bookmark2"/>
      <w:r>
        <w:rPr>
          <w:lang w:val="cs-CZ" w:eastAsia="cs-CZ" w:bidi="cs-CZ"/>
          <w:w w:val="100"/>
          <w:spacing w:val="0"/>
          <w:color w:val="000000"/>
          <w:position w:val="0"/>
        </w:rPr>
        <w:t>Článek I.</w:t>
      </w:r>
      <w:bookmarkEnd w:id="2"/>
    </w:p>
    <w:p>
      <w:pPr>
        <w:pStyle w:val="Style15"/>
        <w:widowControl w:val="0"/>
        <w:keepNext w:val="0"/>
        <w:keepLines w:val="0"/>
        <w:shd w:val="clear" w:color="auto" w:fill="auto"/>
        <w:bidi w:val="0"/>
        <w:jc w:val="left"/>
        <w:spacing w:before="0" w:after="238" w:line="140" w:lineRule="exact"/>
        <w:ind w:left="0" w:right="0" w:firstLine="0"/>
      </w:pPr>
      <w:r>
        <w:rPr>
          <w:lang w:val="cs-CZ" w:eastAsia="cs-CZ" w:bidi="cs-CZ"/>
          <w:w w:val="100"/>
          <w:spacing w:val="0"/>
          <w:color w:val="000000"/>
          <w:position w:val="0"/>
        </w:rPr>
        <w:t>Pojistná nebezpečí a rozsah pojištěni</w:t>
      </w:r>
    </w:p>
    <w:p>
      <w:pPr>
        <w:pStyle w:val="Style17"/>
        <w:numPr>
          <w:ilvl w:val="0"/>
          <w:numId w:val="1"/>
        </w:numPr>
        <w:tabs>
          <w:tab w:leader="none" w:pos="269"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Pojištění se sjednává pro případ právním předpisem stanovené odpovědnosti pojištěného za škodu vzniklou jinému v souvislosti</w:t>
      </w:r>
    </w:p>
    <w:p>
      <w:pPr>
        <w:pStyle w:val="Style17"/>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s činností nebo vztahem pojištěného, které jsou uvedeny v pojistné smlouvě.</w:t>
      </w:r>
    </w:p>
    <w:p>
      <w:pPr>
        <w:pStyle w:val="Style17"/>
        <w:numPr>
          <w:ilvl w:val="0"/>
          <w:numId w:val="1"/>
        </w:numPr>
        <w:tabs>
          <w:tab w:leader="none" w:pos="274"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 pojištění odpovědnosti za škodu podle těchto pojistných podmínek má pojištěný právo, aby pojistitel uhradil</w:t>
      </w:r>
    </w:p>
    <w:p>
      <w:pPr>
        <w:pStyle w:val="Style17"/>
        <w:numPr>
          <w:ilvl w:val="0"/>
          <w:numId w:val="3"/>
        </w:numPr>
        <w:tabs>
          <w:tab w:leader="none" w:pos="269"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v případě vzniku pojistné události:</w:t>
      </w:r>
    </w:p>
    <w:p>
      <w:pPr>
        <w:pStyle w:val="Style17"/>
        <w:widowControl w:val="0"/>
        <w:keepNext w:val="0"/>
        <w:keepLines w:val="0"/>
        <w:shd w:val="clear" w:color="auto" w:fill="auto"/>
        <w:bidi w:val="0"/>
        <w:jc w:val="both"/>
        <w:spacing w:before="0" w:after="0"/>
        <w:ind w:left="220" w:right="0" w:firstLine="0"/>
      </w:pPr>
      <w:r>
        <w:rPr>
          <w:lang w:val="cs-CZ" w:eastAsia="cs-CZ" w:bidi="cs-CZ"/>
          <w:w w:val="100"/>
          <w:spacing w:val="0"/>
          <w:color w:val="000000"/>
          <w:position w:val="0"/>
        </w:rPr>
        <w:t>0 škodu na zdraví nebo na životě,</w:t>
      </w:r>
    </w:p>
    <w:p>
      <w:pPr>
        <w:pStyle w:val="Style17"/>
        <w:numPr>
          <w:ilvl w:val="0"/>
          <w:numId w:val="5"/>
        </w:numPr>
        <w:tabs>
          <w:tab w:leader="none" w:pos="522" w:val="left"/>
        </w:tabs>
        <w:widowControl w:val="0"/>
        <w:keepNext w:val="0"/>
        <w:keepLines w:val="0"/>
        <w:shd w:val="clear" w:color="auto" w:fill="auto"/>
        <w:bidi w:val="0"/>
        <w:jc w:val="both"/>
        <w:spacing w:before="0" w:after="0"/>
        <w:ind w:left="220" w:right="0" w:firstLine="0"/>
      </w:pPr>
      <w:r>
        <w:rPr>
          <w:lang w:val="cs-CZ" w:eastAsia="cs-CZ" w:bidi="cs-CZ"/>
          <w:w w:val="100"/>
          <w:spacing w:val="0"/>
          <w:color w:val="000000"/>
          <w:position w:val="0"/>
        </w:rPr>
        <w:t>škodu na věci jejím poškozením, zničením nebo ztrátou,</w:t>
      </w:r>
    </w:p>
    <w:p>
      <w:pPr>
        <w:pStyle w:val="Style17"/>
        <w:numPr>
          <w:ilvl w:val="0"/>
          <w:numId w:val="5"/>
        </w:numPr>
        <w:tabs>
          <w:tab w:leader="none" w:pos="575" w:val="left"/>
        </w:tabs>
        <w:widowControl w:val="0"/>
        <w:keepNext w:val="0"/>
        <w:keepLines w:val="0"/>
        <w:shd w:val="clear" w:color="auto" w:fill="auto"/>
        <w:bidi w:val="0"/>
        <w:jc w:val="both"/>
        <w:spacing w:before="0" w:after="0"/>
        <w:ind w:left="220" w:right="0" w:firstLine="0"/>
      </w:pPr>
      <w:r>
        <w:rPr>
          <w:lang w:val="cs-CZ" w:eastAsia="cs-CZ" w:bidi="cs-CZ"/>
          <w:w w:val="100"/>
          <w:spacing w:val="0"/>
          <w:color w:val="000000"/>
          <w:position w:val="0"/>
        </w:rPr>
        <w:t>jinou majetkovou škodu vyplývající ze škody podle bodu 0</w:t>
      </w:r>
    </w:p>
    <w:p>
      <w:pPr>
        <w:pStyle w:val="Style17"/>
        <w:widowControl w:val="0"/>
        <w:keepNext w:val="0"/>
        <w:keepLines w:val="0"/>
        <w:shd w:val="clear" w:color="auto" w:fill="auto"/>
        <w:bidi w:val="0"/>
        <w:jc w:val="left"/>
        <w:spacing w:before="0" w:after="0"/>
        <w:ind w:left="520" w:right="0" w:firstLine="0"/>
      </w:pPr>
      <w:r>
        <w:rPr>
          <w:lang w:val="cs-CZ" w:eastAsia="cs-CZ" w:bidi="cs-CZ"/>
          <w:w w:val="100"/>
          <w:spacing w:val="0"/>
          <w:color w:val="000000"/>
          <w:position w:val="0"/>
        </w:rPr>
        <w:t>a ii), pokud byl proti pojištěnému uplatněn oprávněný nárok na náhradu škody,</w:t>
      </w:r>
    </w:p>
    <w:p>
      <w:pPr>
        <w:pStyle w:val="Style17"/>
        <w:numPr>
          <w:ilvl w:val="0"/>
          <w:numId w:val="3"/>
        </w:numPr>
        <w:tabs>
          <w:tab w:leader="none" w:pos="269" w:val="left"/>
        </w:tabs>
        <w:widowControl w:val="0"/>
        <w:keepNext w:val="0"/>
        <w:keepLines w:val="0"/>
        <w:shd w:val="clear" w:color="auto" w:fill="auto"/>
        <w:bidi w:val="0"/>
        <w:jc w:val="left"/>
        <w:spacing w:before="0" w:after="180"/>
        <w:ind w:left="220" w:right="0" w:hanging="220"/>
      </w:pPr>
      <w:r>
        <w:rPr>
          <w:lang w:val="cs-CZ" w:eastAsia="cs-CZ" w:bidi="cs-CZ"/>
          <w:w w:val="100"/>
          <w:spacing w:val="0"/>
          <w:color w:val="000000"/>
          <w:position w:val="0"/>
        </w:rPr>
        <w:t>náklady nutné k právní ochraně pojištěného proti uplatněnému nároku na náhradu škody v rozsahu článku III.</w:t>
      </w:r>
    </w:p>
    <w:p>
      <w:pPr>
        <w:pStyle w:val="Style17"/>
        <w:numPr>
          <w:ilvl w:val="0"/>
          <w:numId w:val="1"/>
        </w:numPr>
        <w:tabs>
          <w:tab w:leader="none" w:pos="278" w:val="left"/>
        </w:tabs>
        <w:widowControl w:val="0"/>
        <w:keepNext w:val="0"/>
        <w:keepLines w:val="0"/>
        <w:shd w:val="clear" w:color="auto" w:fill="auto"/>
        <w:bidi w:val="0"/>
        <w:jc w:val="both"/>
        <w:spacing w:before="0" w:after="180"/>
        <w:ind w:left="0" w:right="620" w:firstLine="0"/>
      </w:pPr>
      <w:r>
        <w:rPr>
          <w:lang w:val="cs-CZ" w:eastAsia="cs-CZ" w:bidi="cs-CZ"/>
          <w:w w:val="100"/>
          <w:spacing w:val="0"/>
          <w:color w:val="000000"/>
          <w:position w:val="0"/>
        </w:rPr>
        <w:t>Pojištění se vztahuje i na odpovědnost pojištěného za škody vyplývající z vlastnictví, držby nebo jiného oprávněného užívání nemovitosti sloužící k výkonu činnosti uvedené v pojistné smlouvě.</w:t>
      </w:r>
    </w:p>
    <w:p>
      <w:pPr>
        <w:pStyle w:val="Style17"/>
        <w:numPr>
          <w:ilvl w:val="0"/>
          <w:numId w:val="1"/>
        </w:numPr>
        <w:tabs>
          <w:tab w:leader="none" w:pos="283"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Pojištění se vztahuje i na náhradu nákladů léčení vynaložených zdravotní pojišťovnou na zdravotní péči v důsledku zaviněného protiprávního jednání pojištěného, jestliže z odpovědnosti za škodu na zdraví, ke které se tyto náklady vážou, vznikl nárok na plnění z pojištění podle těchto pojistných podmínek.</w:t>
      </w:r>
    </w:p>
    <w:p>
      <w:pPr>
        <w:pStyle w:val="Style17"/>
        <w:numPr>
          <w:ilvl w:val="0"/>
          <w:numId w:val="1"/>
        </w:numPr>
        <w:tabs>
          <w:tab w:leader="none" w:pos="288" w:val="left"/>
        </w:tabs>
        <w:widowControl w:val="0"/>
        <w:keepNext w:val="0"/>
        <w:keepLines w:val="0"/>
        <w:shd w:val="clear" w:color="auto" w:fill="auto"/>
        <w:bidi w:val="0"/>
        <w:jc w:val="left"/>
        <w:spacing w:before="0" w:after="260"/>
        <w:ind w:left="0" w:right="0" w:firstLine="0"/>
      </w:pPr>
      <w:r>
        <w:rPr>
          <w:lang w:val="cs-CZ" w:eastAsia="cs-CZ" w:bidi="cs-CZ"/>
          <w:w w:val="100"/>
          <w:spacing w:val="0"/>
          <w:color w:val="000000"/>
          <w:position w:val="0"/>
        </w:rPr>
        <w:t>Pouze je-li to ujednáno v pojistné smlouvě, pojištění se vztahuje na odpovědnost za škodu způsobenou vadou výrobku a za škodu způsobenou vadou vykonané práce, která se projeví po jejím předání (dále jen „odpovědnost za škodu způsobenou vadou výrobku").</w:t>
      </w:r>
    </w:p>
    <w:p>
      <w:pPr>
        <w:pStyle w:val="Style13"/>
        <w:widowControl w:val="0"/>
        <w:keepNext/>
        <w:keepLines/>
        <w:shd w:val="clear" w:color="auto" w:fill="auto"/>
        <w:bidi w:val="0"/>
        <w:jc w:val="both"/>
        <w:spacing w:before="0" w:after="64" w:line="140" w:lineRule="exact"/>
        <w:ind w:left="0" w:right="0" w:firstLine="0"/>
      </w:pPr>
      <w:bookmarkStart w:id="3" w:name="bookmark3"/>
      <w:r>
        <w:rPr>
          <w:lang w:val="cs-CZ" w:eastAsia="cs-CZ" w:bidi="cs-CZ"/>
          <w:w w:val="100"/>
          <w:spacing w:val="0"/>
          <w:color w:val="000000"/>
          <w:position w:val="0"/>
        </w:rPr>
        <w:t>Článek II.</w:t>
      </w:r>
      <w:bookmarkEnd w:id="3"/>
    </w:p>
    <w:p>
      <w:pPr>
        <w:pStyle w:val="Style15"/>
        <w:widowControl w:val="0"/>
        <w:keepNext w:val="0"/>
        <w:keepLines w:val="0"/>
        <w:shd w:val="clear" w:color="auto" w:fill="auto"/>
        <w:bidi w:val="0"/>
        <w:jc w:val="both"/>
        <w:spacing w:before="0" w:after="243" w:line="140" w:lineRule="exact"/>
        <w:ind w:left="0" w:right="0" w:firstLine="0"/>
      </w:pPr>
      <w:r>
        <w:rPr>
          <w:lang w:val="cs-CZ" w:eastAsia="cs-CZ" w:bidi="cs-CZ"/>
          <w:w w:val="100"/>
          <w:spacing w:val="0"/>
          <w:color w:val="000000"/>
          <w:position w:val="0"/>
        </w:rPr>
        <w:t>Pojistná událost</w:t>
      </w:r>
    </w:p>
    <w:p>
      <w:pPr>
        <w:pStyle w:val="Style17"/>
        <w:numPr>
          <w:ilvl w:val="0"/>
          <w:numId w:val="7"/>
        </w:numPr>
        <w:tabs>
          <w:tab w:leader="none" w:pos="269"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Pojistnou událostí je vznik povinnosti pojištěného nahradit škodu, která nastala v souvislosti s činností nebo vztahem uvedenými v článku I. odst. 1) a se kterou je spojena povinnost pojistitele poskytnout pojistné plnění.</w:t>
      </w:r>
    </w:p>
    <w:p>
      <w:pPr>
        <w:pStyle w:val="Style17"/>
        <w:numPr>
          <w:ilvl w:val="0"/>
          <w:numId w:val="7"/>
        </w:numPr>
        <w:tabs>
          <w:tab w:leader="none" w:pos="278" w:val="left"/>
        </w:tabs>
        <w:widowControl w:val="0"/>
        <w:keepNext w:val="0"/>
        <w:keepLines w:val="0"/>
        <w:shd w:val="clear" w:color="auto" w:fill="auto"/>
        <w:bidi w:val="0"/>
        <w:jc w:val="both"/>
        <w:spacing w:before="0" w:after="0"/>
        <w:ind w:left="0" w:right="340" w:firstLine="0"/>
      </w:pPr>
      <w:r>
        <w:rPr>
          <w:lang w:val="cs-CZ" w:eastAsia="cs-CZ" w:bidi="cs-CZ"/>
          <w:w w:val="100"/>
          <w:spacing w:val="0"/>
          <w:color w:val="000000"/>
          <w:position w:val="0"/>
        </w:rPr>
        <w:t>Pojistitel je povinen poskytnout pojistné plnění za předpokladu, že právní skutečnost, v jejímž důsledku škoda vznikla, nastala v době trvání pojištění.</w:t>
      </w:r>
    </w:p>
    <w:p>
      <w:pPr>
        <w:pStyle w:val="Style17"/>
        <w:numPr>
          <w:ilvl w:val="0"/>
          <w:numId w:val="7"/>
        </w:numPr>
        <w:tabs>
          <w:tab w:leader="none" w:pos="27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Je-li tak v pojistné smlouvě ujednáno, je odchylně od předchozího odstavce pojistitel povinen poskytnout pojistné plnění za předpokladu, že jsou současně splněny následující podmínky:</w:t>
      </w:r>
    </w:p>
    <w:p>
      <w:pPr>
        <w:pStyle w:val="Style17"/>
        <w:numPr>
          <w:ilvl w:val="0"/>
          <w:numId w:val="9"/>
        </w:numPr>
        <w:tabs>
          <w:tab w:leader="none" w:pos="260" w:val="left"/>
        </w:tabs>
        <w:widowControl w:val="0"/>
        <w:keepNext w:val="0"/>
        <w:keepLines w:val="0"/>
        <w:shd w:val="clear" w:color="auto" w:fill="auto"/>
        <w:bidi w:val="0"/>
        <w:jc w:val="left"/>
        <w:spacing w:before="0" w:after="0"/>
        <w:ind w:left="220" w:right="0" w:hanging="220"/>
      </w:pPr>
      <w:r>
        <w:rPr>
          <w:lang w:val="cs-CZ" w:eastAsia="cs-CZ" w:bidi="cs-CZ"/>
          <w:w w:val="100"/>
          <w:spacing w:val="0"/>
          <w:color w:val="000000"/>
          <w:position w:val="0"/>
        </w:rPr>
        <w:t>právní skutečnost, v jejímž důsledku škoda vznikla, nastala po datu uvedeném v pojistné smlouvě (retroaktivní datum),</w:t>
      </w:r>
    </w:p>
    <w:p>
      <w:pPr>
        <w:pStyle w:val="Style17"/>
        <w:numPr>
          <w:ilvl w:val="0"/>
          <w:numId w:val="9"/>
        </w:numPr>
        <w:tabs>
          <w:tab w:leader="none" w:pos="260" w:val="left"/>
        </w:tabs>
        <w:widowControl w:val="0"/>
        <w:keepNext w:val="0"/>
        <w:keepLines w:val="0"/>
        <w:shd w:val="clear" w:color="auto" w:fill="auto"/>
        <w:bidi w:val="0"/>
        <w:jc w:val="left"/>
        <w:spacing w:before="0" w:after="0"/>
        <w:ind w:left="220" w:right="0" w:hanging="220"/>
      </w:pPr>
      <w:r>
        <w:rPr>
          <w:lang w:val="cs-CZ" w:eastAsia="cs-CZ" w:bidi="cs-CZ"/>
          <w:w w:val="100"/>
          <w:spacing w:val="0"/>
          <w:color w:val="000000"/>
          <w:position w:val="0"/>
        </w:rPr>
        <w:t>poškozený poprvé písemně uplatnil nárok na náhradu škody proti pojištěnému v době trvání pojištění,</w:t>
      </w:r>
    </w:p>
    <w:p>
      <w:pPr>
        <w:pStyle w:val="Style17"/>
        <w:numPr>
          <w:ilvl w:val="0"/>
          <w:numId w:val="9"/>
        </w:numPr>
        <w:tabs>
          <w:tab w:leader="none" w:pos="260" w:val="left"/>
        </w:tabs>
        <w:widowControl w:val="0"/>
        <w:keepNext w:val="0"/>
        <w:keepLines w:val="0"/>
        <w:shd w:val="clear" w:color="auto" w:fill="auto"/>
        <w:bidi w:val="0"/>
        <w:jc w:val="left"/>
        <w:spacing w:before="0" w:after="180"/>
        <w:ind w:left="220" w:right="0" w:hanging="220"/>
      </w:pPr>
      <w:r>
        <w:rPr>
          <w:lang w:val="cs-CZ" w:eastAsia="cs-CZ" w:bidi="cs-CZ"/>
          <w:w w:val="100"/>
          <w:spacing w:val="0"/>
          <w:color w:val="000000"/>
          <w:position w:val="0"/>
        </w:rPr>
        <w:t>pojištěný uplatnil nárok na plnění vůči pojistiteli do 60 dní po zániku pojištění.</w:t>
      </w:r>
    </w:p>
    <w:p>
      <w:pPr>
        <w:pStyle w:val="Style17"/>
        <w:numPr>
          <w:ilvl w:val="0"/>
          <w:numId w:val="7"/>
        </w:numPr>
        <w:tabs>
          <w:tab w:leader="none" w:pos="270"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Více nároků na náhradu škody vyplývajících z jedné příčiny nebo z více příčin, které spolu časově, místně nebo jinak přímo souvisí, se považuje za jednu pojistnou událost, a to nezávisle na počtu poškozených osob.</w:t>
      </w:r>
    </w:p>
    <w:p>
      <w:pPr>
        <w:pStyle w:val="Style17"/>
        <w:numPr>
          <w:ilvl w:val="0"/>
          <w:numId w:val="7"/>
        </w:numPr>
        <w:tabs>
          <w:tab w:leader="none" w:pos="274" w:val="left"/>
        </w:tabs>
        <w:widowControl w:val="0"/>
        <w:keepNext w:val="0"/>
        <w:keepLines w:val="0"/>
        <w:shd w:val="clear" w:color="auto" w:fill="auto"/>
        <w:bidi w:val="0"/>
        <w:jc w:val="left"/>
        <w:spacing w:before="0" w:after="260"/>
        <w:ind w:left="0" w:right="0" w:firstLine="0"/>
      </w:pPr>
      <w:r>
        <w:rPr>
          <w:lang w:val="cs-CZ" w:eastAsia="cs-CZ" w:bidi="cs-CZ"/>
          <w:w w:val="100"/>
          <w:spacing w:val="0"/>
          <w:color w:val="000000"/>
          <w:position w:val="0"/>
        </w:rPr>
        <w:t>Rozhoduje-li o náhradě škody nebo její výši soud nebo jiný oprávněný orgán, je pojistitel povinen poskytnout pojistné plnění podle článku I. odst. 2) písm. a) až poté, kdy mu bylo doručeno pravomocné rozhodnutí tohoto orgánu.</w:t>
      </w:r>
    </w:p>
    <w:p>
      <w:pPr>
        <w:pStyle w:val="Style13"/>
        <w:widowControl w:val="0"/>
        <w:keepNext/>
        <w:keepLines/>
        <w:shd w:val="clear" w:color="auto" w:fill="auto"/>
        <w:bidi w:val="0"/>
        <w:jc w:val="left"/>
        <w:spacing w:before="0" w:after="64" w:line="140" w:lineRule="exact"/>
        <w:ind w:left="0" w:right="0" w:firstLine="0"/>
      </w:pPr>
      <w:bookmarkStart w:id="4" w:name="bookmark4"/>
      <w:r>
        <w:rPr>
          <w:lang w:val="cs-CZ" w:eastAsia="cs-CZ" w:bidi="cs-CZ"/>
          <w:w w:val="100"/>
          <w:spacing w:val="0"/>
          <w:color w:val="000000"/>
          <w:position w:val="0"/>
        </w:rPr>
        <w:t>Článek III.</w:t>
      </w:r>
      <w:bookmarkEnd w:id="4"/>
    </w:p>
    <w:p>
      <w:pPr>
        <w:pStyle w:val="Style15"/>
        <w:widowControl w:val="0"/>
        <w:keepNext w:val="0"/>
        <w:keepLines w:val="0"/>
        <w:shd w:val="clear" w:color="auto" w:fill="auto"/>
        <w:bidi w:val="0"/>
        <w:jc w:val="left"/>
        <w:spacing w:before="0" w:after="118" w:line="140" w:lineRule="exact"/>
        <w:ind w:left="0" w:right="0" w:firstLine="0"/>
      </w:pPr>
      <w:r>
        <w:rPr>
          <w:lang w:val="cs-CZ" w:eastAsia="cs-CZ" w:bidi="cs-CZ"/>
          <w:w w:val="100"/>
          <w:spacing w:val="0"/>
          <w:color w:val="000000"/>
          <w:position w:val="0"/>
        </w:rPr>
        <w:t>Náklady právní ochrany</w:t>
      </w:r>
    </w:p>
    <w:p>
      <w:pPr>
        <w:pStyle w:val="Style17"/>
        <w:numPr>
          <w:ilvl w:val="0"/>
          <w:numId w:val="11"/>
        </w:numPr>
        <w:tabs>
          <w:tab w:leader="none" w:pos="26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Pokud pojištěný splnil všechny povinnosti uložené mu příslušnými právními předpisy, pojistnými podmínkami a pojistnou smlouvou, je pojistitel povinen uhradit náklady:</w:t>
      </w:r>
    </w:p>
    <w:p>
      <w:pPr>
        <w:pStyle w:val="Style17"/>
        <w:numPr>
          <w:ilvl w:val="0"/>
          <w:numId w:val="13"/>
        </w:numPr>
        <w:tabs>
          <w:tab w:leader="none" w:pos="260" w:val="left"/>
        </w:tabs>
        <w:widowControl w:val="0"/>
        <w:keepNext w:val="0"/>
        <w:keepLines w:val="0"/>
        <w:shd w:val="clear" w:color="auto" w:fill="auto"/>
        <w:bidi w:val="0"/>
        <w:jc w:val="left"/>
        <w:spacing w:before="0" w:after="0"/>
        <w:ind w:left="220" w:right="0" w:hanging="220"/>
      </w:pPr>
      <w:r>
        <w:rPr>
          <w:lang w:val="cs-CZ" w:eastAsia="cs-CZ" w:bidi="cs-CZ"/>
          <w:w w:val="100"/>
          <w:spacing w:val="0"/>
          <w:color w:val="000000"/>
          <w:position w:val="0"/>
        </w:rPr>
        <w:t>řízení o náhradě škody před příslušným orgánem, pokud bylo nutné ke zjištění odpovědnosti pojištěného nebo výše náhrady škody,</w:t>
      </w:r>
    </w:p>
    <w:p>
      <w:pPr>
        <w:pStyle w:val="Style17"/>
        <w:widowControl w:val="0"/>
        <w:keepNext w:val="0"/>
        <w:keepLines w:val="0"/>
        <w:shd w:val="clear" w:color="auto" w:fill="auto"/>
        <w:bidi w:val="0"/>
        <w:jc w:val="left"/>
        <w:spacing w:before="0" w:after="0"/>
        <w:ind w:left="220" w:right="0" w:firstLine="0"/>
      </w:pPr>
      <w:r>
        <w:rPr>
          <w:lang w:val="cs-CZ" w:eastAsia="cs-CZ" w:bidi="cs-CZ"/>
          <w:w w:val="100"/>
          <w:spacing w:val="0"/>
          <w:color w:val="000000"/>
          <w:position w:val="0"/>
        </w:rPr>
        <w:t>a náklady právního zastoupení pojištěného v tomto řízení, a to ve všech stupních,</w:t>
      </w:r>
    </w:p>
    <w:p>
      <w:pPr>
        <w:pStyle w:val="Style17"/>
        <w:numPr>
          <w:ilvl w:val="0"/>
          <w:numId w:val="13"/>
        </w:numPr>
        <w:tabs>
          <w:tab w:leader="none" w:pos="260" w:val="left"/>
        </w:tabs>
        <w:widowControl w:val="0"/>
        <w:keepNext w:val="0"/>
        <w:keepLines w:val="0"/>
        <w:shd w:val="clear" w:color="auto" w:fill="auto"/>
        <w:bidi w:val="0"/>
        <w:jc w:val="both"/>
        <w:spacing w:before="0" w:after="0"/>
        <w:ind w:left="220" w:right="0" w:hanging="220"/>
      </w:pPr>
      <w:r>
        <w:rPr>
          <w:lang w:val="cs-CZ" w:eastAsia="cs-CZ" w:bidi="cs-CZ"/>
          <w:w w:val="100"/>
          <w:spacing w:val="0"/>
          <w:color w:val="000000"/>
          <w:position w:val="0"/>
        </w:rPr>
        <w:t>na obhajobu v trestním řízení (tj. v přípravném řízení i v řízení před soudem ve všech stupních) vedeném proti pojištěnému v souvislosti se škodnou událostí,</w:t>
      </w:r>
    </w:p>
    <w:p>
      <w:pPr>
        <w:pStyle w:val="Style17"/>
        <w:numPr>
          <w:ilvl w:val="0"/>
          <w:numId w:val="13"/>
        </w:numPr>
        <w:tabs>
          <w:tab w:leader="none" w:pos="260" w:val="left"/>
        </w:tabs>
        <w:widowControl w:val="0"/>
        <w:keepNext w:val="0"/>
        <w:keepLines w:val="0"/>
        <w:shd w:val="clear" w:color="auto" w:fill="auto"/>
        <w:bidi w:val="0"/>
        <w:jc w:val="left"/>
        <w:spacing w:before="0" w:after="180"/>
        <w:ind w:left="220" w:right="0" w:hanging="220"/>
      </w:pPr>
      <w:r>
        <w:rPr>
          <w:lang w:val="cs-CZ" w:eastAsia="cs-CZ" w:bidi="cs-CZ"/>
          <w:w w:val="100"/>
          <w:spacing w:val="0"/>
          <w:color w:val="000000"/>
          <w:position w:val="0"/>
        </w:rPr>
        <w:t>mimosoudního projednávání nároku poškozeného na náhradu škody, pokud se k tomu písemně zavázal.</w:t>
      </w:r>
    </w:p>
    <w:p>
      <w:pPr>
        <w:pStyle w:val="Style17"/>
        <w:numPr>
          <w:ilvl w:val="0"/>
          <w:numId w:val="11"/>
        </w:numPr>
        <w:tabs>
          <w:tab w:leader="none" w:pos="270"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Náklady právního zastoupení a obhajoby podle odst. l) tohoto článku, které přesahují mimosmluvní odměnu advokáta v České republice stanovenou příslušnými právními předpisy, pojistitel uhradí pouze v případě, že se k tomu písemně zavázal.</w:t>
      </w:r>
    </w:p>
    <w:p>
      <w:pPr>
        <w:pStyle w:val="Style17"/>
        <w:numPr>
          <w:ilvl w:val="0"/>
          <w:numId w:val="11"/>
        </w:numPr>
        <w:tabs>
          <w:tab w:leader="none" w:pos="270" w:val="left"/>
        </w:tabs>
        <w:widowControl w:val="0"/>
        <w:keepNext w:val="0"/>
        <w:keepLines w:val="0"/>
        <w:shd w:val="clear" w:color="auto" w:fill="auto"/>
        <w:bidi w:val="0"/>
        <w:jc w:val="left"/>
        <w:spacing w:before="0" w:after="0"/>
        <w:ind w:left="0" w:right="0" w:firstLine="0"/>
        <w:sectPr>
          <w:type w:val="continuous"/>
          <w:pgSz w:w="11900" w:h="16840"/>
          <w:pgMar w:top="1344" w:left="934" w:right="929" w:bottom="1344" w:header="0" w:footer="3" w:gutter="0"/>
          <w:rtlGutter w:val="0"/>
          <w:cols w:num="2" w:space="341"/>
          <w:noEndnote/>
          <w:docGrid w:linePitch="360"/>
        </w:sectPr>
      </w:pPr>
      <w:r>
        <w:rPr>
          <w:lang w:val="cs-CZ" w:eastAsia="cs-CZ" w:bidi="cs-CZ"/>
          <w:w w:val="100"/>
          <w:spacing w:val="0"/>
          <w:color w:val="000000"/>
          <w:position w:val="0"/>
        </w:rPr>
        <w:t>Pojistitel nehradí náklady podle odst. l) tohoto článku, jestliže byl pojištěný v souvislosti se škodnou událostí uznán vinným úmyslným trestným činem. Pokud již pojistitel tyto náklady uhradil, má proti pojištěnému právo na vrácení vyplacené částky.</w:t>
      </w:r>
    </w:p>
    <w:p>
      <w:pPr>
        <w:pStyle w:val="Style17"/>
        <w:numPr>
          <w:ilvl w:val="0"/>
          <w:numId w:val="15"/>
        </w:numPr>
        <w:tabs>
          <w:tab w:leader="none" w:pos="281" w:val="left"/>
        </w:tabs>
        <w:widowControl w:val="0"/>
        <w:keepNext w:val="0"/>
        <w:keepLines w:val="0"/>
        <w:shd w:val="clear" w:color="auto" w:fill="auto"/>
        <w:bidi w:val="0"/>
        <w:jc w:val="both"/>
        <w:spacing w:before="0" w:after="0"/>
        <w:ind w:left="0" w:right="0" w:firstLine="0"/>
      </w:pPr>
      <w:r>
        <w:rPr>
          <w:rStyle w:val="CharStyle19"/>
        </w:rPr>
        <w:t>Pojištění se nevztahuje na odpovědnost za škodu způsobenou:</w:t>
      </w:r>
    </w:p>
    <w:p>
      <w:pPr>
        <w:pStyle w:val="Style17"/>
        <w:numPr>
          <w:ilvl w:val="0"/>
          <w:numId w:val="17"/>
        </w:numPr>
        <w:tabs>
          <w:tab w:leader="none" w:pos="281" w:val="left"/>
        </w:tabs>
        <w:widowControl w:val="0"/>
        <w:keepNext w:val="0"/>
        <w:keepLines w:val="0"/>
        <w:shd w:val="clear" w:color="auto" w:fill="auto"/>
        <w:bidi w:val="0"/>
        <w:jc w:val="both"/>
        <w:spacing w:before="0" w:after="0"/>
        <w:ind w:left="0" w:right="0" w:firstLine="0"/>
      </w:pPr>
      <w:r>
        <w:rPr>
          <w:rStyle w:val="CharStyle19"/>
        </w:rPr>
        <w:t>úmyslně nebo převzatou nad rámec stanovený právním předpisem,</w:t>
      </w:r>
    </w:p>
    <w:p>
      <w:pPr>
        <w:pStyle w:val="Style17"/>
        <w:numPr>
          <w:ilvl w:val="0"/>
          <w:numId w:val="17"/>
        </w:numPr>
        <w:tabs>
          <w:tab w:leader="none" w:pos="281" w:val="left"/>
        </w:tabs>
        <w:widowControl w:val="0"/>
        <w:keepNext w:val="0"/>
        <w:keepLines w:val="0"/>
        <w:shd w:val="clear" w:color="auto" w:fill="auto"/>
        <w:bidi w:val="0"/>
        <w:jc w:val="left"/>
        <w:spacing w:before="0" w:after="0"/>
        <w:ind w:left="240" w:right="0"/>
      </w:pPr>
      <w:r>
        <w:rPr>
          <w:rStyle w:val="CharStyle19"/>
        </w:rPr>
        <w:t>v souvislosti s vlastnictvím nebo provozem motorových vozidel, drážních vozidel, letadel nebo plavidel všeho druhu, jakož i letišť, přístavů, přístavišť, drah nebo lanovek všeho druhu,</w:t>
      </w:r>
    </w:p>
    <w:p>
      <w:pPr>
        <w:pStyle w:val="Style17"/>
        <w:numPr>
          <w:ilvl w:val="0"/>
          <w:numId w:val="17"/>
        </w:numPr>
        <w:tabs>
          <w:tab w:leader="none" w:pos="281" w:val="left"/>
        </w:tabs>
        <w:widowControl w:val="0"/>
        <w:keepNext w:val="0"/>
        <w:keepLines w:val="0"/>
        <w:shd w:val="clear" w:color="auto" w:fill="auto"/>
        <w:bidi w:val="0"/>
        <w:jc w:val="left"/>
        <w:spacing w:before="0" w:after="0"/>
        <w:ind w:left="240" w:right="0"/>
      </w:pPr>
      <w:r>
        <w:rPr>
          <w:rStyle w:val="CharStyle19"/>
        </w:rPr>
        <w:t>sesedáním nebo sesouváním půdy, erozí, průmyslovým odstřelem nebo v důsledku poddolování,</w:t>
      </w:r>
    </w:p>
    <w:p>
      <w:pPr>
        <w:pStyle w:val="Style17"/>
        <w:numPr>
          <w:ilvl w:val="0"/>
          <w:numId w:val="17"/>
        </w:numPr>
        <w:tabs>
          <w:tab w:leader="none" w:pos="291" w:val="left"/>
        </w:tabs>
        <w:widowControl w:val="0"/>
        <w:keepNext w:val="0"/>
        <w:keepLines w:val="0"/>
        <w:shd w:val="clear" w:color="auto" w:fill="auto"/>
        <w:bidi w:val="0"/>
        <w:jc w:val="left"/>
        <w:spacing w:before="0" w:after="0"/>
        <w:ind w:left="240" w:right="0"/>
      </w:pPr>
      <w:r>
        <w:rPr>
          <w:rStyle w:val="CharStyle19"/>
        </w:rPr>
        <w:t>na lukách, stromech, zahradních, polních a lesních kulturách pasoucím se hospodářským zvířetem nebo zvěří,</w:t>
      </w:r>
    </w:p>
    <w:p>
      <w:pPr>
        <w:pStyle w:val="Style17"/>
        <w:numPr>
          <w:ilvl w:val="0"/>
          <w:numId w:val="17"/>
        </w:numPr>
        <w:tabs>
          <w:tab w:leader="none" w:pos="291" w:val="left"/>
        </w:tabs>
        <w:widowControl w:val="0"/>
        <w:keepNext w:val="0"/>
        <w:keepLines w:val="0"/>
        <w:shd w:val="clear" w:color="auto" w:fill="auto"/>
        <w:bidi w:val="0"/>
        <w:jc w:val="left"/>
        <w:spacing w:before="0" w:after="0"/>
        <w:ind w:left="240" w:right="0"/>
      </w:pPr>
      <w:r>
        <w:rPr>
          <w:rStyle w:val="CharStyle19"/>
        </w:rPr>
        <w:t>formaldehydem, azbestem nebo materiálem obsahujícím azbest, umělým minerálním vláknem nebo toxickou plísní,</w:t>
      </w:r>
    </w:p>
    <w:p>
      <w:pPr>
        <w:pStyle w:val="Style17"/>
        <w:numPr>
          <w:ilvl w:val="0"/>
          <w:numId w:val="17"/>
        </w:numPr>
        <w:tabs>
          <w:tab w:leader="none" w:pos="291" w:val="left"/>
        </w:tabs>
        <w:widowControl w:val="0"/>
        <w:keepNext w:val="0"/>
        <w:keepLines w:val="0"/>
        <w:shd w:val="clear" w:color="auto" w:fill="auto"/>
        <w:bidi w:val="0"/>
        <w:jc w:val="left"/>
        <w:spacing w:before="0" w:after="0"/>
        <w:ind w:left="240" w:right="0"/>
      </w:pPr>
      <w:r>
        <w:rPr>
          <w:rStyle w:val="CharStyle19"/>
        </w:rPr>
        <w:t>zavlečením nebo rozšířením nakažlivé choroby lidí, zvířat nebo rostlin,</w:t>
      </w:r>
    </w:p>
    <w:p>
      <w:pPr>
        <w:pStyle w:val="Style17"/>
        <w:numPr>
          <w:ilvl w:val="0"/>
          <w:numId w:val="17"/>
        </w:numPr>
        <w:tabs>
          <w:tab w:leader="none" w:pos="291" w:val="left"/>
        </w:tabs>
        <w:widowControl w:val="0"/>
        <w:keepNext w:val="0"/>
        <w:keepLines w:val="0"/>
        <w:shd w:val="clear" w:color="auto" w:fill="auto"/>
        <w:bidi w:val="0"/>
        <w:jc w:val="left"/>
        <w:spacing w:before="0" w:after="0"/>
        <w:ind w:left="240" w:right="0"/>
      </w:pPr>
      <w:r>
        <w:rPr>
          <w:rStyle w:val="CharStyle19"/>
        </w:rPr>
        <w:t>genetickými změnami organismu nebo geneticky modifikovanými organismy,</w:t>
      </w:r>
    </w:p>
    <w:p>
      <w:pPr>
        <w:pStyle w:val="Style17"/>
        <w:numPr>
          <w:ilvl w:val="0"/>
          <w:numId w:val="17"/>
        </w:numPr>
        <w:tabs>
          <w:tab w:leader="none" w:pos="291" w:val="left"/>
        </w:tabs>
        <w:widowControl w:val="0"/>
        <w:keepNext w:val="0"/>
        <w:keepLines w:val="0"/>
        <w:shd w:val="clear" w:color="auto" w:fill="auto"/>
        <w:bidi w:val="0"/>
        <w:jc w:val="both"/>
        <w:spacing w:before="0" w:after="0"/>
        <w:ind w:left="0" w:right="0" w:firstLine="0"/>
      </w:pPr>
      <w:r>
        <w:rPr>
          <w:rStyle w:val="CharStyle19"/>
        </w:rPr>
        <w:t>působením magnetických nebo elektromagnetických polí,</w:t>
      </w:r>
    </w:p>
    <w:p>
      <w:pPr>
        <w:pStyle w:val="Style17"/>
        <w:numPr>
          <w:ilvl w:val="0"/>
          <w:numId w:val="17"/>
        </w:numPr>
        <w:tabs>
          <w:tab w:leader="none" w:pos="291" w:val="left"/>
        </w:tabs>
        <w:widowControl w:val="0"/>
        <w:keepNext w:val="0"/>
        <w:keepLines w:val="0"/>
        <w:shd w:val="clear" w:color="auto" w:fill="auto"/>
        <w:bidi w:val="0"/>
        <w:jc w:val="left"/>
        <w:spacing w:before="0" w:after="0"/>
        <w:ind w:left="240" w:right="0"/>
      </w:pPr>
      <w:r>
        <w:rPr>
          <w:rStyle w:val="CharStyle19"/>
        </w:rPr>
        <w:t>v souvislosti s činností, při které právní předpis stanoví, že pojištění vznikne bez uzavření pojistné smlouvy na základě jiných skutečností,</w:t>
      </w:r>
    </w:p>
    <w:p>
      <w:pPr>
        <w:pStyle w:val="Style17"/>
        <w:numPr>
          <w:ilvl w:val="0"/>
          <w:numId w:val="17"/>
        </w:numPr>
        <w:tabs>
          <w:tab w:leader="none" w:pos="291" w:val="left"/>
        </w:tabs>
        <w:widowControl w:val="0"/>
        <w:keepNext w:val="0"/>
        <w:keepLines w:val="0"/>
        <w:shd w:val="clear" w:color="auto" w:fill="auto"/>
        <w:bidi w:val="0"/>
        <w:jc w:val="both"/>
        <w:spacing w:before="0" w:after="0"/>
        <w:ind w:left="0" w:right="0" w:firstLine="0"/>
      </w:pPr>
      <w:r>
        <w:rPr>
          <w:rStyle w:val="CharStyle19"/>
        </w:rPr>
        <w:t>prodlením se splněním smluvní povinnosti,</w:t>
      </w:r>
    </w:p>
    <w:p>
      <w:pPr>
        <w:pStyle w:val="Style17"/>
        <w:numPr>
          <w:ilvl w:val="0"/>
          <w:numId w:val="17"/>
        </w:numPr>
        <w:tabs>
          <w:tab w:leader="none" w:pos="291" w:val="left"/>
        </w:tabs>
        <w:widowControl w:val="0"/>
        <w:keepNext w:val="0"/>
        <w:keepLines w:val="0"/>
        <w:shd w:val="clear" w:color="auto" w:fill="auto"/>
        <w:bidi w:val="0"/>
        <w:jc w:val="both"/>
        <w:spacing w:before="0" w:after="0"/>
        <w:ind w:left="0" w:right="0" w:firstLine="0"/>
      </w:pPr>
      <w:r>
        <w:rPr>
          <w:rStyle w:val="CharStyle19"/>
        </w:rPr>
        <w:t>při přepravě, z přepravních nebo zasílatelských smluv,</w:t>
      </w:r>
    </w:p>
    <w:p>
      <w:pPr>
        <w:pStyle w:val="Style17"/>
        <w:numPr>
          <w:ilvl w:val="0"/>
          <w:numId w:val="17"/>
        </w:numPr>
        <w:tabs>
          <w:tab w:leader="none" w:pos="291" w:val="left"/>
        </w:tabs>
        <w:widowControl w:val="0"/>
        <w:keepNext w:val="0"/>
        <w:keepLines w:val="0"/>
        <w:shd w:val="clear" w:color="auto" w:fill="auto"/>
        <w:bidi w:val="0"/>
        <w:jc w:val="both"/>
        <w:spacing w:before="0" w:after="0"/>
        <w:ind w:left="0" w:right="0" w:firstLine="0"/>
      </w:pPr>
      <w:r>
        <w:rPr>
          <w:rStyle w:val="CharStyle19"/>
        </w:rPr>
        <w:t>na věci, kterou pojištěný užívá neoprávněně,</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z vlastnictví nebo provozování skládek nebo úložišť odpadů včetně likvidace odpadů,</w:t>
      </w:r>
    </w:p>
    <w:p>
      <w:pPr>
        <w:pStyle w:val="Style17"/>
        <w:numPr>
          <w:ilvl w:val="0"/>
          <w:numId w:val="17"/>
        </w:numPr>
        <w:tabs>
          <w:tab w:leader="none" w:pos="324" w:val="left"/>
        </w:tabs>
        <w:widowControl w:val="0"/>
        <w:keepNext w:val="0"/>
        <w:keepLines w:val="0"/>
        <w:shd w:val="clear" w:color="auto" w:fill="auto"/>
        <w:bidi w:val="0"/>
        <w:jc w:val="both"/>
        <w:spacing w:before="0" w:after="0"/>
        <w:ind w:left="0" w:right="0" w:firstLine="0"/>
      </w:pPr>
      <w:r>
        <w:rPr>
          <w:rStyle w:val="CharStyle19"/>
        </w:rPr>
        <w:t>při profesionální sportovní činnosti,</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na zdraví nebo na životě aktivním účastníkům organizované sportovní soutěže, kromě soutěže organizované školou nebo školským zařízením,</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odcizením věci ve střeženém objektu při zajišťování ostrahy majetku,</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přerušením, omezením nebo kolísáním dodávek elektřiny, plynu, vody nebo tepla,</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v souvislosti s nakládáním se střelivem, pyrotechnikou, výbušninami, stlačenými nebo zkapalněnými plyny, nebezpečnými chemickými látkami nebo přípravky nebo nebezpečnými odpady,</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znečištěním životního prostředí, pokud škodu nezpůsobila náhlá a nahodilá porucha ochranného zařízení,</w:t>
      </w:r>
    </w:p>
    <w:p>
      <w:pPr>
        <w:pStyle w:val="Style17"/>
        <w:numPr>
          <w:ilvl w:val="0"/>
          <w:numId w:val="17"/>
        </w:numPr>
        <w:tabs>
          <w:tab w:leader="none" w:pos="324" w:val="left"/>
        </w:tabs>
        <w:widowControl w:val="0"/>
        <w:keepNext w:val="0"/>
        <w:keepLines w:val="0"/>
        <w:shd w:val="clear" w:color="auto" w:fill="auto"/>
        <w:bidi w:val="0"/>
        <w:jc w:val="left"/>
        <w:spacing w:before="0" w:after="0"/>
        <w:ind w:left="240" w:right="0"/>
      </w:pPr>
      <w:r>
        <w:rPr>
          <w:rStyle w:val="CharStyle19"/>
        </w:rPr>
        <w:t>v důsledku právní skutečnosti, o které pojištěný v době uzavření pojistné smlouvy věděl nebo mohl vědět,</w:t>
      </w:r>
    </w:p>
    <w:p>
      <w:pPr>
        <w:pStyle w:val="Style17"/>
        <w:numPr>
          <w:ilvl w:val="0"/>
          <w:numId w:val="17"/>
        </w:numPr>
        <w:tabs>
          <w:tab w:leader="none" w:pos="324" w:val="left"/>
        </w:tabs>
        <w:widowControl w:val="0"/>
        <w:keepNext w:val="0"/>
        <w:keepLines w:val="0"/>
        <w:shd w:val="clear" w:color="auto" w:fill="auto"/>
        <w:bidi w:val="0"/>
        <w:jc w:val="both"/>
        <w:spacing w:before="0" w:after="180"/>
        <w:ind w:left="0" w:right="0" w:firstLine="0"/>
      </w:pPr>
      <w:r>
        <w:rPr>
          <w:rStyle w:val="CharStyle19"/>
        </w:rPr>
        <w:t>v souvislosti s činností pojištěného, kterou vykonává neoprávněně.</w:t>
      </w:r>
    </w:p>
    <w:p>
      <w:pPr>
        <w:pStyle w:val="Style17"/>
        <w:numPr>
          <w:ilvl w:val="0"/>
          <w:numId w:val="15"/>
        </w:numPr>
        <w:tabs>
          <w:tab w:leader="none" w:pos="291" w:val="left"/>
        </w:tabs>
        <w:widowControl w:val="0"/>
        <w:keepNext w:val="0"/>
        <w:keepLines w:val="0"/>
        <w:shd w:val="clear" w:color="auto" w:fill="auto"/>
        <w:bidi w:val="0"/>
        <w:jc w:val="both"/>
        <w:spacing w:before="0" w:after="0"/>
        <w:ind w:left="0" w:right="0" w:firstLine="0"/>
      </w:pPr>
      <w:r>
        <w:rPr>
          <w:rStyle w:val="CharStyle19"/>
        </w:rPr>
        <w:t>Není-li ujednáno jinak, pojištění se nevztahuje na:</w:t>
      </w:r>
    </w:p>
    <w:p>
      <w:pPr>
        <w:pStyle w:val="Style17"/>
        <w:numPr>
          <w:ilvl w:val="0"/>
          <w:numId w:val="19"/>
        </w:numPr>
        <w:tabs>
          <w:tab w:leader="none" w:pos="281" w:val="left"/>
        </w:tabs>
        <w:widowControl w:val="0"/>
        <w:keepNext w:val="0"/>
        <w:keepLines w:val="0"/>
        <w:shd w:val="clear" w:color="auto" w:fill="auto"/>
        <w:bidi w:val="0"/>
        <w:jc w:val="left"/>
        <w:spacing w:before="0" w:after="0"/>
        <w:ind w:left="240" w:right="0"/>
      </w:pPr>
      <w:r>
        <w:rPr>
          <w:rStyle w:val="CharStyle19"/>
        </w:rPr>
        <w:t>odpovědnost za škodu způsobenou na movité věci, kterou pojištěný převzal za účelem provedení objednané činnosti,</w:t>
      </w:r>
    </w:p>
    <w:p>
      <w:pPr>
        <w:pStyle w:val="Style17"/>
        <w:numPr>
          <w:ilvl w:val="0"/>
          <w:numId w:val="19"/>
        </w:numPr>
        <w:tabs>
          <w:tab w:leader="none" w:pos="281" w:val="left"/>
        </w:tabs>
        <w:widowControl w:val="0"/>
        <w:keepNext w:val="0"/>
        <w:keepLines w:val="0"/>
        <w:shd w:val="clear" w:color="auto" w:fill="auto"/>
        <w:bidi w:val="0"/>
        <w:jc w:val="left"/>
        <w:spacing w:before="0" w:after="0"/>
        <w:ind w:left="240" w:right="0"/>
      </w:pPr>
      <w:r>
        <w:rPr>
          <w:rStyle w:val="CharStyle19"/>
        </w:rPr>
        <w:t>odpovědnost za škodu způsobenou na movité věci, kterou pojištěný oprávněně užívá,</w:t>
      </w:r>
    </w:p>
    <w:p>
      <w:pPr>
        <w:pStyle w:val="Style17"/>
        <w:numPr>
          <w:ilvl w:val="0"/>
          <w:numId w:val="19"/>
        </w:numPr>
        <w:tabs>
          <w:tab w:leader="none" w:pos="281" w:val="left"/>
        </w:tabs>
        <w:widowControl w:val="0"/>
        <w:keepNext w:val="0"/>
        <w:keepLines w:val="0"/>
        <w:shd w:val="clear" w:color="auto" w:fill="auto"/>
        <w:bidi w:val="0"/>
        <w:jc w:val="left"/>
        <w:spacing w:before="0" w:after="0"/>
        <w:ind w:left="240" w:right="0"/>
      </w:pPr>
      <w:r>
        <w:rPr>
          <w:rStyle w:val="CharStyle19"/>
        </w:rPr>
        <w:t>náhradu nákladů léčení vynaložených zdravotní pojišťovnou na zdravotní péči poskytovanou zaměstnanci pojištěného, který utrpěl tělesnou újmu v důsledku pracovního úrazu nebo nemoci z povolání,</w:t>
      </w:r>
    </w:p>
    <w:p>
      <w:pPr>
        <w:pStyle w:val="Style17"/>
        <w:numPr>
          <w:ilvl w:val="0"/>
          <w:numId w:val="19"/>
        </w:numPr>
        <w:tabs>
          <w:tab w:leader="none" w:pos="291" w:val="left"/>
        </w:tabs>
        <w:widowControl w:val="0"/>
        <w:keepNext w:val="0"/>
        <w:keepLines w:val="0"/>
        <w:shd w:val="clear" w:color="auto" w:fill="auto"/>
        <w:bidi w:val="0"/>
        <w:jc w:val="left"/>
        <w:spacing w:before="0" w:after="180"/>
        <w:ind w:left="240" w:right="0"/>
      </w:pPr>
      <w:r>
        <w:rPr>
          <w:rStyle w:val="CharStyle19"/>
        </w:rPr>
        <w:t>odpovědnost za škodu způsobenou v souvislosti s činností, při které právní předpis ukládá povinnost uzavřít pojištění odpovědnosti za škodu.</w:t>
      </w:r>
    </w:p>
    <w:p>
      <w:pPr>
        <w:pStyle w:val="Style17"/>
        <w:numPr>
          <w:ilvl w:val="0"/>
          <w:numId w:val="15"/>
        </w:numPr>
        <w:tabs>
          <w:tab w:leader="none" w:pos="291" w:val="left"/>
        </w:tabs>
        <w:widowControl w:val="0"/>
        <w:keepNext w:val="0"/>
        <w:keepLines w:val="0"/>
        <w:shd w:val="clear" w:color="auto" w:fill="auto"/>
        <w:bidi w:val="0"/>
        <w:jc w:val="both"/>
        <w:spacing w:before="0" w:after="0"/>
        <w:ind w:left="0" w:right="0" w:firstLine="0"/>
      </w:pPr>
      <w:r>
        <w:rPr>
          <w:rStyle w:val="CharStyle19"/>
        </w:rPr>
        <w:t>Pojistitel neposkytne plnění za:</w:t>
      </w:r>
    </w:p>
    <w:p>
      <w:pPr>
        <w:pStyle w:val="Style17"/>
        <w:numPr>
          <w:ilvl w:val="0"/>
          <w:numId w:val="21"/>
        </w:numPr>
        <w:tabs>
          <w:tab w:leader="none" w:pos="281" w:val="left"/>
        </w:tabs>
        <w:widowControl w:val="0"/>
        <w:keepNext w:val="0"/>
        <w:keepLines w:val="0"/>
        <w:shd w:val="clear" w:color="auto" w:fill="auto"/>
        <w:bidi w:val="0"/>
        <w:jc w:val="both"/>
        <w:spacing w:before="0" w:after="0"/>
        <w:ind w:left="0" w:right="0" w:firstLine="0"/>
      </w:pPr>
      <w:r>
        <w:rPr>
          <w:rStyle w:val="CharStyle19"/>
        </w:rPr>
        <w:t>odpovědnost pojištěného za vady (záruky),</w:t>
      </w:r>
    </w:p>
    <w:p>
      <w:pPr>
        <w:pStyle w:val="Style17"/>
        <w:numPr>
          <w:ilvl w:val="0"/>
          <w:numId w:val="21"/>
        </w:numPr>
        <w:tabs>
          <w:tab w:leader="none" w:pos="281" w:val="left"/>
        </w:tabs>
        <w:widowControl w:val="0"/>
        <w:keepNext w:val="0"/>
        <w:keepLines w:val="0"/>
        <w:shd w:val="clear" w:color="auto" w:fill="auto"/>
        <w:bidi w:val="0"/>
        <w:jc w:val="both"/>
        <w:spacing w:before="0" w:after="0"/>
        <w:ind w:left="0" w:right="0" w:firstLine="0"/>
      </w:pPr>
      <w:r>
        <w:rPr>
          <w:rStyle w:val="CharStyle19"/>
        </w:rPr>
        <w:t>způsobenou ekologickou újmu,</w:t>
      </w:r>
    </w:p>
    <w:p>
      <w:pPr>
        <w:pStyle w:val="Style17"/>
        <w:numPr>
          <w:ilvl w:val="0"/>
          <w:numId w:val="21"/>
        </w:numPr>
        <w:tabs>
          <w:tab w:leader="none" w:pos="281" w:val="left"/>
        </w:tabs>
        <w:widowControl w:val="0"/>
        <w:keepNext w:val="0"/>
        <w:keepLines w:val="0"/>
        <w:shd w:val="clear" w:color="auto" w:fill="auto"/>
        <w:bidi w:val="0"/>
        <w:jc w:val="left"/>
        <w:spacing w:before="0" w:after="0"/>
        <w:ind w:left="240" w:right="0"/>
      </w:pPr>
      <w:r>
        <w:rPr>
          <w:rStyle w:val="CharStyle19"/>
        </w:rPr>
        <w:t>pokuty, penále či jiné smluvní, správní nebo trestní sankce nebo jiné platby, které mají represivní, exemplární nebo preventivní charakter,</w:t>
      </w:r>
    </w:p>
    <w:p>
      <w:pPr>
        <w:pStyle w:val="Style17"/>
        <w:numPr>
          <w:ilvl w:val="0"/>
          <w:numId w:val="21"/>
        </w:numPr>
        <w:tabs>
          <w:tab w:leader="none" w:pos="281" w:val="left"/>
        </w:tabs>
        <w:widowControl w:val="0"/>
        <w:keepNext w:val="0"/>
        <w:keepLines w:val="0"/>
        <w:shd w:val="clear" w:color="auto" w:fill="auto"/>
        <w:bidi w:val="0"/>
        <w:jc w:val="left"/>
        <w:spacing w:before="0" w:after="0"/>
        <w:ind w:left="240" w:right="0"/>
      </w:pPr>
      <w:r>
        <w:rPr>
          <w:rStyle w:val="CharStyle19"/>
        </w:rPr>
        <w:t>náhradu nemajetkové újmy způsobené neoprávněným zásahem do práva na ochranu osobnosti,</w:t>
      </w:r>
    </w:p>
    <w:p>
      <w:pPr>
        <w:pStyle w:val="Style17"/>
        <w:numPr>
          <w:ilvl w:val="0"/>
          <w:numId w:val="21"/>
        </w:numPr>
        <w:tabs>
          <w:tab w:leader="none" w:pos="281" w:val="left"/>
        </w:tabs>
        <w:widowControl w:val="0"/>
        <w:keepNext w:val="0"/>
        <w:keepLines w:val="0"/>
        <w:shd w:val="clear" w:color="auto" w:fill="auto"/>
        <w:bidi w:val="0"/>
        <w:jc w:val="left"/>
        <w:spacing w:before="0" w:after="180"/>
        <w:ind w:left="240" w:right="0"/>
      </w:pPr>
      <w:r>
        <w:rPr>
          <w:rStyle w:val="CharStyle19"/>
        </w:rPr>
        <w:t>náhradu škody přiznanou soudem ve Spojených státech amerických nebo Kanadě nebo přiznanou na základě práva Spojených států amerických nebo Kanady.</w:t>
      </w:r>
    </w:p>
    <w:p>
      <w:pPr>
        <w:pStyle w:val="Style17"/>
        <w:numPr>
          <w:ilvl w:val="0"/>
          <w:numId w:val="15"/>
        </w:numPr>
        <w:tabs>
          <w:tab w:leader="none" w:pos="281" w:val="left"/>
        </w:tabs>
        <w:widowControl w:val="0"/>
        <w:keepNext w:val="0"/>
        <w:keepLines w:val="0"/>
        <w:shd w:val="clear" w:color="auto" w:fill="auto"/>
        <w:bidi w:val="0"/>
        <w:jc w:val="both"/>
        <w:spacing w:before="0" w:after="0"/>
        <w:ind w:left="0" w:right="0" w:firstLine="0"/>
      </w:pPr>
      <w:r>
        <w:rPr>
          <w:rStyle w:val="CharStyle19"/>
        </w:rPr>
        <w:t>Pojistitel neuhradí škodu, za kterou pojištěný odpovídá:</w:t>
      </w:r>
    </w:p>
    <w:p>
      <w:pPr>
        <w:pStyle w:val="Style17"/>
        <w:numPr>
          <w:ilvl w:val="0"/>
          <w:numId w:val="23"/>
        </w:numPr>
        <w:tabs>
          <w:tab w:leader="none" w:pos="266" w:val="left"/>
        </w:tabs>
        <w:widowControl w:val="0"/>
        <w:keepNext w:val="0"/>
        <w:keepLines w:val="0"/>
        <w:shd w:val="clear" w:color="auto" w:fill="auto"/>
        <w:bidi w:val="0"/>
        <w:jc w:val="left"/>
        <w:spacing w:before="0" w:after="0"/>
        <w:ind w:left="240" w:right="0"/>
      </w:pPr>
      <w:r>
        <w:rPr>
          <w:rStyle w:val="CharStyle19"/>
        </w:rPr>
        <w:t>svému manželu, sourozenci nebo příbuzným v řadě přímé nebo osobám, které s ním žijí ve společné domácnosti,</w:t>
      </w:r>
    </w:p>
    <w:p>
      <w:pPr>
        <w:pStyle w:val="Style17"/>
        <w:numPr>
          <w:ilvl w:val="0"/>
          <w:numId w:val="23"/>
        </w:numPr>
        <w:tabs>
          <w:tab w:leader="none" w:pos="271" w:val="left"/>
        </w:tabs>
        <w:widowControl w:val="0"/>
        <w:keepNext w:val="0"/>
        <w:keepLines w:val="0"/>
        <w:shd w:val="clear" w:color="auto" w:fill="auto"/>
        <w:bidi w:val="0"/>
        <w:jc w:val="left"/>
        <w:spacing w:before="0" w:after="0"/>
        <w:ind w:left="240" w:right="0"/>
      </w:pPr>
      <w:r>
        <w:rPr>
          <w:rStyle w:val="CharStyle19"/>
        </w:rPr>
        <w:t>svým společníkům nebo jejich manželům, sourozencům nebo příbuzným v řadě přímé nebo osobám, které žijí se společníkem ve společné domácnosti,</w:t>
      </w:r>
    </w:p>
    <w:p>
      <w:pPr>
        <w:pStyle w:val="Style17"/>
        <w:numPr>
          <w:ilvl w:val="0"/>
          <w:numId w:val="23"/>
        </w:numPr>
        <w:tabs>
          <w:tab w:leader="none" w:pos="271" w:val="left"/>
        </w:tabs>
        <w:widowControl w:val="0"/>
        <w:keepNext w:val="0"/>
        <w:keepLines w:val="0"/>
        <w:shd w:val="clear" w:color="auto" w:fill="auto"/>
        <w:bidi w:val="0"/>
        <w:jc w:val="both"/>
        <w:spacing w:before="0" w:after="260"/>
        <w:ind w:left="0" w:right="0" w:firstLine="0"/>
      </w:pPr>
      <w:r>
        <w:rPr>
          <w:rStyle w:val="CharStyle19"/>
        </w:rPr>
        <w:t>právnické osobě, se kterou je majetkově propojen.</w:t>
      </w:r>
    </w:p>
    <w:p>
      <w:pPr>
        <w:pStyle w:val="Style13"/>
        <w:widowControl w:val="0"/>
        <w:keepNext/>
        <w:keepLines/>
        <w:shd w:val="clear" w:color="auto" w:fill="auto"/>
        <w:bidi w:val="0"/>
        <w:jc w:val="both"/>
        <w:spacing w:before="0" w:after="54" w:line="140" w:lineRule="exact"/>
        <w:ind w:left="0" w:right="0" w:firstLine="0"/>
      </w:pPr>
      <w:bookmarkStart w:id="5" w:name="bookmark5"/>
      <w:r>
        <w:rPr>
          <w:rStyle w:val="CharStyle23"/>
          <w:b/>
          <w:bCs/>
        </w:rPr>
        <w:t>Článek V.</w:t>
      </w:r>
      <w:bookmarkEnd w:id="5"/>
    </w:p>
    <w:p>
      <w:pPr>
        <w:pStyle w:val="Style15"/>
        <w:widowControl w:val="0"/>
        <w:keepNext w:val="0"/>
        <w:keepLines w:val="0"/>
        <w:shd w:val="clear" w:color="auto" w:fill="auto"/>
        <w:bidi w:val="0"/>
        <w:jc w:val="both"/>
        <w:spacing w:before="0" w:after="234" w:line="140" w:lineRule="exact"/>
        <w:ind w:left="0" w:right="0" w:firstLine="0"/>
      </w:pPr>
      <w:r>
        <w:rPr>
          <w:rStyle w:val="CharStyle24"/>
          <w:b/>
          <w:bCs/>
        </w:rPr>
        <w:t>Pojištění odpovědnosti za škodu způsobenou vadou výrobku</w:t>
      </w:r>
    </w:p>
    <w:p>
      <w:pPr>
        <w:pStyle w:val="Style17"/>
        <w:numPr>
          <w:ilvl w:val="0"/>
          <w:numId w:val="25"/>
        </w:numPr>
        <w:tabs>
          <w:tab w:leader="none" w:pos="281" w:val="left"/>
        </w:tabs>
        <w:widowControl w:val="0"/>
        <w:keepNext w:val="0"/>
        <w:keepLines w:val="0"/>
        <w:shd w:val="clear" w:color="auto" w:fill="auto"/>
        <w:bidi w:val="0"/>
        <w:jc w:val="left"/>
        <w:spacing w:before="0" w:after="180"/>
        <w:ind w:left="0" w:right="0" w:firstLine="0"/>
      </w:pPr>
      <w:r>
        <w:rPr>
          <w:rStyle w:val="CharStyle19"/>
        </w:rPr>
        <w:t>Pojištění odpovědnosti za škodu způsobenou vadou výrobku se vztahuje na škody, které byly způsobeny výrobky uvedenými na trh v době trvání pojištění. Pojištění se vztahuje na odpovědnost za škodu způsobenou vadou výrobku, který byl uveden na trh v době před počátkem pojištění, pouze je-li to ujednáno v pojistné smlouvě.</w:t>
      </w:r>
    </w:p>
    <w:p>
      <w:pPr>
        <w:pStyle w:val="Style17"/>
        <w:numPr>
          <w:ilvl w:val="0"/>
          <w:numId w:val="25"/>
        </w:numPr>
        <w:tabs>
          <w:tab w:leader="none" w:pos="281" w:val="left"/>
        </w:tabs>
        <w:widowControl w:val="0"/>
        <w:keepNext w:val="0"/>
        <w:keepLines w:val="0"/>
        <w:shd w:val="clear" w:color="auto" w:fill="auto"/>
        <w:bidi w:val="0"/>
        <w:jc w:val="left"/>
        <w:spacing w:before="0" w:after="0"/>
        <w:ind w:left="0" w:right="0" w:firstLine="0"/>
      </w:pPr>
      <w:r>
        <w:rPr>
          <w:rStyle w:val="CharStyle19"/>
        </w:rPr>
        <w:t>Pojištění se vedle výluk uvedených v článku IV. nevztahuje na odpovědnost za škodu způsobenou výrobkem:</w:t>
      </w:r>
    </w:p>
    <w:p>
      <w:pPr>
        <w:pStyle w:val="Style17"/>
        <w:numPr>
          <w:ilvl w:val="0"/>
          <w:numId w:val="27"/>
        </w:numPr>
        <w:tabs>
          <w:tab w:leader="none" w:pos="266" w:val="left"/>
        </w:tabs>
        <w:widowControl w:val="0"/>
        <w:keepNext w:val="0"/>
        <w:keepLines w:val="0"/>
        <w:shd w:val="clear" w:color="auto" w:fill="auto"/>
        <w:bidi w:val="0"/>
        <w:jc w:val="left"/>
        <w:spacing w:before="0" w:after="0"/>
        <w:ind w:left="240" w:right="0"/>
      </w:pPr>
      <w:r>
        <w:rPr>
          <w:rStyle w:val="CharStyle19"/>
        </w:rPr>
        <w:t>který nebyl dostatečně testován podle uznávaných pravidel vědy a techniky nebo způsobem stanoveným právním předpisem,</w:t>
      </w:r>
    </w:p>
    <w:p>
      <w:pPr>
        <w:pStyle w:val="Style17"/>
        <w:numPr>
          <w:ilvl w:val="0"/>
          <w:numId w:val="27"/>
        </w:numPr>
        <w:tabs>
          <w:tab w:leader="none" w:pos="271" w:val="left"/>
        </w:tabs>
        <w:widowControl w:val="0"/>
        <w:keepNext w:val="0"/>
        <w:keepLines w:val="0"/>
        <w:shd w:val="clear" w:color="auto" w:fill="auto"/>
        <w:bidi w:val="0"/>
        <w:jc w:val="left"/>
        <w:spacing w:before="0" w:after="0"/>
        <w:ind w:left="240" w:right="0"/>
      </w:pPr>
      <w:r>
        <w:rPr>
          <w:rStyle w:val="CharStyle19"/>
        </w:rPr>
        <w:t>který pojištěný získal za podmínek, které mu brání uplatnit právo na náhradu škody vůči jinému odpovědnému subjektu v souladu</w:t>
      </w:r>
    </w:p>
    <w:p>
      <w:pPr>
        <w:pStyle w:val="Style17"/>
        <w:widowControl w:val="0"/>
        <w:keepNext w:val="0"/>
        <w:keepLines w:val="0"/>
        <w:shd w:val="clear" w:color="auto" w:fill="auto"/>
        <w:bidi w:val="0"/>
        <w:jc w:val="left"/>
        <w:spacing w:before="0" w:after="0"/>
        <w:ind w:left="240" w:right="0" w:firstLine="0"/>
      </w:pPr>
      <w:r>
        <w:rPr>
          <w:rStyle w:val="CharStyle19"/>
        </w:rPr>
        <w:t>s právními předpisy,</w:t>
      </w:r>
    </w:p>
    <w:p>
      <w:pPr>
        <w:pStyle w:val="Style17"/>
        <w:numPr>
          <w:ilvl w:val="0"/>
          <w:numId w:val="27"/>
        </w:numPr>
        <w:tabs>
          <w:tab w:leader="none" w:pos="271" w:val="left"/>
        </w:tabs>
        <w:widowControl w:val="0"/>
        <w:keepNext w:val="0"/>
        <w:keepLines w:val="0"/>
        <w:shd w:val="clear" w:color="auto" w:fill="auto"/>
        <w:bidi w:val="0"/>
        <w:jc w:val="left"/>
        <w:spacing w:before="0" w:after="0"/>
        <w:ind w:left="240" w:right="0"/>
      </w:pPr>
      <w:r>
        <w:rPr>
          <w:rStyle w:val="CharStyle19"/>
        </w:rPr>
        <w:t>který je z technického hlediska bez vady, ale nedosahuje avizovaných funkčních parametrů,</w:t>
      </w:r>
    </w:p>
    <w:p>
      <w:pPr>
        <w:pStyle w:val="Style17"/>
        <w:numPr>
          <w:ilvl w:val="0"/>
          <w:numId w:val="27"/>
        </w:numPr>
        <w:tabs>
          <w:tab w:leader="none" w:pos="281" w:val="left"/>
        </w:tabs>
        <w:widowControl w:val="0"/>
        <w:keepNext w:val="0"/>
        <w:keepLines w:val="0"/>
        <w:shd w:val="clear" w:color="auto" w:fill="auto"/>
        <w:bidi w:val="0"/>
        <w:jc w:val="left"/>
        <w:spacing w:before="0" w:after="0"/>
        <w:ind w:left="240" w:right="0"/>
      </w:pPr>
      <w:r>
        <w:rPr>
          <w:rStyle w:val="CharStyle19"/>
        </w:rPr>
        <w:t>který na žádost poškozeného pojištěný změnil nebo instaloval do jiných podmínek, než pro které je určen,</w:t>
      </w:r>
    </w:p>
    <w:p>
      <w:pPr>
        <w:pStyle w:val="Style17"/>
        <w:numPr>
          <w:ilvl w:val="0"/>
          <w:numId w:val="27"/>
        </w:numPr>
        <w:tabs>
          <w:tab w:leader="none" w:pos="281" w:val="left"/>
        </w:tabs>
        <w:widowControl w:val="0"/>
        <w:keepNext w:val="0"/>
        <w:keepLines w:val="0"/>
        <w:shd w:val="clear" w:color="auto" w:fill="auto"/>
        <w:bidi w:val="0"/>
        <w:jc w:val="both"/>
        <w:spacing w:before="0" w:after="0"/>
        <w:ind w:left="0" w:right="0" w:firstLine="0"/>
      </w:pPr>
      <w:r>
        <w:rPr>
          <w:rStyle w:val="CharStyle19"/>
        </w:rPr>
        <w:t>který je součástí vzdušného dopravního prostředku,</w:t>
      </w:r>
    </w:p>
    <w:p>
      <w:pPr>
        <w:pStyle w:val="Style17"/>
        <w:numPr>
          <w:ilvl w:val="0"/>
          <w:numId w:val="27"/>
        </w:numPr>
        <w:tabs>
          <w:tab w:leader="none" w:pos="281" w:val="left"/>
        </w:tabs>
        <w:widowControl w:val="0"/>
        <w:keepNext w:val="0"/>
        <w:keepLines w:val="0"/>
        <w:shd w:val="clear" w:color="auto" w:fill="auto"/>
        <w:bidi w:val="0"/>
        <w:jc w:val="left"/>
        <w:spacing w:before="0" w:after="180"/>
        <w:ind w:left="240" w:right="0"/>
      </w:pPr>
      <w:r>
        <w:rPr>
          <w:rStyle w:val="CharStyle19"/>
        </w:rPr>
        <w:t>jehož součástí jsou látky pocházející z lidského těla nebo z těchto látek získané deriváty nebo biosyntetické výrobky.</w:t>
      </w:r>
    </w:p>
    <w:p>
      <w:pPr>
        <w:pStyle w:val="Style17"/>
        <w:numPr>
          <w:ilvl w:val="0"/>
          <w:numId w:val="25"/>
        </w:numPr>
        <w:tabs>
          <w:tab w:leader="none" w:pos="281" w:val="left"/>
        </w:tabs>
        <w:widowControl w:val="0"/>
        <w:keepNext w:val="0"/>
        <w:keepLines w:val="0"/>
        <w:shd w:val="clear" w:color="auto" w:fill="auto"/>
        <w:bidi w:val="0"/>
        <w:jc w:val="both"/>
        <w:spacing w:before="0" w:after="0"/>
        <w:ind w:left="0" w:right="0" w:firstLine="0"/>
      </w:pPr>
      <w:r>
        <w:rPr>
          <w:rStyle w:val="CharStyle19"/>
        </w:rPr>
        <w:t>Pojistitel neposkytne plnění za:</w:t>
      </w:r>
    </w:p>
    <w:p>
      <w:pPr>
        <w:pStyle w:val="Style17"/>
        <w:numPr>
          <w:ilvl w:val="0"/>
          <w:numId w:val="29"/>
        </w:numPr>
        <w:tabs>
          <w:tab w:leader="none" w:pos="266" w:val="left"/>
        </w:tabs>
        <w:widowControl w:val="0"/>
        <w:keepNext w:val="0"/>
        <w:keepLines w:val="0"/>
        <w:shd w:val="clear" w:color="auto" w:fill="auto"/>
        <w:bidi w:val="0"/>
        <w:jc w:val="both"/>
        <w:spacing w:before="0" w:after="0"/>
        <w:ind w:left="0" w:right="0" w:firstLine="0"/>
      </w:pPr>
      <w:r>
        <w:rPr>
          <w:rStyle w:val="CharStyle19"/>
        </w:rPr>
        <w:t>škodu na vadném výrobku,</w:t>
      </w:r>
    </w:p>
    <w:p>
      <w:pPr>
        <w:pStyle w:val="Style17"/>
        <w:numPr>
          <w:ilvl w:val="0"/>
          <w:numId w:val="29"/>
        </w:numPr>
        <w:tabs>
          <w:tab w:leader="none" w:pos="271" w:val="left"/>
        </w:tabs>
        <w:widowControl w:val="0"/>
        <w:keepNext w:val="0"/>
        <w:keepLines w:val="0"/>
        <w:shd w:val="clear" w:color="auto" w:fill="auto"/>
        <w:bidi w:val="0"/>
        <w:jc w:val="both"/>
        <w:spacing w:before="0" w:after="0"/>
        <w:ind w:left="0" w:right="0" w:firstLine="0"/>
      </w:pPr>
      <w:r>
        <w:rPr>
          <w:rStyle w:val="CharStyle19"/>
        </w:rPr>
        <w:t>náklady vzniklé při kontrole nebo opravě výrobku,</w:t>
      </w:r>
    </w:p>
    <w:p>
      <w:pPr>
        <w:pStyle w:val="Style17"/>
        <w:numPr>
          <w:ilvl w:val="0"/>
          <w:numId w:val="29"/>
        </w:numPr>
        <w:tabs>
          <w:tab w:leader="none" w:pos="271" w:val="left"/>
        </w:tabs>
        <w:widowControl w:val="0"/>
        <w:keepNext w:val="0"/>
        <w:keepLines w:val="0"/>
        <w:shd w:val="clear" w:color="auto" w:fill="auto"/>
        <w:bidi w:val="0"/>
        <w:jc w:val="both"/>
        <w:spacing w:before="0" w:after="0"/>
        <w:ind w:left="0" w:right="0" w:firstLine="0"/>
      </w:pPr>
      <w:r>
        <w:rPr>
          <w:rStyle w:val="CharStyle19"/>
        </w:rPr>
        <w:t>vrácení plateb získaných za výrobek,</w:t>
      </w:r>
    </w:p>
    <w:p>
      <w:pPr>
        <w:pStyle w:val="Style17"/>
        <w:numPr>
          <w:ilvl w:val="0"/>
          <w:numId w:val="29"/>
        </w:numPr>
        <w:tabs>
          <w:tab w:leader="none" w:pos="281" w:val="left"/>
        </w:tabs>
        <w:widowControl w:val="0"/>
        <w:keepNext w:val="0"/>
        <w:keepLines w:val="0"/>
        <w:shd w:val="clear" w:color="auto" w:fill="auto"/>
        <w:bidi w:val="0"/>
        <w:jc w:val="both"/>
        <w:spacing w:before="0" w:after="0"/>
        <w:ind w:left="0" w:right="0" w:firstLine="0"/>
      </w:pPr>
      <w:r>
        <w:rPr>
          <w:rStyle w:val="CharStyle19"/>
        </w:rPr>
        <w:t>náklady na stažení výrobku z trhu,</w:t>
      </w:r>
    </w:p>
    <w:p>
      <w:pPr>
        <w:pStyle w:val="Style17"/>
        <w:numPr>
          <w:ilvl w:val="0"/>
          <w:numId w:val="29"/>
        </w:numPr>
        <w:tabs>
          <w:tab w:leader="none" w:pos="281" w:val="left"/>
        </w:tabs>
        <w:widowControl w:val="0"/>
        <w:keepNext w:val="0"/>
        <w:keepLines w:val="0"/>
        <w:shd w:val="clear" w:color="auto" w:fill="auto"/>
        <w:bidi w:val="0"/>
        <w:jc w:val="both"/>
        <w:spacing w:before="0" w:after="0"/>
        <w:ind w:left="0" w:right="0" w:firstLine="0"/>
      </w:pPr>
      <w:r>
        <w:rPr>
          <w:rStyle w:val="CharStyle19"/>
        </w:rPr>
        <w:t>škodu způsobenou vadou projektové činnosti ve výstavbě,</w:t>
      </w:r>
    </w:p>
    <w:p>
      <w:pPr>
        <w:pStyle w:val="Style17"/>
        <w:numPr>
          <w:ilvl w:val="0"/>
          <w:numId w:val="29"/>
        </w:numPr>
        <w:tabs>
          <w:tab w:leader="none" w:pos="281" w:val="left"/>
        </w:tabs>
        <w:widowControl w:val="0"/>
        <w:keepNext w:val="0"/>
        <w:keepLines w:val="0"/>
        <w:shd w:val="clear" w:color="auto" w:fill="auto"/>
        <w:bidi w:val="0"/>
        <w:jc w:val="both"/>
        <w:spacing w:before="0" w:after="0"/>
        <w:ind w:left="0" w:right="0" w:firstLine="0"/>
      </w:pPr>
      <w:r>
        <w:rPr>
          <w:rStyle w:val="CharStyle19"/>
        </w:rPr>
        <w:t>škodu způsobenou tabákem nebo tabákovým výrobkem,</w:t>
      </w:r>
    </w:p>
    <w:p>
      <w:pPr>
        <w:pStyle w:val="Style17"/>
        <w:numPr>
          <w:ilvl w:val="0"/>
          <w:numId w:val="29"/>
        </w:numPr>
        <w:tabs>
          <w:tab w:leader="none" w:pos="281" w:val="left"/>
        </w:tabs>
        <w:widowControl w:val="0"/>
        <w:keepNext w:val="0"/>
        <w:keepLines w:val="0"/>
        <w:shd w:val="clear" w:color="auto" w:fill="auto"/>
        <w:bidi w:val="0"/>
        <w:jc w:val="left"/>
        <w:spacing w:before="0" w:after="0"/>
        <w:ind w:left="240" w:right="0"/>
      </w:pPr>
      <w:r>
        <w:rPr>
          <w:rStyle w:val="CharStyle19"/>
        </w:rPr>
        <w:t>škody vzniklé spojením nebo smísením vadného výrobku s jinou věcí a škody vzniklé dalším zpracováním nebo opracováním vadného výrobku, s výjimkou škody způsobené konečnému uživateli vlastnostmi takto vzniklé věci,</w:t>
      </w:r>
    </w:p>
    <w:p>
      <w:pPr>
        <w:pStyle w:val="Style17"/>
        <w:numPr>
          <w:ilvl w:val="0"/>
          <w:numId w:val="29"/>
        </w:numPr>
        <w:tabs>
          <w:tab w:leader="none" w:pos="281" w:val="left"/>
        </w:tabs>
        <w:widowControl w:val="0"/>
        <w:keepNext w:val="0"/>
        <w:keepLines w:val="0"/>
        <w:shd w:val="clear" w:color="auto" w:fill="auto"/>
        <w:bidi w:val="0"/>
        <w:jc w:val="left"/>
        <w:spacing w:before="0" w:after="0"/>
        <w:ind w:left="240" w:right="0"/>
      </w:pPr>
      <w:r>
        <w:rPr>
          <w:rStyle w:val="CharStyle19"/>
        </w:rPr>
        <w:t>náklady na odstranění, demontáž, vyjmutí nebo uvolnění vadných výrobků a náklady na montáž, připevnění nebo osazení bezvadných výrobků,</w:t>
      </w:r>
    </w:p>
    <w:p>
      <w:pPr>
        <w:pStyle w:val="Style17"/>
        <w:numPr>
          <w:ilvl w:val="0"/>
          <w:numId w:val="29"/>
        </w:numPr>
        <w:tabs>
          <w:tab w:leader="none" w:pos="281" w:val="left"/>
        </w:tabs>
        <w:widowControl w:val="0"/>
        <w:keepNext w:val="0"/>
        <w:keepLines w:val="0"/>
        <w:shd w:val="clear" w:color="auto" w:fill="auto"/>
        <w:bidi w:val="0"/>
        <w:jc w:val="left"/>
        <w:spacing w:before="0" w:after="0"/>
        <w:ind w:left="240" w:right="0"/>
        <w:sectPr>
          <w:headerReference w:type="default" r:id="rId5"/>
          <w:headerReference w:type="first" r:id="rId6"/>
          <w:titlePg/>
          <w:pgSz w:w="11900" w:h="16840"/>
          <w:pgMar w:top="1008" w:left="939" w:right="987" w:bottom="1008" w:header="0" w:footer="3" w:gutter="0"/>
          <w:rtlGutter w:val="0"/>
          <w:cols w:num="2" w:space="344"/>
          <w:noEndnote/>
          <w:docGrid w:linePitch="360"/>
        </w:sectPr>
      </w:pPr>
      <w:r>
        <w:rPr>
          <w:rStyle w:val="CharStyle19"/>
        </w:rPr>
        <w:t>škody vzniklé závadností věcí, které byly vyrobeny nebo zpracovány pomocí vadného stroje dodaného, montovaného nebo udržovaného pojištěným, s výjimkou škody způsobené konečnému uživateli vlastnostmi takto vzniklé věci.</w:t>
      </w:r>
    </w:p>
    <w:p>
      <w:pPr>
        <w:pStyle w:val="Style17"/>
        <w:numPr>
          <w:ilvl w:val="0"/>
          <w:numId w:val="31"/>
        </w:numPr>
        <w:tabs>
          <w:tab w:leader="none" w:pos="255" w:val="left"/>
        </w:tabs>
        <w:widowControl w:val="0"/>
        <w:keepNext w:val="0"/>
        <w:keepLines w:val="0"/>
        <w:shd w:val="clear" w:color="auto" w:fill="auto"/>
        <w:bidi w:val="0"/>
        <w:jc w:val="left"/>
        <w:spacing w:before="0" w:after="0"/>
        <w:ind w:left="0" w:right="0" w:firstLine="0"/>
      </w:pPr>
      <w:r>
        <w:rPr>
          <w:rStyle w:val="CharStyle19"/>
        </w:rPr>
        <w:t>Nastane-li škodná událost, má pojištěný zejména následující povinnosti:</w:t>
      </w:r>
    </w:p>
    <w:p>
      <w:pPr>
        <w:pStyle w:val="Style17"/>
        <w:numPr>
          <w:ilvl w:val="0"/>
          <w:numId w:val="33"/>
        </w:numPr>
        <w:tabs>
          <w:tab w:leader="none" w:pos="255" w:val="left"/>
        </w:tabs>
        <w:widowControl w:val="0"/>
        <w:keepNext w:val="0"/>
        <w:keepLines w:val="0"/>
        <w:shd w:val="clear" w:color="auto" w:fill="auto"/>
        <w:bidi w:val="0"/>
        <w:jc w:val="left"/>
        <w:spacing w:before="0" w:after="0"/>
        <w:ind w:left="240" w:right="0"/>
      </w:pPr>
      <w:r>
        <w:rPr>
          <w:rStyle w:val="CharStyle19"/>
        </w:rPr>
        <w:t>písemně bez zbytečného odkladu oznámit pojistiteli, že poškozený uplatnil proti němu právo na náhradu škody, a vyjádřit se ke své odpovědnosti za vzniklou škodu, k požadované náhradě škody a její výši,</w:t>
      </w:r>
    </w:p>
    <w:p>
      <w:pPr>
        <w:pStyle w:val="Style17"/>
        <w:numPr>
          <w:ilvl w:val="0"/>
          <w:numId w:val="33"/>
        </w:numPr>
        <w:tabs>
          <w:tab w:leader="none" w:pos="255" w:val="left"/>
        </w:tabs>
        <w:widowControl w:val="0"/>
        <w:keepNext w:val="0"/>
        <w:keepLines w:val="0"/>
        <w:shd w:val="clear" w:color="auto" w:fill="auto"/>
        <w:bidi w:val="0"/>
        <w:jc w:val="both"/>
        <w:spacing w:before="0" w:after="0"/>
        <w:ind w:left="240" w:right="0"/>
      </w:pPr>
      <w:r>
        <w:rPr>
          <w:rStyle w:val="CharStyle19"/>
        </w:rPr>
        <w:t>písemně bez zbytečného odkladu oznámit pojistiteli, že v souvislosti se škodnou událostí bylo proti němu nebo jeho zaměstnanci (členu) zahájeno soudní (občanskoprávní i trestní) nebo rozhodčí řízení,</w:t>
      </w:r>
    </w:p>
    <w:p>
      <w:pPr>
        <w:pStyle w:val="Style17"/>
        <w:widowControl w:val="0"/>
        <w:keepNext w:val="0"/>
        <w:keepLines w:val="0"/>
        <w:shd w:val="clear" w:color="auto" w:fill="auto"/>
        <w:bidi w:val="0"/>
        <w:jc w:val="left"/>
        <w:spacing w:before="0" w:after="0"/>
        <w:ind w:left="240" w:right="0" w:firstLine="0"/>
      </w:pPr>
      <w:r>
        <w:rPr>
          <w:rStyle w:val="CharStyle19"/>
        </w:rPr>
        <w:t>a informovat o průběhu a výsledcích řízení,</w:t>
      </w:r>
    </w:p>
    <w:p>
      <w:pPr>
        <w:pStyle w:val="Style17"/>
        <w:numPr>
          <w:ilvl w:val="0"/>
          <w:numId w:val="33"/>
        </w:numPr>
        <w:tabs>
          <w:tab w:leader="none" w:pos="255" w:val="left"/>
        </w:tabs>
        <w:widowControl w:val="0"/>
        <w:keepNext w:val="0"/>
        <w:keepLines w:val="0"/>
        <w:shd w:val="clear" w:color="auto" w:fill="auto"/>
        <w:bidi w:val="0"/>
        <w:jc w:val="left"/>
        <w:spacing w:before="0" w:after="0"/>
        <w:ind w:left="240" w:right="0"/>
      </w:pPr>
      <w:r>
        <w:rPr>
          <w:rStyle w:val="CharStyle19"/>
        </w:rPr>
        <w:t>nesmí bez souhlasu pojistitele uhradit ani se zavázat k úhradě promlčené pohledávky nebo její části,</w:t>
      </w:r>
    </w:p>
    <w:p>
      <w:pPr>
        <w:pStyle w:val="Style17"/>
        <w:numPr>
          <w:ilvl w:val="0"/>
          <w:numId w:val="33"/>
        </w:numPr>
        <w:tabs>
          <w:tab w:leader="none" w:pos="265" w:val="left"/>
        </w:tabs>
        <w:widowControl w:val="0"/>
        <w:keepNext w:val="0"/>
        <w:keepLines w:val="0"/>
        <w:shd w:val="clear" w:color="auto" w:fill="auto"/>
        <w:bidi w:val="0"/>
        <w:jc w:val="left"/>
        <w:spacing w:before="0" w:after="180"/>
        <w:ind w:left="240" w:right="0"/>
      </w:pPr>
      <w:r>
        <w:rPr>
          <w:rStyle w:val="CharStyle19"/>
        </w:rPr>
        <w:t>nesmí bez souhlasu pojistitele zcela nebo zčásti uznat nárok z titulu odpovědnosti za škodu.</w:t>
      </w:r>
    </w:p>
    <w:p>
      <w:pPr>
        <w:pStyle w:val="Style17"/>
        <w:numPr>
          <w:ilvl w:val="0"/>
          <w:numId w:val="31"/>
        </w:numPr>
        <w:tabs>
          <w:tab w:leader="none" w:pos="265" w:val="left"/>
        </w:tabs>
        <w:widowControl w:val="0"/>
        <w:keepNext w:val="0"/>
        <w:keepLines w:val="0"/>
        <w:shd w:val="clear" w:color="auto" w:fill="auto"/>
        <w:bidi w:val="0"/>
        <w:jc w:val="left"/>
        <w:spacing w:before="0" w:after="0"/>
        <w:ind w:left="0" w:right="0" w:firstLine="0"/>
      </w:pPr>
      <w:r>
        <w:rPr>
          <w:rStyle w:val="CharStyle19"/>
        </w:rPr>
        <w:t>Pojištěný má v řízení o náhradě škody vedeném proti němu zejména následující povinnosti:</w:t>
      </w:r>
    </w:p>
    <w:p>
      <w:pPr>
        <w:pStyle w:val="Style17"/>
        <w:numPr>
          <w:ilvl w:val="0"/>
          <w:numId w:val="35"/>
        </w:numPr>
        <w:tabs>
          <w:tab w:leader="none" w:pos="255" w:val="left"/>
        </w:tabs>
        <w:widowControl w:val="0"/>
        <w:keepNext w:val="0"/>
        <w:keepLines w:val="0"/>
        <w:shd w:val="clear" w:color="auto" w:fill="auto"/>
        <w:bidi w:val="0"/>
        <w:jc w:val="both"/>
        <w:spacing w:before="0" w:after="0"/>
        <w:ind w:left="240" w:right="0"/>
      </w:pPr>
      <w:r>
        <w:rPr>
          <w:rStyle w:val="CharStyle19"/>
        </w:rPr>
        <w:t>postupovat v souladu s pokyny pojistitele,</w:t>
      </w:r>
    </w:p>
    <w:p>
      <w:pPr>
        <w:pStyle w:val="Style17"/>
        <w:numPr>
          <w:ilvl w:val="0"/>
          <w:numId w:val="35"/>
        </w:numPr>
        <w:tabs>
          <w:tab w:leader="none" w:pos="255" w:val="left"/>
        </w:tabs>
        <w:widowControl w:val="0"/>
        <w:keepNext w:val="0"/>
        <w:keepLines w:val="0"/>
        <w:shd w:val="clear" w:color="auto" w:fill="auto"/>
        <w:bidi w:val="0"/>
        <w:jc w:val="both"/>
        <w:spacing w:before="0" w:after="0"/>
        <w:ind w:left="240" w:right="0"/>
      </w:pPr>
      <w:r>
        <w:rPr>
          <w:rStyle w:val="CharStyle19"/>
        </w:rPr>
        <w:t>nesmí bez souhlasu pojistitele uzavřít soudní smír,</w:t>
      </w:r>
    </w:p>
    <w:p>
      <w:pPr>
        <w:pStyle w:val="Style17"/>
        <w:numPr>
          <w:ilvl w:val="0"/>
          <w:numId w:val="35"/>
        </w:numPr>
        <w:tabs>
          <w:tab w:leader="none" w:pos="255" w:val="left"/>
        </w:tabs>
        <w:widowControl w:val="0"/>
        <w:keepNext w:val="0"/>
        <w:keepLines w:val="0"/>
        <w:shd w:val="clear" w:color="auto" w:fill="auto"/>
        <w:bidi w:val="0"/>
        <w:jc w:val="both"/>
        <w:spacing w:before="0" w:after="0"/>
        <w:ind w:left="240" w:right="0"/>
      </w:pPr>
      <w:r>
        <w:rPr>
          <w:rStyle w:val="CharStyle19"/>
        </w:rPr>
        <w:t>vznést námitku promlčení,</w:t>
      </w:r>
    </w:p>
    <w:p>
      <w:pPr>
        <w:pStyle w:val="Style17"/>
        <w:numPr>
          <w:ilvl w:val="0"/>
          <w:numId w:val="35"/>
        </w:numPr>
        <w:tabs>
          <w:tab w:leader="none" w:pos="265" w:val="left"/>
        </w:tabs>
        <w:widowControl w:val="0"/>
        <w:keepNext w:val="0"/>
        <w:keepLines w:val="0"/>
        <w:shd w:val="clear" w:color="auto" w:fill="auto"/>
        <w:bidi w:val="0"/>
        <w:jc w:val="both"/>
        <w:spacing w:before="0" w:after="0"/>
        <w:ind w:left="240" w:right="0"/>
      </w:pPr>
      <w:r>
        <w:rPr>
          <w:rStyle w:val="CharStyle19"/>
        </w:rPr>
        <w:t>na pokyn pojistitele podat opravný prostředek,</w:t>
      </w:r>
    </w:p>
    <w:p>
      <w:pPr>
        <w:pStyle w:val="Style17"/>
        <w:numPr>
          <w:ilvl w:val="0"/>
          <w:numId w:val="35"/>
        </w:numPr>
        <w:tabs>
          <w:tab w:leader="none" w:pos="265" w:val="left"/>
        </w:tabs>
        <w:widowControl w:val="0"/>
        <w:keepNext w:val="0"/>
        <w:keepLines w:val="0"/>
        <w:shd w:val="clear" w:color="auto" w:fill="auto"/>
        <w:bidi w:val="0"/>
        <w:jc w:val="left"/>
        <w:spacing w:before="0" w:after="180"/>
        <w:ind w:left="240" w:right="0"/>
      </w:pPr>
      <w:r>
        <w:rPr>
          <w:rStyle w:val="CharStyle19"/>
        </w:rPr>
        <w:t>postupovat tak, aby nezavdal příčinu k vydání rozsudku pro zmeškání nebo pro uznání.</w:t>
      </w:r>
    </w:p>
    <w:p>
      <w:pPr>
        <w:pStyle w:val="Style17"/>
        <w:numPr>
          <w:ilvl w:val="0"/>
          <w:numId w:val="31"/>
        </w:numPr>
        <w:tabs>
          <w:tab w:leader="none" w:pos="265" w:val="left"/>
        </w:tabs>
        <w:widowControl w:val="0"/>
        <w:keepNext w:val="0"/>
        <w:keepLines w:val="0"/>
        <w:shd w:val="clear" w:color="auto" w:fill="auto"/>
        <w:bidi w:val="0"/>
        <w:jc w:val="both"/>
        <w:spacing w:before="0" w:after="0"/>
        <w:ind w:left="240" w:right="0"/>
      </w:pPr>
      <w:r>
        <w:rPr>
          <w:rStyle w:val="CharStyle19"/>
        </w:rPr>
        <w:t>Porušil-li pojištěný některou z povinností uvedených v odst. 1) písm.</w:t>
      </w:r>
    </w:p>
    <w:p>
      <w:pPr>
        <w:pStyle w:val="Style17"/>
        <w:numPr>
          <w:ilvl w:val="0"/>
          <w:numId w:val="37"/>
        </w:numPr>
        <w:tabs>
          <w:tab w:leader="none" w:pos="206" w:val="left"/>
        </w:tabs>
        <w:widowControl w:val="0"/>
        <w:keepNext w:val="0"/>
        <w:keepLines w:val="0"/>
        <w:shd w:val="clear" w:color="auto" w:fill="auto"/>
        <w:bidi w:val="0"/>
        <w:jc w:val="left"/>
        <w:spacing w:before="0" w:after="180"/>
        <w:ind w:left="0" w:right="0" w:firstLine="0"/>
      </w:pPr>
      <w:r>
        <w:rPr>
          <w:rStyle w:val="CharStyle19"/>
        </w:rPr>
        <w:t>, b) a d) a v odst. 2) písm. a), b) a e) tohoto článku a toto porušení mělo vliv na zjištění nebo určení výše pojistného plnění, je pojistitel oprávněn snížit pojistné plnění úměrně tomu, jaký vliv mělo toto porušení na rozsah jeho povinnosti plnit.</w:t>
      </w:r>
    </w:p>
    <w:p>
      <w:pPr>
        <w:pStyle w:val="Style17"/>
        <w:numPr>
          <w:ilvl w:val="0"/>
          <w:numId w:val="31"/>
        </w:numPr>
        <w:tabs>
          <w:tab w:leader="none" w:pos="265" w:val="left"/>
        </w:tabs>
        <w:widowControl w:val="0"/>
        <w:keepNext w:val="0"/>
        <w:keepLines w:val="0"/>
        <w:shd w:val="clear" w:color="auto" w:fill="auto"/>
        <w:bidi w:val="0"/>
        <w:jc w:val="left"/>
        <w:spacing w:before="0" w:after="260"/>
        <w:ind w:left="0" w:right="0" w:firstLine="0"/>
      </w:pPr>
      <w:r>
        <w:rPr>
          <w:rStyle w:val="CharStyle19"/>
        </w:rPr>
        <w:t>Pojistitel není povinen plnit, jestliže pojištěný porušil některou z povinností uvedených v odst. 1) písm. c) a v odst. 2) písm. c) a d) tohoto článku.</w:t>
      </w:r>
    </w:p>
    <w:p>
      <w:pPr>
        <w:pStyle w:val="Style13"/>
        <w:widowControl w:val="0"/>
        <w:keepNext/>
        <w:keepLines/>
        <w:shd w:val="clear" w:color="auto" w:fill="auto"/>
        <w:bidi w:val="0"/>
        <w:jc w:val="both"/>
        <w:spacing w:before="0" w:after="83" w:line="140" w:lineRule="exact"/>
        <w:ind w:left="240" w:right="0"/>
      </w:pPr>
      <w:bookmarkStart w:id="6" w:name="bookmark6"/>
      <w:r>
        <w:rPr>
          <w:rStyle w:val="CharStyle23"/>
          <w:b/>
          <w:bCs/>
        </w:rPr>
        <w:t>Článek VII.</w:t>
      </w:r>
      <w:bookmarkEnd w:id="6"/>
    </w:p>
    <w:p>
      <w:pPr>
        <w:pStyle w:val="Style15"/>
        <w:widowControl w:val="0"/>
        <w:keepNext w:val="0"/>
        <w:keepLines w:val="0"/>
        <w:shd w:val="clear" w:color="auto" w:fill="auto"/>
        <w:bidi w:val="0"/>
        <w:jc w:val="both"/>
        <w:spacing w:before="0" w:after="234" w:line="140" w:lineRule="exact"/>
        <w:ind w:left="240" w:right="0"/>
      </w:pPr>
      <w:r>
        <w:rPr>
          <w:rStyle w:val="CharStyle24"/>
          <w:b/>
          <w:bCs/>
        </w:rPr>
        <w:t>Pojistné plnění</w:t>
      </w:r>
    </w:p>
    <w:p>
      <w:pPr>
        <w:pStyle w:val="Style17"/>
        <w:numPr>
          <w:ilvl w:val="0"/>
          <w:numId w:val="39"/>
        </w:numPr>
        <w:tabs>
          <w:tab w:leader="none" w:pos="255" w:val="left"/>
        </w:tabs>
        <w:widowControl w:val="0"/>
        <w:keepNext w:val="0"/>
        <w:keepLines w:val="0"/>
        <w:shd w:val="clear" w:color="auto" w:fill="auto"/>
        <w:bidi w:val="0"/>
        <w:jc w:val="both"/>
        <w:spacing w:before="0" w:after="180"/>
        <w:ind w:left="0" w:right="520" w:firstLine="0"/>
      </w:pPr>
      <w:r>
        <w:rPr>
          <w:rStyle w:val="CharStyle19"/>
        </w:rPr>
        <w:t>Pojistitel uhradí za pojištěného škodu z jedné pojistné události maximálně do výše limitu pojistného plnění uvedeného v pojistné smlouvě. Limit pojistného plnění stanoví na svou odpovědnost pojistník.</w:t>
      </w:r>
    </w:p>
    <w:p>
      <w:pPr>
        <w:pStyle w:val="Style17"/>
        <w:numPr>
          <w:ilvl w:val="0"/>
          <w:numId w:val="39"/>
        </w:numPr>
        <w:tabs>
          <w:tab w:leader="none" w:pos="270" w:val="left"/>
        </w:tabs>
        <w:widowControl w:val="0"/>
        <w:keepNext w:val="0"/>
        <w:keepLines w:val="0"/>
        <w:shd w:val="clear" w:color="auto" w:fill="auto"/>
        <w:bidi w:val="0"/>
        <w:jc w:val="left"/>
        <w:spacing w:before="0" w:after="260"/>
        <w:ind w:left="0" w:right="0" w:firstLine="0"/>
      </w:pPr>
      <w:r>
        <w:rPr>
          <w:rStyle w:val="CharStyle19"/>
        </w:rPr>
        <w:t>Na úhradu všech pojistných událostí vzniklých během jednoho pojistného roku poskytne pojistitel pojistné plnění do výše dvojnásobku limitu pojistného plnění uvedeného v pojistné smlouvě. Je-li pojištění sjednáno na dobu kratší než jeden pojistný rok, poskytne pojistitel pojistné plnění do výše limitu pojistného plnění uvedeného v pojistné smlouvě.</w:t>
      </w:r>
    </w:p>
    <w:p>
      <w:pPr>
        <w:pStyle w:val="Style17"/>
        <w:numPr>
          <w:ilvl w:val="0"/>
          <w:numId w:val="39"/>
        </w:numPr>
        <w:tabs>
          <w:tab w:leader="none" w:pos="265" w:val="left"/>
        </w:tabs>
        <w:widowControl w:val="0"/>
        <w:keepNext w:val="0"/>
        <w:keepLines w:val="0"/>
        <w:shd w:val="clear" w:color="auto" w:fill="auto"/>
        <w:bidi w:val="0"/>
        <w:jc w:val="both"/>
        <w:spacing w:before="0" w:after="0" w:line="140" w:lineRule="exact"/>
        <w:ind w:left="240" w:right="0"/>
      </w:pPr>
      <w:r>
        <w:rPr>
          <w:rStyle w:val="CharStyle19"/>
        </w:rPr>
        <w:t>Výše úhrady nákladů právní ochrany podle článku III. spolu</w:t>
      </w:r>
    </w:p>
    <w:p>
      <w:pPr>
        <w:pStyle w:val="Style17"/>
        <w:widowControl w:val="0"/>
        <w:keepNext w:val="0"/>
        <w:keepLines w:val="0"/>
        <w:shd w:val="clear" w:color="auto" w:fill="auto"/>
        <w:bidi w:val="0"/>
        <w:jc w:val="left"/>
        <w:spacing w:before="0" w:after="180"/>
        <w:ind w:left="0" w:right="0" w:firstLine="0"/>
      </w:pPr>
      <w:r>
        <w:rPr>
          <w:rStyle w:val="CharStyle19"/>
        </w:rPr>
        <w:t>s poskytnutým pojistným plněním z jedné pojistné události může dosáhnout maximálně výše limitu pojistného plnění uvedeného v pojistné smlouvě.</w:t>
      </w:r>
    </w:p>
    <w:p>
      <w:pPr>
        <w:pStyle w:val="Style17"/>
        <w:numPr>
          <w:ilvl w:val="0"/>
          <w:numId w:val="39"/>
        </w:numPr>
        <w:tabs>
          <w:tab w:leader="none" w:pos="270" w:val="left"/>
        </w:tabs>
        <w:widowControl w:val="0"/>
        <w:keepNext w:val="0"/>
        <w:keepLines w:val="0"/>
        <w:shd w:val="clear" w:color="auto" w:fill="auto"/>
        <w:bidi w:val="0"/>
        <w:jc w:val="left"/>
        <w:spacing w:before="0" w:after="0"/>
        <w:ind w:left="0" w:right="0" w:firstLine="0"/>
      </w:pPr>
      <w:r>
        <w:rPr>
          <w:rStyle w:val="CharStyle19"/>
        </w:rPr>
        <w:t>Za škodu způsobenou na klenotech a jiných cennostech, jakož i na věcech umělecké, historické nebo sběratelské hodnoty (např. obrazy, sochy, sbírky známek) je pojistitel povinen poskytnout plnění nejvýše do částky 100 000 Kč za jednu takovou věc (sbírku) a za škodu na penězích, směnkách, cenných papírech a ceninách nejvýše do celkové částky 100 000 Kč.</w:t>
      </w:r>
    </w:p>
    <w:p>
      <w:pPr>
        <w:pStyle w:val="Style13"/>
        <w:widowControl w:val="0"/>
        <w:keepNext/>
        <w:keepLines/>
        <w:shd w:val="clear" w:color="auto" w:fill="auto"/>
        <w:bidi w:val="0"/>
        <w:jc w:val="left"/>
        <w:spacing w:before="0" w:after="54" w:line="140" w:lineRule="exact"/>
        <w:ind w:left="0" w:right="0" w:firstLine="0"/>
      </w:pPr>
      <w:bookmarkStart w:id="7" w:name="bookmark7"/>
      <w:r>
        <w:rPr>
          <w:rStyle w:val="CharStyle23"/>
          <w:b/>
          <w:bCs/>
        </w:rPr>
        <w:t>Článek VIII.</w:t>
      </w:r>
      <w:bookmarkEnd w:id="7"/>
    </w:p>
    <w:p>
      <w:pPr>
        <w:pStyle w:val="Style15"/>
        <w:widowControl w:val="0"/>
        <w:keepNext w:val="0"/>
        <w:keepLines w:val="0"/>
        <w:shd w:val="clear" w:color="auto" w:fill="auto"/>
        <w:bidi w:val="0"/>
        <w:jc w:val="left"/>
        <w:spacing w:before="0" w:after="214" w:line="140" w:lineRule="exact"/>
        <w:ind w:left="0" w:right="0" w:firstLine="0"/>
      </w:pPr>
      <w:r>
        <w:rPr>
          <w:rStyle w:val="CharStyle24"/>
          <w:b/>
          <w:bCs/>
        </w:rPr>
        <w:t>Výklad pojmů</w:t>
      </w:r>
    </w:p>
    <w:p>
      <w:pPr>
        <w:pStyle w:val="Style17"/>
        <w:widowControl w:val="0"/>
        <w:keepNext w:val="0"/>
        <w:keepLines w:val="0"/>
        <w:shd w:val="clear" w:color="auto" w:fill="auto"/>
        <w:bidi w:val="0"/>
        <w:jc w:val="left"/>
        <w:spacing w:before="0" w:after="180"/>
        <w:ind w:left="0" w:right="0" w:firstLine="0"/>
      </w:pPr>
      <w:r>
        <w:rPr>
          <w:rStyle w:val="CharStyle19"/>
        </w:rPr>
        <w:t>Pro účely pojištění podle těchto pojistných podmínek platí následující výklad pojmů:</w:t>
      </w:r>
    </w:p>
    <w:p>
      <w:pPr>
        <w:pStyle w:val="Style17"/>
        <w:numPr>
          <w:ilvl w:val="0"/>
          <w:numId w:val="41"/>
        </w:numPr>
        <w:tabs>
          <w:tab w:leader="none" w:pos="260" w:val="left"/>
        </w:tabs>
        <w:widowControl w:val="0"/>
        <w:keepNext w:val="0"/>
        <w:keepLines w:val="0"/>
        <w:shd w:val="clear" w:color="auto" w:fill="auto"/>
        <w:bidi w:val="0"/>
        <w:jc w:val="left"/>
        <w:spacing w:before="0" w:after="180"/>
        <w:ind w:left="0" w:right="0" w:firstLine="0"/>
      </w:pPr>
      <w:r>
        <w:rPr>
          <w:rStyle w:val="CharStyle25"/>
        </w:rPr>
        <w:t xml:space="preserve">Jinou majetkovou škodou </w:t>
      </w:r>
      <w:r>
        <w:rPr>
          <w:rStyle w:val="CharStyle19"/>
        </w:rPr>
        <w:t>se rozumí zejména ušlý zisk a náklady poškozeného, které nejsou škodou na zdraví, na životě nebo na věci, ale vznikly v souvislosti s ní (např. náklady na likvidaci zničené věci nebo na odtah vozidla, půjčovné za náhradní vozidlo, stornopoplatky za zrušení zájezdu v důsledku škody na zdraví).</w:t>
      </w:r>
    </w:p>
    <w:p>
      <w:pPr>
        <w:pStyle w:val="Style17"/>
        <w:numPr>
          <w:ilvl w:val="0"/>
          <w:numId w:val="41"/>
        </w:numPr>
        <w:tabs>
          <w:tab w:leader="none" w:pos="265" w:val="left"/>
        </w:tabs>
        <w:widowControl w:val="0"/>
        <w:keepNext w:val="0"/>
        <w:keepLines w:val="0"/>
        <w:shd w:val="clear" w:color="auto" w:fill="auto"/>
        <w:bidi w:val="0"/>
        <w:jc w:val="left"/>
        <w:spacing w:before="0" w:after="180"/>
        <w:ind w:left="0" w:right="0" w:firstLine="0"/>
      </w:pPr>
      <w:r>
        <w:rPr>
          <w:rStyle w:val="CharStyle25"/>
        </w:rPr>
        <w:t xml:space="preserve">Objednanou činností </w:t>
      </w:r>
      <w:r>
        <w:rPr>
          <w:rStyle w:val="CharStyle19"/>
        </w:rPr>
        <w:t>se rozumí zejména zpracování, oprava, úprava, prodej, úschova, uskladnění nebo poskytnutí odborné pomoci.</w:t>
      </w:r>
    </w:p>
    <w:p>
      <w:pPr>
        <w:pStyle w:val="Style17"/>
        <w:numPr>
          <w:ilvl w:val="0"/>
          <w:numId w:val="41"/>
        </w:numPr>
        <w:tabs>
          <w:tab w:leader="none" w:pos="265" w:val="left"/>
        </w:tabs>
        <w:widowControl w:val="0"/>
        <w:keepNext w:val="0"/>
        <w:keepLines w:val="0"/>
        <w:shd w:val="clear" w:color="auto" w:fill="auto"/>
        <w:bidi w:val="0"/>
        <w:jc w:val="left"/>
        <w:spacing w:before="0" w:after="0"/>
        <w:ind w:left="0" w:right="0" w:firstLine="0"/>
      </w:pPr>
      <w:r>
        <w:rPr>
          <w:rStyle w:val="CharStyle25"/>
        </w:rPr>
        <w:t xml:space="preserve">Ochranným zařízením </w:t>
      </w:r>
      <w:r>
        <w:rPr>
          <w:rStyle w:val="CharStyle19"/>
        </w:rPr>
        <w:t xml:space="preserve">se rozumí zařízení sloužící k ochraně před škodlivým působením látek na životní prostředí. </w:t>
      </w:r>
      <w:r>
        <w:rPr>
          <w:rStyle w:val="CharStyle25"/>
        </w:rPr>
        <w:t>Náhlou</w:t>
      </w:r>
    </w:p>
    <w:p>
      <w:pPr>
        <w:pStyle w:val="Style17"/>
        <w:widowControl w:val="0"/>
        <w:keepNext w:val="0"/>
        <w:keepLines w:val="0"/>
        <w:shd w:val="clear" w:color="auto" w:fill="auto"/>
        <w:bidi w:val="0"/>
        <w:jc w:val="left"/>
        <w:spacing w:before="0" w:after="260"/>
        <w:ind w:left="0" w:right="0" w:firstLine="0"/>
      </w:pPr>
      <w:r>
        <w:rPr>
          <w:rStyle w:val="CharStyle25"/>
        </w:rPr>
        <w:t xml:space="preserve">a nahodilou poruchou ochranného zařízení </w:t>
      </w:r>
      <w:r>
        <w:rPr>
          <w:rStyle w:val="CharStyle19"/>
        </w:rPr>
        <w:t>se rozumí náhlá a nahodilá porucha způsobená vnitřní závadou zařízení, kterou pojištěný nemohl předpokládat ani při řádné péči.</w:t>
      </w:r>
    </w:p>
    <w:p>
      <w:pPr>
        <w:pStyle w:val="Style17"/>
        <w:numPr>
          <w:ilvl w:val="0"/>
          <w:numId w:val="41"/>
        </w:numPr>
        <w:tabs>
          <w:tab w:leader="none" w:pos="265" w:val="left"/>
        </w:tabs>
        <w:widowControl w:val="0"/>
        <w:keepNext w:val="0"/>
        <w:keepLines w:val="0"/>
        <w:shd w:val="clear" w:color="auto" w:fill="auto"/>
        <w:bidi w:val="0"/>
        <w:jc w:val="both"/>
        <w:spacing w:before="0" w:after="0" w:line="140" w:lineRule="exact"/>
        <w:ind w:left="0" w:right="0" w:firstLine="0"/>
      </w:pPr>
      <w:r>
        <w:rPr>
          <w:rStyle w:val="CharStyle25"/>
        </w:rPr>
        <w:t xml:space="preserve">Poddolováním </w:t>
      </w:r>
      <w:r>
        <w:rPr>
          <w:rStyle w:val="CharStyle19"/>
        </w:rPr>
        <w:t>se rozumí důsledky lidské činnosti spočívající</w:t>
      </w:r>
    </w:p>
    <w:p>
      <w:pPr>
        <w:pStyle w:val="Style17"/>
        <w:widowControl w:val="0"/>
        <w:keepNext w:val="0"/>
        <w:keepLines w:val="0"/>
        <w:shd w:val="clear" w:color="auto" w:fill="auto"/>
        <w:bidi w:val="0"/>
        <w:jc w:val="left"/>
        <w:spacing w:before="0" w:after="180"/>
        <w:ind w:left="0" w:right="0" w:firstLine="0"/>
      </w:pPr>
      <w:r>
        <w:rPr>
          <w:rStyle w:val="CharStyle19"/>
        </w:rPr>
        <w:t>v hloubení podzemních štol, šachet, tunelů a obdobných podzemních staveb.</w:t>
      </w:r>
    </w:p>
    <w:p>
      <w:pPr>
        <w:pStyle w:val="Style17"/>
        <w:numPr>
          <w:ilvl w:val="0"/>
          <w:numId w:val="41"/>
        </w:numPr>
        <w:tabs>
          <w:tab w:leader="none" w:pos="274" w:val="left"/>
        </w:tabs>
        <w:widowControl w:val="0"/>
        <w:keepNext w:val="0"/>
        <w:keepLines w:val="0"/>
        <w:shd w:val="clear" w:color="auto" w:fill="auto"/>
        <w:bidi w:val="0"/>
        <w:jc w:val="left"/>
        <w:spacing w:before="0" w:after="180"/>
        <w:ind w:left="0" w:right="0" w:firstLine="0"/>
      </w:pPr>
      <w:r>
        <w:rPr>
          <w:rStyle w:val="CharStyle25"/>
        </w:rPr>
        <w:t xml:space="preserve">Poškozením věci </w:t>
      </w:r>
      <w:r>
        <w:rPr>
          <w:rStyle w:val="CharStyle19"/>
        </w:rPr>
        <w:t>se rozumí změna stavu věci, kterou je objektivně možné odstranit ekonomicky účelnou opravou, nebo změna stavu věci, kterou objektivně nelze odstranit ekonomicky účelnou opravou, přesto však je věc použitelná k původnímu účelu.</w:t>
      </w:r>
    </w:p>
    <w:p>
      <w:pPr>
        <w:pStyle w:val="Style13"/>
        <w:numPr>
          <w:ilvl w:val="0"/>
          <w:numId w:val="41"/>
        </w:numPr>
        <w:tabs>
          <w:tab w:leader="none" w:pos="265" w:val="left"/>
        </w:tabs>
        <w:widowControl w:val="0"/>
        <w:keepNext/>
        <w:keepLines/>
        <w:shd w:val="clear" w:color="auto" w:fill="auto"/>
        <w:bidi w:val="0"/>
        <w:jc w:val="both"/>
        <w:spacing w:before="0" w:after="0" w:line="240" w:lineRule="exact"/>
        <w:ind w:left="0" w:right="0" w:firstLine="0"/>
      </w:pPr>
      <w:bookmarkStart w:id="8" w:name="bookmark8"/>
      <w:r>
        <w:rPr>
          <w:rStyle w:val="CharStyle23"/>
          <w:b/>
          <w:bCs/>
        </w:rPr>
        <w:t>Právnickou osobou, se kterou je pojištěný majetkově propojen</w:t>
      </w:r>
      <w:r>
        <w:rPr>
          <w:rStyle w:val="CharStyle26"/>
          <w:b w:val="0"/>
          <w:bCs w:val="0"/>
        </w:rPr>
        <w:t>, se</w:t>
      </w:r>
      <w:bookmarkEnd w:id="8"/>
    </w:p>
    <w:p>
      <w:pPr>
        <w:pStyle w:val="Style17"/>
        <w:widowControl w:val="0"/>
        <w:keepNext w:val="0"/>
        <w:keepLines w:val="0"/>
        <w:shd w:val="clear" w:color="auto" w:fill="auto"/>
        <w:bidi w:val="0"/>
        <w:jc w:val="both"/>
        <w:spacing w:before="0" w:after="0"/>
        <w:ind w:left="0" w:right="0" w:firstLine="0"/>
      </w:pPr>
      <w:r>
        <w:rPr>
          <w:rStyle w:val="CharStyle19"/>
        </w:rPr>
        <w:t>rozumí:</w:t>
      </w:r>
    </w:p>
    <w:p>
      <w:pPr>
        <w:pStyle w:val="Style17"/>
        <w:numPr>
          <w:ilvl w:val="0"/>
          <w:numId w:val="43"/>
        </w:numPr>
        <w:tabs>
          <w:tab w:leader="none" w:pos="250" w:val="left"/>
        </w:tabs>
        <w:widowControl w:val="0"/>
        <w:keepNext w:val="0"/>
        <w:keepLines w:val="0"/>
        <w:shd w:val="clear" w:color="auto" w:fill="auto"/>
        <w:bidi w:val="0"/>
        <w:jc w:val="left"/>
        <w:spacing w:before="0" w:after="0"/>
        <w:ind w:left="240" w:right="0"/>
      </w:pPr>
      <w:r>
        <w:rPr>
          <w:rStyle w:val="CharStyle19"/>
        </w:rPr>
        <w:t>právnická osoba, ve které má pojištěný větší než 50% majetkovou účast,</w:t>
      </w:r>
    </w:p>
    <w:p>
      <w:pPr>
        <w:pStyle w:val="Style17"/>
        <w:numPr>
          <w:ilvl w:val="0"/>
          <w:numId w:val="43"/>
        </w:numPr>
        <w:tabs>
          <w:tab w:leader="none" w:pos="255" w:val="left"/>
        </w:tabs>
        <w:widowControl w:val="0"/>
        <w:keepNext w:val="0"/>
        <w:keepLines w:val="0"/>
        <w:shd w:val="clear" w:color="auto" w:fill="auto"/>
        <w:bidi w:val="0"/>
        <w:jc w:val="left"/>
        <w:spacing w:before="0" w:after="0"/>
        <w:ind w:left="240" w:right="0"/>
      </w:pPr>
      <w:r>
        <w:rPr>
          <w:rStyle w:val="CharStyle19"/>
        </w:rPr>
        <w:t>právnická osoba, která má v pojištěném větší než 50% majetkovou účast,</w:t>
      </w:r>
    </w:p>
    <w:p>
      <w:pPr>
        <w:pStyle w:val="Style17"/>
        <w:numPr>
          <w:ilvl w:val="0"/>
          <w:numId w:val="43"/>
        </w:numPr>
        <w:tabs>
          <w:tab w:leader="none" w:pos="255" w:val="left"/>
        </w:tabs>
        <w:widowControl w:val="0"/>
        <w:keepNext w:val="0"/>
        <w:keepLines w:val="0"/>
        <w:shd w:val="clear" w:color="auto" w:fill="auto"/>
        <w:bidi w:val="0"/>
        <w:jc w:val="left"/>
        <w:spacing w:before="0" w:after="0"/>
        <w:ind w:left="240" w:right="0"/>
      </w:pPr>
      <w:r>
        <w:rPr>
          <w:rStyle w:val="CharStyle19"/>
        </w:rPr>
        <w:t>právnická osoba, ve které má větší než 50% majetkovou účast subjekt, který má větší než 50% majetkovou účast zároveň</w:t>
      </w:r>
    </w:p>
    <w:p>
      <w:pPr>
        <w:pStyle w:val="Style17"/>
        <w:widowControl w:val="0"/>
        <w:keepNext w:val="0"/>
        <w:keepLines w:val="0"/>
        <w:shd w:val="clear" w:color="auto" w:fill="auto"/>
        <w:bidi w:val="0"/>
        <w:jc w:val="left"/>
        <w:spacing w:before="0" w:after="180"/>
        <w:ind w:left="240" w:right="0" w:firstLine="0"/>
      </w:pPr>
      <w:r>
        <w:rPr>
          <w:rStyle w:val="CharStyle19"/>
        </w:rPr>
        <w:t>v pojištěném.</w:t>
      </w:r>
    </w:p>
    <w:p>
      <w:pPr>
        <w:pStyle w:val="Style17"/>
        <w:numPr>
          <w:ilvl w:val="0"/>
          <w:numId w:val="41"/>
        </w:numPr>
        <w:tabs>
          <w:tab w:leader="none" w:pos="265" w:val="left"/>
        </w:tabs>
        <w:widowControl w:val="0"/>
        <w:keepNext w:val="0"/>
        <w:keepLines w:val="0"/>
        <w:shd w:val="clear" w:color="auto" w:fill="auto"/>
        <w:bidi w:val="0"/>
        <w:jc w:val="left"/>
        <w:spacing w:before="0" w:after="180"/>
        <w:ind w:left="0" w:right="0" w:firstLine="0"/>
      </w:pPr>
      <w:r>
        <w:rPr>
          <w:rStyle w:val="CharStyle25"/>
        </w:rPr>
        <w:t xml:space="preserve">Profesionální sportovní činností </w:t>
      </w:r>
      <w:r>
        <w:rPr>
          <w:rStyle w:val="CharStyle19"/>
        </w:rPr>
        <w:t>se rozumí sportovní činnost, kterou sportovci vykonávají za úplatu, jakož i příprava k této činnosti.</w:t>
      </w:r>
    </w:p>
    <w:p>
      <w:pPr>
        <w:pStyle w:val="Style17"/>
        <w:numPr>
          <w:ilvl w:val="0"/>
          <w:numId w:val="41"/>
        </w:numPr>
        <w:tabs>
          <w:tab w:leader="none" w:pos="274" w:val="left"/>
        </w:tabs>
        <w:widowControl w:val="0"/>
        <w:keepNext w:val="0"/>
        <w:keepLines w:val="0"/>
        <w:shd w:val="clear" w:color="auto" w:fill="auto"/>
        <w:bidi w:val="0"/>
        <w:jc w:val="left"/>
        <w:spacing w:before="0" w:after="180"/>
        <w:ind w:left="0" w:right="0" w:firstLine="0"/>
      </w:pPr>
      <w:r>
        <w:rPr>
          <w:rStyle w:val="CharStyle25"/>
        </w:rPr>
        <w:t xml:space="preserve">Předáním vykonané práce </w:t>
      </w:r>
      <w:r>
        <w:rPr>
          <w:rStyle w:val="CharStyle19"/>
        </w:rPr>
        <w:t>je její předání objednateli nebo jiné oprávněné osobě po jejím provedení.</w:t>
      </w:r>
    </w:p>
    <w:p>
      <w:pPr>
        <w:pStyle w:val="Style17"/>
        <w:numPr>
          <w:ilvl w:val="0"/>
          <w:numId w:val="41"/>
        </w:numPr>
        <w:tabs>
          <w:tab w:leader="none" w:pos="270" w:val="left"/>
        </w:tabs>
        <w:widowControl w:val="0"/>
        <w:keepNext w:val="0"/>
        <w:keepLines w:val="0"/>
        <w:shd w:val="clear" w:color="auto" w:fill="auto"/>
        <w:bidi w:val="0"/>
        <w:jc w:val="left"/>
        <w:spacing w:before="0" w:after="180"/>
        <w:ind w:left="0" w:right="0" w:firstLine="0"/>
      </w:pPr>
      <w:r>
        <w:rPr>
          <w:rStyle w:val="CharStyle25"/>
        </w:rPr>
        <w:t xml:space="preserve">Sesedáním půdy </w:t>
      </w:r>
      <w:r>
        <w:rPr>
          <w:rStyle w:val="CharStyle19"/>
        </w:rPr>
        <w:t>se rozumí klesání zemského povrchu směrem do středu země v důsledku působení přírodních sil nebo lidské činnosti.</w:t>
      </w:r>
    </w:p>
    <w:p>
      <w:pPr>
        <w:pStyle w:val="Style17"/>
        <w:numPr>
          <w:ilvl w:val="0"/>
          <w:numId w:val="41"/>
        </w:numPr>
        <w:tabs>
          <w:tab w:leader="none" w:pos="366" w:val="left"/>
        </w:tabs>
        <w:widowControl w:val="0"/>
        <w:keepNext w:val="0"/>
        <w:keepLines w:val="0"/>
        <w:shd w:val="clear" w:color="auto" w:fill="auto"/>
        <w:bidi w:val="0"/>
        <w:jc w:val="left"/>
        <w:spacing w:before="0" w:after="180"/>
        <w:ind w:left="0" w:right="0" w:firstLine="0"/>
      </w:pPr>
      <w:r>
        <w:rPr>
          <w:rStyle w:val="CharStyle25"/>
        </w:rPr>
        <w:t xml:space="preserve">Sesouváním půdy </w:t>
      </w:r>
      <w:r>
        <w:rPr>
          <w:rStyle w:val="CharStyle19"/>
        </w:rPr>
        <w:t>se rozumí pohyb hornin z vyšších poloh svahu do nižších, ke kterému dochází působením zemské tíže nebo lidské činnosti při porušení podmínek rovnováhy svahu.</w:t>
      </w:r>
    </w:p>
    <w:p>
      <w:pPr>
        <w:pStyle w:val="Style17"/>
        <w:numPr>
          <w:ilvl w:val="0"/>
          <w:numId w:val="41"/>
        </w:numPr>
        <w:tabs>
          <w:tab w:leader="none" w:pos="366" w:val="left"/>
        </w:tabs>
        <w:widowControl w:val="0"/>
        <w:keepNext w:val="0"/>
        <w:keepLines w:val="0"/>
        <w:shd w:val="clear" w:color="auto" w:fill="auto"/>
        <w:bidi w:val="0"/>
        <w:jc w:val="left"/>
        <w:spacing w:before="0" w:after="180"/>
        <w:ind w:left="0" w:right="0" w:firstLine="0"/>
      </w:pPr>
      <w:r>
        <w:rPr>
          <w:rStyle w:val="CharStyle25"/>
        </w:rPr>
        <w:t xml:space="preserve">Společníkem </w:t>
      </w:r>
      <w:r>
        <w:rPr>
          <w:rStyle w:val="CharStyle19"/>
        </w:rPr>
        <w:t>se rozumí společník obchodní společnosti, který je zapsán v obchodním rejstříku.</w:t>
      </w:r>
    </w:p>
    <w:p>
      <w:pPr>
        <w:pStyle w:val="Style17"/>
        <w:numPr>
          <w:ilvl w:val="0"/>
          <w:numId w:val="41"/>
        </w:numPr>
        <w:tabs>
          <w:tab w:leader="none" w:pos="361" w:val="left"/>
        </w:tabs>
        <w:widowControl w:val="0"/>
        <w:keepNext w:val="0"/>
        <w:keepLines w:val="0"/>
        <w:shd w:val="clear" w:color="auto" w:fill="auto"/>
        <w:bidi w:val="0"/>
        <w:jc w:val="left"/>
        <w:spacing w:before="0" w:after="0"/>
        <w:ind w:left="0" w:right="0" w:firstLine="0"/>
        <w:sectPr>
          <w:pgSz w:w="11900" w:h="16840"/>
          <w:pgMar w:top="999" w:left="939" w:right="997" w:bottom="999" w:header="0" w:footer="3" w:gutter="0"/>
          <w:rtlGutter w:val="0"/>
          <w:cols w:num="2" w:space="339"/>
          <w:noEndnote/>
          <w:docGrid w:linePitch="360"/>
        </w:sectPr>
      </w:pPr>
      <w:r>
        <w:rPr>
          <w:rStyle w:val="CharStyle25"/>
        </w:rPr>
        <w:t xml:space="preserve">Uvedením na trh </w:t>
      </w:r>
      <w:r>
        <w:rPr>
          <w:rStyle w:val="CharStyle19"/>
        </w:rPr>
        <w:t>je okamžik, kdy je výrobek na trhu poprvé úplatně nebo bezúplatně předán nebo nabídnut k předání za účelem distribuce nebo používání nebo kdy jsou k němu poprvé převedena vlastnická práva.</w:t>
      </w:r>
    </w:p>
    <w:p>
      <w:pPr>
        <w:pStyle w:val="Style17"/>
        <w:numPr>
          <w:ilvl w:val="0"/>
          <w:numId w:val="41"/>
        </w:numPr>
        <w:tabs>
          <w:tab w:leader="none" w:pos="345" w:val="left"/>
        </w:tabs>
        <w:widowControl w:val="0"/>
        <w:keepNext w:val="0"/>
        <w:keepLines w:val="0"/>
        <w:shd w:val="clear" w:color="auto" w:fill="auto"/>
        <w:bidi w:val="0"/>
        <w:jc w:val="left"/>
        <w:spacing w:before="0" w:after="180"/>
        <w:ind w:left="0" w:right="0" w:firstLine="0"/>
      </w:pPr>
      <w:r>
        <w:rPr>
          <w:rStyle w:val="CharStyle25"/>
        </w:rPr>
        <w:t xml:space="preserve">Užíváním věci </w:t>
      </w:r>
      <w:r>
        <w:rPr>
          <w:rStyle w:val="CharStyle19"/>
        </w:rPr>
        <w:t>se rozumí stav, kdy pojištěný má věc ve své dispozici a využívá její užitné vlastnosti.</w:t>
      </w:r>
    </w:p>
    <w:p>
      <w:pPr>
        <w:pStyle w:val="Style17"/>
        <w:numPr>
          <w:ilvl w:val="0"/>
          <w:numId w:val="41"/>
        </w:numPr>
        <w:tabs>
          <w:tab w:leader="none" w:pos="349" w:val="left"/>
        </w:tabs>
        <w:widowControl w:val="0"/>
        <w:keepNext w:val="0"/>
        <w:keepLines w:val="0"/>
        <w:shd w:val="clear" w:color="auto" w:fill="auto"/>
        <w:bidi w:val="0"/>
        <w:jc w:val="left"/>
        <w:spacing w:before="0" w:after="0"/>
        <w:ind w:left="0" w:right="0" w:firstLine="0"/>
      </w:pPr>
      <w:r>
        <w:rPr>
          <w:rStyle w:val="CharStyle25"/>
        </w:rPr>
        <w:t xml:space="preserve">Vadou výrobku </w:t>
      </w:r>
      <w:r>
        <w:rPr>
          <w:rStyle w:val="CharStyle19"/>
        </w:rPr>
        <w:t>je stav, kdy výrobek z hlediska bezpečnosti jeho užití nezaručuje vlastnosti, které lze od něj oprávněně očekávat, zejména s ohledem na:</w:t>
      </w:r>
    </w:p>
    <w:p>
      <w:pPr>
        <w:pStyle w:val="Style17"/>
        <w:numPr>
          <w:ilvl w:val="0"/>
          <w:numId w:val="45"/>
        </w:numPr>
        <w:tabs>
          <w:tab w:leader="none" w:pos="258" w:val="left"/>
        </w:tabs>
        <w:widowControl w:val="0"/>
        <w:keepNext w:val="0"/>
        <w:keepLines w:val="0"/>
        <w:shd w:val="clear" w:color="auto" w:fill="auto"/>
        <w:bidi w:val="0"/>
        <w:jc w:val="both"/>
        <w:spacing w:before="0" w:after="0"/>
        <w:ind w:left="0" w:right="0" w:firstLine="0"/>
      </w:pPr>
      <w:r>
        <w:rPr>
          <w:rStyle w:val="CharStyle19"/>
        </w:rPr>
        <w:t>prezentaci výrobku včetně poskytnutých informací nebo</w:t>
      </w:r>
    </w:p>
    <w:p>
      <w:pPr>
        <w:pStyle w:val="Style17"/>
        <w:numPr>
          <w:ilvl w:val="0"/>
          <w:numId w:val="45"/>
        </w:numPr>
        <w:tabs>
          <w:tab w:leader="none" w:pos="258" w:val="left"/>
        </w:tabs>
        <w:widowControl w:val="0"/>
        <w:keepNext w:val="0"/>
        <w:keepLines w:val="0"/>
        <w:shd w:val="clear" w:color="auto" w:fill="auto"/>
        <w:bidi w:val="0"/>
        <w:jc w:val="both"/>
        <w:spacing w:before="0" w:after="0"/>
        <w:ind w:left="0" w:right="0" w:firstLine="0"/>
      </w:pPr>
      <w:r>
        <w:rPr>
          <w:rStyle w:val="CharStyle19"/>
        </w:rPr>
        <w:t>předpokládaný účel, ke kterému má výrobek sloužit, nebo</w:t>
      </w:r>
    </w:p>
    <w:p>
      <w:pPr>
        <w:pStyle w:val="Style17"/>
        <w:numPr>
          <w:ilvl w:val="0"/>
          <w:numId w:val="45"/>
        </w:numPr>
        <w:tabs>
          <w:tab w:leader="none" w:pos="258" w:val="left"/>
        </w:tabs>
        <w:widowControl w:val="0"/>
        <w:keepNext w:val="0"/>
        <w:keepLines w:val="0"/>
        <w:shd w:val="clear" w:color="auto" w:fill="auto"/>
        <w:bidi w:val="0"/>
        <w:jc w:val="both"/>
        <w:spacing w:before="0" w:after="180"/>
        <w:ind w:left="0" w:right="0" w:firstLine="0"/>
      </w:pPr>
      <w:r>
        <w:rPr>
          <w:rStyle w:val="CharStyle19"/>
        </w:rPr>
        <w:t>dobu, kdy byl výrobek uveden na trh.</w:t>
      </w:r>
    </w:p>
    <w:p>
      <w:pPr>
        <w:pStyle w:val="Style17"/>
        <w:numPr>
          <w:ilvl w:val="0"/>
          <w:numId w:val="41"/>
        </w:numPr>
        <w:tabs>
          <w:tab w:leader="none" w:pos="354" w:val="left"/>
        </w:tabs>
        <w:widowControl w:val="0"/>
        <w:keepNext w:val="0"/>
        <w:keepLines w:val="0"/>
        <w:shd w:val="clear" w:color="auto" w:fill="auto"/>
        <w:bidi w:val="0"/>
        <w:jc w:val="left"/>
        <w:spacing w:before="0" w:after="0"/>
        <w:ind w:left="0" w:right="0" w:firstLine="0"/>
      </w:pPr>
      <w:r>
        <w:rPr>
          <w:rStyle w:val="CharStyle25"/>
        </w:rPr>
        <w:t xml:space="preserve">Výrobkem </w:t>
      </w:r>
      <w:r>
        <w:rPr>
          <w:rStyle w:val="CharStyle19"/>
        </w:rPr>
        <w:t>se rozumí jakákoli movitá věc, která byla vyrobena, vytěžena nebo jinak získána bez ohledu na stupeň jejího zpracování (včetně obalu a návodu k použití) a je určena k uvedení na trh; a to</w:t>
      </w:r>
    </w:p>
    <w:p>
      <w:pPr>
        <w:pStyle w:val="Style17"/>
        <w:widowControl w:val="0"/>
        <w:keepNext w:val="0"/>
        <w:keepLines w:val="0"/>
        <w:shd w:val="clear" w:color="auto" w:fill="auto"/>
        <w:bidi w:val="0"/>
        <w:jc w:val="left"/>
        <w:spacing w:before="0" w:after="180"/>
        <w:ind w:left="0" w:right="0" w:firstLine="0"/>
      </w:pPr>
      <w:r>
        <w:rPr>
          <w:rStyle w:val="CharStyle19"/>
        </w:rPr>
        <w:t>i tehdy, je-li součástí nebo příslušenstvím jiné movité nebo nemovité věci. Za výrobek se považuje např. i elektřina.</w:t>
      </w:r>
    </w:p>
    <w:p>
      <w:pPr>
        <w:pStyle w:val="Style17"/>
        <w:numPr>
          <w:ilvl w:val="0"/>
          <w:numId w:val="41"/>
        </w:numPr>
        <w:tabs>
          <w:tab w:leader="none" w:pos="349" w:val="left"/>
        </w:tabs>
        <w:widowControl w:val="0"/>
        <w:keepNext w:val="0"/>
        <w:keepLines w:val="0"/>
        <w:shd w:val="clear" w:color="auto" w:fill="auto"/>
        <w:bidi w:val="0"/>
        <w:jc w:val="left"/>
        <w:spacing w:before="0" w:after="0"/>
        <w:ind w:left="0" w:right="0" w:firstLine="0"/>
      </w:pPr>
      <w:r>
        <w:rPr>
          <w:rStyle w:val="CharStyle25"/>
        </w:rPr>
        <w:t xml:space="preserve">Znečištěním životního prostředí </w:t>
      </w:r>
      <w:r>
        <w:rPr>
          <w:rStyle w:val="CharStyle19"/>
        </w:rPr>
        <w:t>se rozumí poškození životního prostředí či jeho složek (např. kontaminace půdy, hornin, ovzduší, povrchových a podzemních vod, živých organismů - flóry a fauny).</w:t>
      </w:r>
    </w:p>
    <w:p>
      <w:pPr>
        <w:pStyle w:val="Style17"/>
        <w:widowControl w:val="0"/>
        <w:keepNext w:val="0"/>
        <w:keepLines w:val="0"/>
        <w:shd w:val="clear" w:color="auto" w:fill="auto"/>
        <w:bidi w:val="0"/>
        <w:jc w:val="both"/>
        <w:spacing w:before="0" w:after="0" w:line="140" w:lineRule="exact"/>
        <w:ind w:left="0" w:right="0" w:firstLine="0"/>
      </w:pPr>
      <w:r>
        <w:rPr>
          <w:rStyle w:val="CharStyle19"/>
        </w:rPr>
        <w:t>Za škodu způsobenou znečištěním životního prostředí se považuje</w:t>
      </w:r>
    </w:p>
    <w:p>
      <w:pPr>
        <w:pStyle w:val="Style17"/>
        <w:widowControl w:val="0"/>
        <w:keepNext w:val="0"/>
        <w:keepLines w:val="0"/>
        <w:shd w:val="clear" w:color="auto" w:fill="auto"/>
        <w:bidi w:val="0"/>
        <w:jc w:val="left"/>
        <w:spacing w:before="0" w:after="180"/>
        <w:ind w:left="0" w:right="0" w:firstLine="0"/>
      </w:pPr>
      <w:r>
        <w:rPr>
          <w:rStyle w:val="CharStyle19"/>
        </w:rPr>
        <w:t xml:space="preserve">i následná škoda, která vznikla v příčinné souvislosti se znečištěním životního prostředí (např. úhyn ryb a zvířat v důsledku kontaminace vod, zničení úrody plodin v důsledku kontaminace půdy, ušlý zisk). </w:t>
      </w:r>
      <w:r>
        <w:rPr>
          <w:rStyle w:val="CharStyle25"/>
        </w:rPr>
        <w:t xml:space="preserve">Kontaminací </w:t>
      </w:r>
      <w:r>
        <w:rPr>
          <w:rStyle w:val="CharStyle19"/>
        </w:rPr>
        <w:t>se rozumí zamoření, znečištění či jiné zhoršení jakosti, bonity nebo kvality jednotlivých složek životního prostředí.</w:t>
      </w:r>
    </w:p>
    <w:p>
      <w:pPr>
        <w:pStyle w:val="Style17"/>
        <w:numPr>
          <w:ilvl w:val="0"/>
          <w:numId w:val="41"/>
        </w:numPr>
        <w:tabs>
          <w:tab w:leader="none" w:pos="354" w:val="left"/>
        </w:tabs>
        <w:widowControl w:val="0"/>
        <w:keepNext w:val="0"/>
        <w:keepLines w:val="0"/>
        <w:shd w:val="clear" w:color="auto" w:fill="auto"/>
        <w:bidi w:val="0"/>
        <w:jc w:val="left"/>
        <w:spacing w:before="0" w:after="180"/>
        <w:ind w:left="0" w:right="0" w:firstLine="0"/>
      </w:pPr>
      <w:r>
        <w:rPr>
          <w:rStyle w:val="CharStyle25"/>
        </w:rPr>
        <w:t xml:space="preserve">Zničením věci </w:t>
      </w:r>
      <w:r>
        <w:rPr>
          <w:rStyle w:val="CharStyle19"/>
        </w:rPr>
        <w:t>se rozumí změna stavu věci, kterou objektivně není možné odstranit ekonomicky účelnou opravou a pro kterou věc již nelze dále používat k původnímu účelu.</w:t>
      </w:r>
    </w:p>
    <w:p>
      <w:pPr>
        <w:pStyle w:val="Style17"/>
        <w:numPr>
          <w:ilvl w:val="0"/>
          <w:numId w:val="41"/>
        </w:numPr>
        <w:tabs>
          <w:tab w:leader="none" w:pos="359" w:val="left"/>
        </w:tabs>
        <w:widowControl w:val="0"/>
        <w:keepNext w:val="0"/>
        <w:keepLines w:val="0"/>
        <w:shd w:val="clear" w:color="auto" w:fill="auto"/>
        <w:bidi w:val="0"/>
        <w:jc w:val="left"/>
        <w:spacing w:before="0" w:after="260"/>
        <w:ind w:left="0" w:right="0" w:firstLine="0"/>
      </w:pPr>
      <w:r>
        <w:rPr>
          <w:rStyle w:val="CharStyle25"/>
        </w:rPr>
        <w:t xml:space="preserve">Ztrátou věci </w:t>
      </w:r>
      <w:r>
        <w:rPr>
          <w:rStyle w:val="CharStyle19"/>
        </w:rPr>
        <w:t>se rozumí stav, kdy poškozený ztratil nezávisle na své vůli možnost s věcí disponovat.</w:t>
      </w:r>
    </w:p>
    <w:p>
      <w:pPr>
        <w:pStyle w:val="Style13"/>
        <w:widowControl w:val="0"/>
        <w:keepNext/>
        <w:keepLines/>
        <w:shd w:val="clear" w:color="auto" w:fill="auto"/>
        <w:bidi w:val="0"/>
        <w:jc w:val="both"/>
        <w:spacing w:before="0" w:after="83" w:line="140" w:lineRule="exact"/>
        <w:ind w:left="0" w:right="0" w:firstLine="0"/>
      </w:pPr>
      <w:bookmarkStart w:id="9" w:name="bookmark9"/>
      <w:r>
        <w:rPr>
          <w:rStyle w:val="CharStyle23"/>
          <w:b/>
          <w:bCs/>
        </w:rPr>
        <w:t>Článek IX.</w:t>
      </w:r>
      <w:bookmarkEnd w:id="9"/>
    </w:p>
    <w:p>
      <w:pPr>
        <w:pStyle w:val="Style15"/>
        <w:widowControl w:val="0"/>
        <w:keepNext w:val="0"/>
        <w:keepLines w:val="0"/>
        <w:shd w:val="clear" w:color="auto" w:fill="auto"/>
        <w:bidi w:val="0"/>
        <w:jc w:val="both"/>
        <w:spacing w:before="0" w:after="214" w:line="140" w:lineRule="exact"/>
        <w:ind w:left="0" w:right="0" w:firstLine="0"/>
      </w:pPr>
      <w:r>
        <w:rPr>
          <w:rStyle w:val="CharStyle24"/>
          <w:b/>
          <w:bCs/>
        </w:rPr>
        <w:t>Závěrečné ustanovení</w:t>
      </w:r>
    </w:p>
    <w:p>
      <w:pPr>
        <w:pStyle w:val="Style17"/>
        <w:widowControl w:val="0"/>
        <w:keepNext w:val="0"/>
        <w:keepLines w:val="0"/>
        <w:shd w:val="clear" w:color="auto" w:fill="auto"/>
        <w:bidi w:val="0"/>
        <w:jc w:val="left"/>
        <w:spacing w:before="0" w:after="5992"/>
        <w:ind w:left="0" w:right="1000" w:firstLine="0"/>
      </w:pPr>
      <w:r>
        <w:rPr>
          <w:rStyle w:val="CharStyle19"/>
        </w:rPr>
        <w:t>Tyto zvláštní pojistné podmínky nabývají účinnosti dnem 1. ledna 2005.</w:t>
      </w:r>
    </w:p>
    <w:p>
      <w:pPr>
        <w:pStyle w:val="Style27"/>
        <w:widowControl w:val="0"/>
        <w:keepNext w:val="0"/>
        <w:keepLines w:val="0"/>
        <w:shd w:val="clear" w:color="auto" w:fill="auto"/>
        <w:bidi w:val="0"/>
        <w:spacing w:before="0" w:after="0" w:line="100" w:lineRule="exact"/>
        <w:ind w:left="0" w:right="0" w:firstLine="0"/>
      </w:pPr>
      <w:r>
        <w:pict>
          <v:shape id="_x0000_s1028" type="#_x0000_t202" style="position:absolute;margin-left:479.5pt;margin-top:-2.15pt;width:21.6pt;height:8.9pt;z-index:-125829376;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line="100" w:lineRule="exact"/>
                    <w:ind w:left="0" w:right="0" w:firstLine="0"/>
                  </w:pPr>
                  <w:r>
                    <w:rPr>
                      <w:rStyle w:val="CharStyle29"/>
                    </w:rPr>
                    <w:t>9/2009</w:t>
                  </w:r>
                </w:p>
              </w:txbxContent>
            </v:textbox>
            <w10:wrap type="square" side="left" anchorx="margin"/>
          </v:shape>
        </w:pict>
      </w:r>
      <w:r>
        <w:rPr>
          <w:rStyle w:val="CharStyle31"/>
        </w:rPr>
        <w:t>K-Vp-509-A</w:t>
      </w:r>
    </w:p>
    <w:sectPr>
      <w:pgSz w:w="11900" w:h="16840"/>
      <w:pgMar w:top="1008" w:left="939" w:right="6133" w:bottom="52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8.6pt;margin-top:51.9pt;width:79.7pt;height:22.1pt;z-index:-18874406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Článek VI.</w:t>
                </w:r>
              </w:p>
              <w:p>
                <w:pPr>
                  <w:pStyle w:val="Style20"/>
                  <w:widowControl w:val="0"/>
                  <w:keepNext w:val="0"/>
                  <w:keepLines w:val="0"/>
                  <w:shd w:val="clear" w:color="auto" w:fill="auto"/>
                  <w:bidi w:val="0"/>
                  <w:jc w:val="left"/>
                  <w:spacing w:before="0" w:after="0" w:line="240" w:lineRule="auto"/>
                  <w:ind w:left="0" w:right="0" w:firstLine="0"/>
                </w:pPr>
                <w:r>
                  <w:rPr>
                    <w:rStyle w:val="CharStyle22"/>
                  </w:rPr>
                  <w:t>Povinnosti pojištěného</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8.4pt;margin-top:51.9pt;width:61.9pt;height:22.1pt;z-index:-18874406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Článek IV.</w:t>
                </w:r>
              </w:p>
              <w:p>
                <w:pPr>
                  <w:pStyle w:val="Style20"/>
                  <w:widowControl w:val="0"/>
                  <w:keepNext w:val="0"/>
                  <w:keepLines w:val="0"/>
                  <w:shd w:val="clear" w:color="auto" w:fill="auto"/>
                  <w:bidi w:val="0"/>
                  <w:jc w:val="left"/>
                  <w:spacing w:before="0" w:after="0" w:line="240" w:lineRule="auto"/>
                  <w:ind w:left="0" w:right="0" w:firstLine="0"/>
                </w:pPr>
                <w:r>
                  <w:rPr>
                    <w:rStyle w:val="CharStyle22"/>
                  </w:rPr>
                  <w:t>Výluky z pojištění</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4">
    <w:multiLevelType w:val="multilevel"/>
    <w:lvl w:ilvl="0">
      <w:start w:val="2"/>
      <w:numFmt w:val="lowerRoman"/>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3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34">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4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4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44">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34"/>
      <w:szCs w:val="34"/>
      <w:rFonts w:ascii="Segoe UI" w:eastAsia="Segoe UI" w:hAnsi="Segoe UI" w:cs="Segoe UI"/>
      <w:spacing w:val="-10"/>
    </w:rPr>
  </w:style>
  <w:style w:type="character" w:customStyle="1" w:styleId="CharStyle5">
    <w:name w:val="Základní text (3)"/>
    <w:basedOn w:val="CharStyle4"/>
    <w:rPr>
      <w:lang w:val="cs-CZ" w:eastAsia="cs-CZ" w:bidi="cs-CZ"/>
      <w:u w:val="single"/>
      <w:w w:val="100"/>
      <w:color w:val="000000"/>
      <w:position w:val="0"/>
    </w:rPr>
  </w:style>
  <w:style w:type="character" w:customStyle="1" w:styleId="CharStyle7">
    <w:name w:val="Základní text (4)_"/>
    <w:basedOn w:val="DefaultParagraphFont"/>
    <w:link w:val="Style6"/>
    <w:rPr>
      <w:lang w:val="en-US" w:eastAsia="en-US" w:bidi="en-US"/>
      <w:b/>
      <w:bCs/>
      <w:i w:val="0"/>
      <w:iCs w:val="0"/>
      <w:u w:val="none"/>
      <w:strike w:val="0"/>
      <w:smallCaps w:val="0"/>
      <w:sz w:val="17"/>
      <w:szCs w:val="17"/>
      <w:rFonts w:ascii="Segoe UI" w:eastAsia="Segoe UI" w:hAnsi="Segoe UI" w:cs="Segoe UI"/>
    </w:rPr>
  </w:style>
  <w:style w:type="character" w:customStyle="1" w:styleId="CharStyle8">
    <w:name w:val="Základní text (4) + Malá písmena"/>
    <w:basedOn w:val="CharStyle7"/>
    <w:rPr>
      <w:smallCaps/>
      <w:w w:val="100"/>
      <w:spacing w:val="0"/>
      <w:color w:val="000000"/>
      <w:position w:val="0"/>
    </w:rPr>
  </w:style>
  <w:style w:type="character" w:customStyle="1" w:styleId="CharStyle9">
    <w:name w:val="Základní text (4) + Trebuchet MS,12 pt,Řádkování 0 pt"/>
    <w:basedOn w:val="CharStyle7"/>
    <w:rPr>
      <w:sz w:val="24"/>
      <w:szCs w:val="24"/>
      <w:rFonts w:ascii="Trebuchet MS" w:eastAsia="Trebuchet MS" w:hAnsi="Trebuchet MS" w:cs="Trebuchet MS"/>
      <w:w w:val="100"/>
      <w:spacing w:val="-10"/>
      <w:color w:val="000000"/>
      <w:position w:val="0"/>
    </w:rPr>
  </w:style>
  <w:style w:type="character" w:customStyle="1" w:styleId="CharStyle11">
    <w:name w:val="Nadpis #1_"/>
    <w:basedOn w:val="DefaultParagraphFont"/>
    <w:link w:val="Style10"/>
    <w:rPr>
      <w:b/>
      <w:bCs/>
      <w:i w:val="0"/>
      <w:iCs w:val="0"/>
      <w:u w:val="none"/>
      <w:strike w:val="0"/>
      <w:smallCaps w:val="0"/>
      <w:sz w:val="50"/>
      <w:szCs w:val="50"/>
      <w:rFonts w:ascii="Trebuchet MS" w:eastAsia="Trebuchet MS" w:hAnsi="Trebuchet MS" w:cs="Trebuchet MS"/>
    </w:rPr>
  </w:style>
  <w:style w:type="character" w:customStyle="1" w:styleId="CharStyle12">
    <w:name w:val="Nadpis #1"/>
    <w:basedOn w:val="CharStyle11"/>
    <w:rPr>
      <w:lang w:val="cs-CZ" w:eastAsia="cs-CZ" w:bidi="cs-CZ"/>
      <w:w w:val="100"/>
      <w:spacing w:val="0"/>
      <w:color w:val="000000"/>
      <w:position w:val="0"/>
    </w:rPr>
  </w:style>
  <w:style w:type="character" w:customStyle="1" w:styleId="CharStyle14">
    <w:name w:val="Nadpis #2_"/>
    <w:basedOn w:val="DefaultParagraphFont"/>
    <w:link w:val="Style13"/>
    <w:rPr>
      <w:b/>
      <w:bCs/>
      <w:i w:val="0"/>
      <w:iCs w:val="0"/>
      <w:u w:val="none"/>
      <w:strike w:val="0"/>
      <w:smallCaps w:val="0"/>
      <w:sz w:val="14"/>
      <w:szCs w:val="14"/>
      <w:rFonts w:ascii="Trebuchet MS" w:eastAsia="Trebuchet MS" w:hAnsi="Trebuchet MS" w:cs="Trebuchet MS"/>
    </w:rPr>
  </w:style>
  <w:style w:type="character" w:customStyle="1" w:styleId="CharStyle16">
    <w:name w:val="Základní text (5)_"/>
    <w:basedOn w:val="DefaultParagraphFont"/>
    <w:link w:val="Style15"/>
    <w:rPr>
      <w:b/>
      <w:bCs/>
      <w:i w:val="0"/>
      <w:iCs w:val="0"/>
      <w:u w:val="none"/>
      <w:strike w:val="0"/>
      <w:smallCaps w:val="0"/>
      <w:sz w:val="14"/>
      <w:szCs w:val="14"/>
      <w:rFonts w:ascii="Trebuchet MS" w:eastAsia="Trebuchet MS" w:hAnsi="Trebuchet MS" w:cs="Trebuchet MS"/>
    </w:rPr>
  </w:style>
  <w:style w:type="character" w:customStyle="1" w:styleId="CharStyle18">
    <w:name w:val="Základní text (2)_"/>
    <w:basedOn w:val="DefaultParagraphFont"/>
    <w:link w:val="Style17"/>
    <w:rPr>
      <w:b w:val="0"/>
      <w:bCs w:val="0"/>
      <w:i w:val="0"/>
      <w:iCs w:val="0"/>
      <w:u w:val="none"/>
      <w:strike w:val="0"/>
      <w:smallCaps w:val="0"/>
      <w:sz w:val="14"/>
      <w:szCs w:val="14"/>
      <w:rFonts w:ascii="Trebuchet MS" w:eastAsia="Trebuchet MS" w:hAnsi="Trebuchet MS" w:cs="Trebuchet MS"/>
    </w:rPr>
  </w:style>
  <w:style w:type="character" w:customStyle="1" w:styleId="CharStyle19">
    <w:name w:val="Základní text (2)"/>
    <w:basedOn w:val="CharStyle18"/>
    <w:rPr>
      <w:lang w:val="cs-CZ" w:eastAsia="cs-CZ" w:bidi="cs-CZ"/>
      <w:w w:val="100"/>
      <w:spacing w:val="0"/>
      <w:color w:val="000000"/>
      <w:position w:val="0"/>
    </w:rPr>
  </w:style>
  <w:style w:type="character" w:customStyle="1" w:styleId="CharStyle21">
    <w:name w:val="Záhlaví nebo Zápatí_"/>
    <w:basedOn w:val="DefaultParagraphFont"/>
    <w:link w:val="Style20"/>
    <w:rPr>
      <w:b w:val="0"/>
      <w:bCs w:val="0"/>
      <w:i w:val="0"/>
      <w:iCs w:val="0"/>
      <w:u w:val="none"/>
      <w:strike w:val="0"/>
      <w:smallCaps w:val="0"/>
      <w:sz w:val="15"/>
      <w:szCs w:val="15"/>
      <w:rFonts w:ascii="Georgia" w:eastAsia="Georgia" w:hAnsi="Georgia" w:cs="Georgia"/>
    </w:rPr>
  </w:style>
  <w:style w:type="character" w:customStyle="1" w:styleId="CharStyle22">
    <w:name w:val="Záhlaví nebo Zápatí"/>
    <w:basedOn w:val="CharStyle21"/>
    <w:rPr>
      <w:lang w:val="cs-CZ" w:eastAsia="cs-CZ" w:bidi="cs-CZ"/>
      <w:w w:val="100"/>
      <w:spacing w:val="0"/>
      <w:color w:val="000000"/>
      <w:position w:val="0"/>
    </w:rPr>
  </w:style>
  <w:style w:type="character" w:customStyle="1" w:styleId="CharStyle23">
    <w:name w:val="Nadpis #2"/>
    <w:basedOn w:val="CharStyle14"/>
    <w:rPr>
      <w:lang w:val="cs-CZ" w:eastAsia="cs-CZ" w:bidi="cs-CZ"/>
      <w:w w:val="100"/>
      <w:spacing w:val="0"/>
      <w:color w:val="000000"/>
      <w:position w:val="0"/>
    </w:rPr>
  </w:style>
  <w:style w:type="character" w:customStyle="1" w:styleId="CharStyle24">
    <w:name w:val="Základní text (5)"/>
    <w:basedOn w:val="CharStyle16"/>
    <w:rPr>
      <w:lang w:val="cs-CZ" w:eastAsia="cs-CZ" w:bidi="cs-CZ"/>
      <w:w w:val="100"/>
      <w:spacing w:val="0"/>
      <w:color w:val="000000"/>
      <w:position w:val="0"/>
    </w:rPr>
  </w:style>
  <w:style w:type="character" w:customStyle="1" w:styleId="CharStyle25">
    <w:name w:val="Základní text (2) + Tučné"/>
    <w:basedOn w:val="CharStyle18"/>
    <w:rPr>
      <w:lang w:val="cs-CZ" w:eastAsia="cs-CZ" w:bidi="cs-CZ"/>
      <w:b/>
      <w:bCs/>
      <w:sz w:val="14"/>
      <w:szCs w:val="14"/>
      <w:w w:val="100"/>
      <w:spacing w:val="0"/>
      <w:color w:val="000000"/>
      <w:position w:val="0"/>
    </w:rPr>
  </w:style>
  <w:style w:type="character" w:customStyle="1" w:styleId="CharStyle26">
    <w:name w:val="Nadpis #2 + Ne tučné"/>
    <w:basedOn w:val="CharStyle14"/>
    <w:rPr>
      <w:lang w:val="cs-CZ" w:eastAsia="cs-CZ" w:bidi="cs-CZ"/>
      <w:b/>
      <w:bCs/>
      <w:sz w:val="14"/>
      <w:szCs w:val="14"/>
      <w:w w:val="100"/>
      <w:spacing w:val="0"/>
      <w:color w:val="000000"/>
      <w:position w:val="0"/>
    </w:rPr>
  </w:style>
  <w:style w:type="character" w:customStyle="1" w:styleId="CharStyle28">
    <w:name w:val="Základní text (6) Exact"/>
    <w:basedOn w:val="DefaultParagraphFont"/>
    <w:rPr>
      <w:b w:val="0"/>
      <w:bCs w:val="0"/>
      <w:i w:val="0"/>
      <w:iCs w:val="0"/>
      <w:u w:val="none"/>
      <w:strike w:val="0"/>
      <w:smallCaps w:val="0"/>
      <w:sz w:val="10"/>
      <w:szCs w:val="10"/>
      <w:rFonts w:ascii="Trebuchet MS" w:eastAsia="Trebuchet MS" w:hAnsi="Trebuchet MS" w:cs="Trebuchet MS"/>
    </w:rPr>
  </w:style>
  <w:style w:type="character" w:customStyle="1" w:styleId="CharStyle29">
    <w:name w:val="Základní text (6) Exact"/>
    <w:basedOn w:val="CharStyle30"/>
  </w:style>
  <w:style w:type="character" w:customStyle="1" w:styleId="CharStyle30">
    <w:name w:val="Základní text (6)_"/>
    <w:basedOn w:val="DefaultParagraphFont"/>
    <w:link w:val="Style27"/>
    <w:rPr>
      <w:b w:val="0"/>
      <w:bCs w:val="0"/>
      <w:i w:val="0"/>
      <w:iCs w:val="0"/>
      <w:u w:val="none"/>
      <w:strike w:val="0"/>
      <w:smallCaps w:val="0"/>
      <w:sz w:val="10"/>
      <w:szCs w:val="10"/>
      <w:rFonts w:ascii="Trebuchet MS" w:eastAsia="Trebuchet MS" w:hAnsi="Trebuchet MS" w:cs="Trebuchet MS"/>
    </w:rPr>
  </w:style>
  <w:style w:type="character" w:customStyle="1" w:styleId="CharStyle31">
    <w:name w:val="Základní text (6)"/>
    <w:basedOn w:val="CharStyle30"/>
    <w:rPr>
      <w:lang w:val="cs-CZ" w:eastAsia="cs-CZ" w:bidi="cs-CZ"/>
      <w:w w:val="100"/>
      <w:spacing w:val="0"/>
      <w:color w:val="000000"/>
      <w:position w:val="0"/>
    </w:rPr>
  </w:style>
  <w:style w:type="paragraph" w:customStyle="1" w:styleId="Style3">
    <w:name w:val="Základní text (3)"/>
    <w:basedOn w:val="Normal"/>
    <w:link w:val="CharStyle4"/>
    <w:pPr>
      <w:widowControl w:val="0"/>
      <w:shd w:val="clear" w:color="auto" w:fill="FFFFFF"/>
      <w:spacing w:line="0" w:lineRule="exact"/>
    </w:pPr>
    <w:rPr>
      <w:b/>
      <w:bCs/>
      <w:i w:val="0"/>
      <w:iCs w:val="0"/>
      <w:u w:val="none"/>
      <w:strike w:val="0"/>
      <w:smallCaps w:val="0"/>
      <w:sz w:val="34"/>
      <w:szCs w:val="34"/>
      <w:rFonts w:ascii="Segoe UI" w:eastAsia="Segoe UI" w:hAnsi="Segoe UI" w:cs="Segoe UI"/>
      <w:spacing w:val="-10"/>
    </w:rPr>
  </w:style>
  <w:style w:type="paragraph" w:customStyle="1" w:styleId="Style6">
    <w:name w:val="Základní text (4)"/>
    <w:basedOn w:val="Normal"/>
    <w:link w:val="CharStyle7"/>
    <w:pPr>
      <w:widowControl w:val="0"/>
      <w:shd w:val="clear" w:color="auto" w:fill="FFFFFF"/>
      <w:jc w:val="both"/>
      <w:spacing w:after="840" w:line="0" w:lineRule="exact"/>
    </w:pPr>
    <w:rPr>
      <w:lang w:val="en-US" w:eastAsia="en-US" w:bidi="en-US"/>
      <w:b/>
      <w:bCs/>
      <w:i w:val="0"/>
      <w:iCs w:val="0"/>
      <w:u w:val="none"/>
      <w:strike w:val="0"/>
      <w:smallCaps w:val="0"/>
      <w:sz w:val="17"/>
      <w:szCs w:val="17"/>
      <w:rFonts w:ascii="Segoe UI" w:eastAsia="Segoe UI" w:hAnsi="Segoe UI" w:cs="Segoe UI"/>
    </w:rPr>
  </w:style>
  <w:style w:type="paragraph" w:customStyle="1" w:styleId="Style10">
    <w:name w:val="Nadpis #1"/>
    <w:basedOn w:val="Normal"/>
    <w:link w:val="CharStyle11"/>
    <w:pPr>
      <w:widowControl w:val="0"/>
      <w:shd w:val="clear" w:color="auto" w:fill="FFFFFF"/>
      <w:outlineLvl w:val="0"/>
      <w:spacing w:before="840" w:after="180" w:line="0" w:lineRule="exact"/>
    </w:pPr>
    <w:rPr>
      <w:b/>
      <w:bCs/>
      <w:i w:val="0"/>
      <w:iCs w:val="0"/>
      <w:u w:val="none"/>
      <w:strike w:val="0"/>
      <w:smallCaps w:val="0"/>
      <w:sz w:val="50"/>
      <w:szCs w:val="50"/>
      <w:rFonts w:ascii="Trebuchet MS" w:eastAsia="Trebuchet MS" w:hAnsi="Trebuchet MS" w:cs="Trebuchet MS"/>
    </w:rPr>
  </w:style>
  <w:style w:type="paragraph" w:customStyle="1" w:styleId="Style13">
    <w:name w:val="Nadpis #2"/>
    <w:basedOn w:val="Normal"/>
    <w:link w:val="CharStyle14"/>
    <w:pPr>
      <w:widowControl w:val="0"/>
      <w:shd w:val="clear" w:color="auto" w:fill="FFFFFF"/>
      <w:outlineLvl w:val="1"/>
      <w:spacing w:after="60" w:line="0" w:lineRule="exact"/>
      <w:ind w:hanging="240"/>
    </w:pPr>
    <w:rPr>
      <w:b/>
      <w:bCs/>
      <w:i w:val="0"/>
      <w:iCs w:val="0"/>
      <w:u w:val="none"/>
      <w:strike w:val="0"/>
      <w:smallCaps w:val="0"/>
      <w:sz w:val="14"/>
      <w:szCs w:val="14"/>
      <w:rFonts w:ascii="Trebuchet MS" w:eastAsia="Trebuchet MS" w:hAnsi="Trebuchet MS" w:cs="Trebuchet MS"/>
    </w:rPr>
  </w:style>
  <w:style w:type="paragraph" w:customStyle="1" w:styleId="Style15">
    <w:name w:val="Základní text (5)"/>
    <w:basedOn w:val="Normal"/>
    <w:link w:val="CharStyle16"/>
    <w:pPr>
      <w:widowControl w:val="0"/>
      <w:shd w:val="clear" w:color="auto" w:fill="FFFFFF"/>
      <w:spacing w:before="60" w:after="300" w:line="0" w:lineRule="exact"/>
      <w:ind w:hanging="240"/>
    </w:pPr>
    <w:rPr>
      <w:b/>
      <w:bCs/>
      <w:i w:val="0"/>
      <w:iCs w:val="0"/>
      <w:u w:val="none"/>
      <w:strike w:val="0"/>
      <w:smallCaps w:val="0"/>
      <w:sz w:val="14"/>
      <w:szCs w:val="14"/>
      <w:rFonts w:ascii="Trebuchet MS" w:eastAsia="Trebuchet MS" w:hAnsi="Trebuchet MS" w:cs="Trebuchet MS"/>
    </w:rPr>
  </w:style>
  <w:style w:type="paragraph" w:customStyle="1" w:styleId="Style17">
    <w:name w:val="Základní text (2)"/>
    <w:basedOn w:val="Normal"/>
    <w:link w:val="CharStyle18"/>
    <w:pPr>
      <w:widowControl w:val="0"/>
      <w:shd w:val="clear" w:color="auto" w:fill="FFFFFF"/>
      <w:spacing w:before="300" w:line="240" w:lineRule="exact"/>
      <w:ind w:hanging="240"/>
    </w:pPr>
    <w:rPr>
      <w:b w:val="0"/>
      <w:bCs w:val="0"/>
      <w:i w:val="0"/>
      <w:iCs w:val="0"/>
      <w:u w:val="none"/>
      <w:strike w:val="0"/>
      <w:smallCaps w:val="0"/>
      <w:sz w:val="14"/>
      <w:szCs w:val="14"/>
      <w:rFonts w:ascii="Trebuchet MS" w:eastAsia="Trebuchet MS" w:hAnsi="Trebuchet MS" w:cs="Trebuchet MS"/>
    </w:rPr>
  </w:style>
  <w:style w:type="paragraph" w:customStyle="1" w:styleId="Style20">
    <w:name w:val="Záhlaví nebo Zápatí"/>
    <w:basedOn w:val="Normal"/>
    <w:link w:val="CharStyle21"/>
    <w:pPr>
      <w:widowControl w:val="0"/>
      <w:shd w:val="clear" w:color="auto" w:fill="FFFFFF"/>
      <w:spacing w:after="60" w:line="0" w:lineRule="exact"/>
    </w:pPr>
    <w:rPr>
      <w:b w:val="0"/>
      <w:bCs w:val="0"/>
      <w:i w:val="0"/>
      <w:iCs w:val="0"/>
      <w:u w:val="none"/>
      <w:strike w:val="0"/>
      <w:smallCaps w:val="0"/>
      <w:sz w:val="15"/>
      <w:szCs w:val="15"/>
      <w:rFonts w:ascii="Georgia" w:eastAsia="Georgia" w:hAnsi="Georgia" w:cs="Georgia"/>
    </w:rPr>
  </w:style>
  <w:style w:type="paragraph" w:customStyle="1" w:styleId="Style27">
    <w:name w:val="Základní text (6)"/>
    <w:basedOn w:val="Normal"/>
    <w:link w:val="CharStyle30"/>
    <w:pPr>
      <w:widowControl w:val="0"/>
      <w:shd w:val="clear" w:color="auto" w:fill="FFFFFF"/>
      <w:jc w:val="both"/>
      <w:spacing w:before="5880" w:line="0" w:lineRule="exact"/>
    </w:pPr>
    <w:rPr>
      <w:b w:val="0"/>
      <w:bCs w:val="0"/>
      <w:i w:val="0"/>
      <w:iCs w:val="0"/>
      <w:u w:val="none"/>
      <w:strike w:val="0"/>
      <w:smallCaps w:val="0"/>
      <w:sz w:val="10"/>
      <w:szCs w:val="10"/>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