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keepLines/>
        <w:shd w:val="clear" w:color="auto" w:fill="auto"/>
        <w:bidi w:val="0"/>
        <w:jc w:val="left"/>
        <w:spacing w:before="0" w:after="0" w:line="340" w:lineRule="exact"/>
        <w:ind w:left="0" w:right="0" w:firstLine="0"/>
      </w:pPr>
      <w:bookmarkStart w:id="0" w:name="bookmark0"/>
      <w:r>
        <w:rPr>
          <w:rStyle w:val="CharStyle5"/>
          <w:b/>
          <w:bCs/>
        </w:rPr>
        <w:t>Kooperativa</w:t>
      </w:r>
      <w:bookmarkEnd w:id="0"/>
    </w:p>
    <w:p>
      <w:pPr>
        <w:pStyle w:val="Style6"/>
        <w:tabs>
          <w:tab w:leader="none" w:pos="8914" w:val="left"/>
        </w:tabs>
        <w:widowControl w:val="0"/>
        <w:keepNext w:val="0"/>
        <w:keepLines w:val="0"/>
        <w:shd w:val="clear" w:color="auto" w:fill="auto"/>
        <w:bidi w:val="0"/>
        <w:spacing w:before="0" w:after="679" w:line="240" w:lineRule="exact"/>
        <w:ind w:left="0" w:right="0" w:firstLine="0"/>
      </w:pPr>
      <w:r>
        <w:rPr>
          <w:rStyle w:val="CharStyle8"/>
          <w:b/>
          <w:bCs/>
        </w:rPr>
        <w:t>Vienna Insurance Group</w:t>
        <w:tab/>
      </w:r>
      <w:r>
        <w:rPr>
          <w:rStyle w:val="CharStyle9"/>
          <w:b/>
          <w:bCs/>
        </w:rPr>
        <w:t>P-300/05</w:t>
      </w:r>
    </w:p>
    <w:p>
      <w:pPr>
        <w:pStyle w:val="Style10"/>
        <w:widowControl w:val="0"/>
        <w:keepNext/>
        <w:keepLines/>
        <w:shd w:val="clear" w:color="auto" w:fill="auto"/>
        <w:bidi w:val="0"/>
        <w:jc w:val="left"/>
        <w:spacing w:before="0" w:after="0"/>
        <w:ind w:left="0" w:right="4000" w:firstLine="0"/>
        <w:sectPr>
          <w:footnotePr>
            <w:pos w:val="pageBottom"/>
            <w:numFmt w:val="decimal"/>
            <w:numRestart w:val="continuous"/>
          </w:footnotePr>
          <w:pgSz w:w="11900" w:h="16840"/>
          <w:pgMar w:top="1344" w:left="929" w:right="939" w:bottom="1402" w:header="0" w:footer="3" w:gutter="0"/>
          <w:rtlGutter w:val="0"/>
          <w:cols w:space="720"/>
          <w:noEndnote/>
          <w:docGrid w:linePitch="360"/>
        </w:sectPr>
      </w:pPr>
      <w:bookmarkStart w:id="1" w:name="bookmark1"/>
      <w:r>
        <w:rPr>
          <w:rStyle w:val="CharStyle12"/>
          <w:b/>
          <w:bCs/>
        </w:rPr>
        <w:t>Zvláštní pojistné podmínky pro pojištění strojů</w:t>
      </w:r>
      <w:bookmarkEnd w:id="1"/>
    </w:p>
    <w:p>
      <w:pPr>
        <w:widowControl w:val="0"/>
        <w:spacing w:line="240" w:lineRule="exact"/>
        <w:rPr>
          <w:sz w:val="19"/>
          <w:szCs w:val="19"/>
        </w:rPr>
      </w:pPr>
    </w:p>
    <w:p>
      <w:pPr>
        <w:widowControl w:val="0"/>
        <w:spacing w:before="68" w:after="68" w:line="240" w:lineRule="exact"/>
        <w:rPr>
          <w:sz w:val="19"/>
          <w:szCs w:val="19"/>
        </w:rPr>
      </w:pPr>
    </w:p>
    <w:p>
      <w:pPr>
        <w:widowControl w:val="0"/>
        <w:rPr>
          <w:sz w:val="2"/>
          <w:szCs w:val="2"/>
        </w:rPr>
        <w:sectPr>
          <w:type w:val="continuous"/>
          <w:pgSz w:w="11900" w:h="16840"/>
          <w:pgMar w:top="1344" w:left="0" w:right="0" w:bottom="1344" w:header="0" w:footer="3" w:gutter="0"/>
          <w:rtlGutter w:val="0"/>
          <w:cols w:space="720"/>
          <w:noEndnote/>
          <w:docGrid w:linePitch="360"/>
        </w:sectPr>
      </w:pPr>
    </w:p>
    <w:p>
      <w:pPr>
        <w:pStyle w:val="Style13"/>
        <w:widowControl w:val="0"/>
        <w:keepNext/>
        <w:keepLines/>
        <w:shd w:val="clear" w:color="auto" w:fill="auto"/>
        <w:bidi w:val="0"/>
        <w:jc w:val="left"/>
        <w:spacing w:before="0" w:after="59" w:line="140" w:lineRule="exact"/>
        <w:ind w:left="240" w:right="0"/>
      </w:pPr>
      <w:bookmarkStart w:id="2" w:name="bookmark2"/>
      <w:r>
        <w:rPr>
          <w:lang w:val="cs-CZ" w:eastAsia="cs-CZ" w:bidi="cs-CZ"/>
          <w:w w:val="100"/>
          <w:spacing w:val="0"/>
          <w:color w:val="000000"/>
          <w:position w:val="0"/>
        </w:rPr>
        <w:t>Článek I.</w:t>
      </w:r>
      <w:bookmarkEnd w:id="2"/>
    </w:p>
    <w:p>
      <w:pPr>
        <w:pStyle w:val="Style15"/>
        <w:widowControl w:val="0"/>
        <w:keepNext w:val="0"/>
        <w:keepLines w:val="0"/>
        <w:shd w:val="clear" w:color="auto" w:fill="auto"/>
        <w:bidi w:val="0"/>
        <w:jc w:val="left"/>
        <w:spacing w:before="0" w:after="238" w:line="140" w:lineRule="exact"/>
        <w:ind w:left="240" w:right="0"/>
      </w:pPr>
      <w:r>
        <w:rPr>
          <w:lang w:val="cs-CZ" w:eastAsia="cs-CZ" w:bidi="cs-CZ"/>
          <w:w w:val="100"/>
          <w:spacing w:val="0"/>
          <w:color w:val="000000"/>
          <w:position w:val="0"/>
        </w:rPr>
        <w:t>Předmět pojištění</w:t>
      </w:r>
    </w:p>
    <w:p>
      <w:pPr>
        <w:pStyle w:val="Style17"/>
        <w:numPr>
          <w:ilvl w:val="0"/>
          <w:numId w:val="1"/>
        </w:numPr>
        <w:tabs>
          <w:tab w:leader="none" w:pos="265" w:val="left"/>
        </w:tabs>
        <w:widowControl w:val="0"/>
        <w:keepNext w:val="0"/>
        <w:keepLines w:val="0"/>
        <w:shd w:val="clear" w:color="auto" w:fill="auto"/>
        <w:bidi w:val="0"/>
        <w:jc w:val="left"/>
        <w:spacing w:before="0"/>
        <w:ind w:left="0" w:right="0" w:firstLine="0"/>
      </w:pPr>
      <w:r>
        <w:rPr>
          <w:lang w:val="cs-CZ" w:eastAsia="cs-CZ" w:bidi="cs-CZ"/>
          <w:w w:val="100"/>
          <w:spacing w:val="0"/>
          <w:color w:val="000000"/>
          <w:position w:val="0"/>
        </w:rPr>
        <w:t xml:space="preserve">Předmětem pojištění je jednotlivý stroj nebo soubor strojů, které jsou uvedené v pojistné smlouvě, včetně jejich výbavy a příslušenství (dále jen </w:t>
      </w:r>
      <w:r>
        <w:rPr>
          <w:rStyle w:val="CharStyle19"/>
        </w:rPr>
        <w:t>„pojištěný stroj").</w:t>
      </w:r>
    </w:p>
    <w:p>
      <w:pPr>
        <w:pStyle w:val="Style17"/>
        <w:numPr>
          <w:ilvl w:val="0"/>
          <w:numId w:val="1"/>
        </w:numPr>
        <w:tabs>
          <w:tab w:leader="none" w:pos="270" w:val="left"/>
        </w:tabs>
        <w:widowControl w:val="0"/>
        <w:keepNext w:val="0"/>
        <w:keepLines w:val="0"/>
        <w:shd w:val="clear" w:color="auto" w:fill="auto"/>
        <w:bidi w:val="0"/>
        <w:jc w:val="left"/>
        <w:spacing w:before="0"/>
        <w:ind w:left="0" w:right="0" w:firstLine="0"/>
      </w:pPr>
      <w:r>
        <w:rPr>
          <w:lang w:val="cs-CZ" w:eastAsia="cs-CZ" w:bidi="cs-CZ"/>
          <w:w w:val="100"/>
          <w:spacing w:val="0"/>
          <w:color w:val="000000"/>
          <w:position w:val="0"/>
        </w:rPr>
        <w:t>Předmětem pojištění jsou stroje ve vlastnictví nebo spoluvlastnictví pojistníka nebo pojištěného uvedeného v pojistné smlouvě (stroje vlastní).</w:t>
      </w:r>
    </w:p>
    <w:p>
      <w:pPr>
        <w:pStyle w:val="Style17"/>
        <w:numPr>
          <w:ilvl w:val="0"/>
          <w:numId w:val="1"/>
        </w:numPr>
        <w:tabs>
          <w:tab w:leader="none" w:pos="265" w:val="left"/>
        </w:tabs>
        <w:widowControl w:val="0"/>
        <w:keepNext w:val="0"/>
        <w:keepLines w:val="0"/>
        <w:shd w:val="clear" w:color="auto" w:fill="auto"/>
        <w:bidi w:val="0"/>
        <w:jc w:val="left"/>
        <w:spacing w:before="0"/>
        <w:ind w:left="0" w:right="0" w:firstLine="0"/>
      </w:pPr>
      <w:r>
        <w:rPr>
          <w:lang w:val="cs-CZ" w:eastAsia="cs-CZ" w:bidi="cs-CZ"/>
          <w:w w:val="100"/>
          <w:spacing w:val="0"/>
          <w:color w:val="000000"/>
          <w:position w:val="0"/>
        </w:rPr>
        <w:t>]e-li tak ujednáno, jsou předmětem pojištění cizí stroje, které pojistník nebo pojištěný uvedený v pojistné smlouvě užívají podle dohody (cizí stroje). U těchto strojů se jedná o pojištění cizího pojistného rizika.</w:t>
      </w:r>
    </w:p>
    <w:p>
      <w:pPr>
        <w:pStyle w:val="Style17"/>
        <w:numPr>
          <w:ilvl w:val="0"/>
          <w:numId w:val="1"/>
        </w:numPr>
        <w:tabs>
          <w:tab w:leader="none" w:pos="274" w:val="left"/>
        </w:tabs>
        <w:widowControl w:val="0"/>
        <w:keepNext w:val="0"/>
        <w:keepLines w:val="0"/>
        <w:shd w:val="clear" w:color="auto" w:fill="auto"/>
        <w:bidi w:val="0"/>
        <w:jc w:val="left"/>
        <w:spacing w:before="0"/>
        <w:ind w:left="0" w:right="0" w:firstLine="0"/>
      </w:pPr>
      <w:r>
        <w:rPr>
          <w:lang w:val="cs-CZ" w:eastAsia="cs-CZ" w:bidi="cs-CZ"/>
          <w:w w:val="100"/>
          <w:spacing w:val="0"/>
          <w:color w:val="000000"/>
          <w:position w:val="0"/>
        </w:rPr>
        <w:t>Bylo-li sjednáno pojištění souboru strojů, vztahuje se pojištění i na stroje, které se staly součástí pojištěného souboru po uzavření pojistné smlouvy. Stroje, které přestaly být součástí souboru, pojištěny nejsou.</w:t>
      </w:r>
    </w:p>
    <w:p>
      <w:pPr>
        <w:pStyle w:val="Style17"/>
        <w:numPr>
          <w:ilvl w:val="0"/>
          <w:numId w:val="1"/>
        </w:numPr>
        <w:tabs>
          <w:tab w:leader="none" w:pos="279" w:val="left"/>
        </w:tabs>
        <w:widowControl w:val="0"/>
        <w:keepNext w:val="0"/>
        <w:keepLines w:val="0"/>
        <w:shd w:val="clear" w:color="auto" w:fill="auto"/>
        <w:bidi w:val="0"/>
        <w:jc w:val="left"/>
        <w:spacing w:before="0"/>
        <w:ind w:left="0" w:right="0" w:firstLine="0"/>
      </w:pPr>
      <w:r>
        <w:rPr>
          <w:lang w:val="cs-CZ" w:eastAsia="cs-CZ" w:bidi="cs-CZ"/>
          <w:w w:val="100"/>
          <w:spacing w:val="0"/>
          <w:color w:val="000000"/>
          <w:position w:val="0"/>
        </w:rPr>
        <w:t>V případě pojištění souboru strojů jsou předmětem pojištění pouze stroje, jejichž stáří nepřesáhlo v době vzniku škody 10 let, není-li ujednáno jinak. Pro určení stáří stroje je rozhodující rok jeho prvního uvedení do provozu. V případě, že rok prvního uvedení do provozu nelze zjistit, je pro určení stáří stroje rozhodující rok jeho výroby.</w:t>
      </w:r>
    </w:p>
    <w:p>
      <w:pPr>
        <w:pStyle w:val="Style17"/>
        <w:numPr>
          <w:ilvl w:val="0"/>
          <w:numId w:val="1"/>
        </w:numPr>
        <w:tabs>
          <w:tab w:leader="none" w:pos="279" w:val="left"/>
        </w:tabs>
        <w:widowControl w:val="0"/>
        <w:keepNext w:val="0"/>
        <w:keepLines w:val="0"/>
        <w:shd w:val="clear" w:color="auto" w:fill="auto"/>
        <w:bidi w:val="0"/>
        <w:jc w:val="left"/>
        <w:spacing w:before="0"/>
        <w:ind w:left="0" w:right="0" w:firstLine="0"/>
      </w:pPr>
      <w:r>
        <w:rPr>
          <w:lang w:val="cs-CZ" w:eastAsia="cs-CZ" w:bidi="cs-CZ"/>
          <w:w w:val="100"/>
          <w:spacing w:val="0"/>
          <w:color w:val="000000"/>
          <w:position w:val="0"/>
        </w:rPr>
        <w:t>Předmětem pojištění jsou pouze takové stroje, které byly při sjednání pojištění v provozuschopném stavu a byly uvedeny do provozu v souladu s platnými právními předpisy a požadavky výrobce.</w:t>
      </w:r>
    </w:p>
    <w:p>
      <w:pPr>
        <w:pStyle w:val="Style17"/>
        <w:numPr>
          <w:ilvl w:val="0"/>
          <w:numId w:val="1"/>
        </w:numPr>
        <w:tabs>
          <w:tab w:leader="none" w:pos="274" w:val="left"/>
        </w:tabs>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Nedošlo-li z téže příčiny a ve stejném čase i k jinému poškození nebo zničení pojištěného stroje, za něž je pojistitel povinen plnit, pojištění se nevztahuje na poškození nebo zničení:</w:t>
      </w:r>
    </w:p>
    <w:p>
      <w:pPr>
        <w:pStyle w:val="Style17"/>
        <w:numPr>
          <w:ilvl w:val="0"/>
          <w:numId w:val="3"/>
        </w:numPr>
        <w:tabs>
          <w:tab w:leader="none" w:pos="260" w:val="left"/>
        </w:tabs>
        <w:widowControl w:val="0"/>
        <w:keepNext w:val="0"/>
        <w:keepLines w:val="0"/>
        <w:shd w:val="clear" w:color="auto" w:fill="auto"/>
        <w:bidi w:val="0"/>
        <w:jc w:val="left"/>
        <w:spacing w:before="0" w:after="0"/>
        <w:ind w:left="240" w:right="0"/>
      </w:pPr>
      <w:r>
        <w:rPr>
          <w:lang w:val="cs-CZ" w:eastAsia="cs-CZ" w:bidi="cs-CZ"/>
          <w:w w:val="100"/>
          <w:spacing w:val="0"/>
          <w:color w:val="000000"/>
          <w:position w:val="0"/>
        </w:rPr>
        <w:t>strojních součástí, dílů a nástrojů, které se pravidelně vyměňují při změně pracovních úkonů (např. řezné nástroje, matrice, formy, razidla),</w:t>
      </w:r>
    </w:p>
    <w:p>
      <w:pPr>
        <w:pStyle w:val="Style17"/>
        <w:numPr>
          <w:ilvl w:val="0"/>
          <w:numId w:val="3"/>
        </w:numPr>
        <w:tabs>
          <w:tab w:leader="none" w:pos="260" w:val="left"/>
        </w:tabs>
        <w:widowControl w:val="0"/>
        <w:keepNext w:val="0"/>
        <w:keepLines w:val="0"/>
        <w:shd w:val="clear" w:color="auto" w:fill="auto"/>
        <w:bidi w:val="0"/>
        <w:jc w:val="left"/>
        <w:spacing w:before="0" w:after="0"/>
        <w:ind w:left="240" w:right="0"/>
      </w:pPr>
      <w:r>
        <w:rPr>
          <w:lang w:val="cs-CZ" w:eastAsia="cs-CZ" w:bidi="cs-CZ"/>
          <w:w w:val="100"/>
          <w:spacing w:val="0"/>
          <w:color w:val="000000"/>
          <w:position w:val="0"/>
        </w:rPr>
        <w:t>dílů a částí, které se pravidelně vyměňují pro rychlé opotřebení nebo stárnutí (např. hadice, těsnění, pásy, řetězy, řemeny, pneumatiky, lana, dráty, síta, pracovní části drtičů, žáruvzdorné vyzdívky, akumulátory, odporová topná tělesa, žárovky, výbojky),</w:t>
      </w:r>
    </w:p>
    <w:p>
      <w:pPr>
        <w:pStyle w:val="Style17"/>
        <w:numPr>
          <w:ilvl w:val="0"/>
          <w:numId w:val="3"/>
        </w:numPr>
        <w:tabs>
          <w:tab w:leader="none" w:pos="260" w:val="left"/>
        </w:tabs>
        <w:widowControl w:val="0"/>
        <w:keepNext w:val="0"/>
        <w:keepLines w:val="0"/>
        <w:shd w:val="clear" w:color="auto" w:fill="auto"/>
        <w:bidi w:val="0"/>
        <w:jc w:val="left"/>
        <w:spacing w:before="0" w:after="0"/>
        <w:ind w:left="240" w:right="0"/>
      </w:pPr>
      <w:r>
        <w:rPr>
          <w:lang w:val="cs-CZ" w:eastAsia="cs-CZ" w:bidi="cs-CZ"/>
          <w:w w:val="100"/>
          <w:spacing w:val="0"/>
          <w:color w:val="000000"/>
          <w:position w:val="0"/>
        </w:rPr>
        <w:t>strojních součástí pro kluzná a valivá uložení pro přímočarý a rotační pohyb (např. ložiska, písty, vložky válců),</w:t>
      </w:r>
    </w:p>
    <w:p>
      <w:pPr>
        <w:pStyle w:val="Style17"/>
        <w:numPr>
          <w:ilvl w:val="0"/>
          <w:numId w:val="3"/>
        </w:numPr>
        <w:tabs>
          <w:tab w:leader="none" w:pos="265" w:val="left"/>
        </w:tabs>
        <w:widowControl w:val="0"/>
        <w:keepNext w:val="0"/>
        <w:keepLines w:val="0"/>
        <w:shd w:val="clear" w:color="auto" w:fill="auto"/>
        <w:bidi w:val="0"/>
        <w:jc w:val="left"/>
        <w:spacing w:before="0" w:after="0"/>
        <w:ind w:left="240" w:right="0"/>
      </w:pPr>
      <w:r>
        <w:rPr>
          <w:lang w:val="cs-CZ" w:eastAsia="cs-CZ" w:bidi="cs-CZ"/>
          <w:w w:val="100"/>
          <w:spacing w:val="0"/>
          <w:color w:val="000000"/>
          <w:position w:val="0"/>
        </w:rPr>
        <w:t>skleněných dílů a částí, činných médií a provozních kapalin (např. paliva, maziva, chemikálie, filtrační hmoty, chladicí kapaliny, katalyzátory).</w:t>
      </w:r>
    </w:p>
    <w:p>
      <w:pPr>
        <w:pStyle w:val="Style17"/>
        <w:numPr>
          <w:ilvl w:val="0"/>
          <w:numId w:val="1"/>
        </w:numPr>
        <w:tabs>
          <w:tab w:leader="none" w:pos="313"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Předmětem pojištění nejsou:</w:t>
      </w:r>
    </w:p>
    <w:p>
      <w:pPr>
        <w:pStyle w:val="Style17"/>
        <w:numPr>
          <w:ilvl w:val="0"/>
          <w:numId w:val="5"/>
        </w:numPr>
        <w:tabs>
          <w:tab w:leader="none" w:pos="299" w:val="left"/>
        </w:tabs>
        <w:widowControl w:val="0"/>
        <w:keepNext w:val="0"/>
        <w:keepLines w:val="0"/>
        <w:shd w:val="clear" w:color="auto" w:fill="auto"/>
        <w:bidi w:val="0"/>
        <w:jc w:val="left"/>
        <w:spacing w:before="0" w:after="0"/>
        <w:ind w:left="240" w:right="0"/>
      </w:pPr>
      <w:r>
        <w:rPr>
          <w:lang w:val="cs-CZ" w:eastAsia="cs-CZ" w:bidi="cs-CZ"/>
          <w:w w:val="100"/>
          <w:spacing w:val="0"/>
          <w:color w:val="000000"/>
          <w:position w:val="0"/>
        </w:rPr>
        <w:t>motorová a přípojná vozidla s přidělenou SPZ nebo registrační značkou, s výjimkou pracovních strojů samojízdných a pracovních strojů přípojných,</w:t>
      </w:r>
    </w:p>
    <w:p>
      <w:pPr>
        <w:pStyle w:val="Style17"/>
        <w:numPr>
          <w:ilvl w:val="0"/>
          <w:numId w:val="5"/>
        </w:numPr>
        <w:tabs>
          <w:tab w:leader="none" w:pos="299"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lodě a letadla,</w:t>
      </w:r>
    </w:p>
    <w:p>
      <w:pPr>
        <w:pStyle w:val="Style17"/>
        <w:numPr>
          <w:ilvl w:val="0"/>
          <w:numId w:val="5"/>
        </w:numPr>
        <w:tabs>
          <w:tab w:leader="none" w:pos="299"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kolejová vozidla,</w:t>
      </w:r>
    </w:p>
    <w:p>
      <w:pPr>
        <w:pStyle w:val="Style17"/>
        <w:numPr>
          <w:ilvl w:val="0"/>
          <w:numId w:val="5"/>
        </w:numPr>
        <w:tabs>
          <w:tab w:leader="none" w:pos="308"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vzorky, názorné modely, prototypy,</w:t>
      </w:r>
    </w:p>
    <w:p>
      <w:pPr>
        <w:pStyle w:val="Style17"/>
        <w:numPr>
          <w:ilvl w:val="0"/>
          <w:numId w:val="5"/>
        </w:numPr>
        <w:tabs>
          <w:tab w:leader="none" w:pos="308" w:val="left"/>
        </w:tabs>
        <w:widowControl w:val="0"/>
        <w:keepNext w:val="0"/>
        <w:keepLines w:val="0"/>
        <w:shd w:val="clear" w:color="auto" w:fill="auto"/>
        <w:bidi w:val="0"/>
        <w:jc w:val="left"/>
        <w:spacing w:before="0" w:after="320"/>
        <w:ind w:left="240" w:right="0"/>
      </w:pPr>
      <w:r>
        <w:rPr>
          <w:lang w:val="cs-CZ" w:eastAsia="cs-CZ" w:bidi="cs-CZ"/>
          <w:w w:val="100"/>
          <w:spacing w:val="0"/>
          <w:color w:val="000000"/>
          <w:position w:val="0"/>
        </w:rPr>
        <w:t>ruční nářadí s elektrickým, pneumatickým nebo spalovacím pohonem (např. vrtačky, brusky, pily, bourací a vrtací kladiva, ruční sekačky na trávu).</w:t>
      </w:r>
    </w:p>
    <w:p>
      <w:pPr>
        <w:pStyle w:val="Style13"/>
        <w:widowControl w:val="0"/>
        <w:keepNext/>
        <w:keepLines/>
        <w:shd w:val="clear" w:color="auto" w:fill="auto"/>
        <w:bidi w:val="0"/>
        <w:jc w:val="both"/>
        <w:spacing w:before="0" w:after="64" w:line="140" w:lineRule="exact"/>
        <w:ind w:left="0" w:right="0" w:firstLine="0"/>
      </w:pPr>
      <w:bookmarkStart w:id="3" w:name="bookmark3"/>
      <w:r>
        <w:rPr>
          <w:lang w:val="cs-CZ" w:eastAsia="cs-CZ" w:bidi="cs-CZ"/>
          <w:w w:val="100"/>
          <w:spacing w:val="0"/>
          <w:color w:val="000000"/>
          <w:position w:val="0"/>
        </w:rPr>
        <w:t>Článek II.</w:t>
      </w:r>
      <w:bookmarkEnd w:id="3"/>
    </w:p>
    <w:p>
      <w:pPr>
        <w:pStyle w:val="Style15"/>
        <w:widowControl w:val="0"/>
        <w:keepNext w:val="0"/>
        <w:keepLines w:val="0"/>
        <w:shd w:val="clear" w:color="auto" w:fill="auto"/>
        <w:bidi w:val="0"/>
        <w:jc w:val="both"/>
        <w:spacing w:before="0" w:after="224" w:line="140" w:lineRule="exact"/>
        <w:ind w:left="0" w:right="0" w:firstLine="0"/>
      </w:pPr>
      <w:r>
        <w:rPr>
          <w:lang w:val="cs-CZ" w:eastAsia="cs-CZ" w:bidi="cs-CZ"/>
          <w:w w:val="100"/>
          <w:spacing w:val="0"/>
          <w:color w:val="000000"/>
          <w:position w:val="0"/>
        </w:rPr>
        <w:t>Pojistná nebezpečí</w:t>
      </w:r>
    </w:p>
    <w:p>
      <w:pPr>
        <w:pStyle w:val="Style17"/>
        <w:widowControl w:val="0"/>
        <w:keepNext w:val="0"/>
        <w:keepLines w:val="0"/>
        <w:shd w:val="clear" w:color="auto" w:fill="auto"/>
        <w:bidi w:val="0"/>
        <w:jc w:val="left"/>
        <w:spacing w:before="0" w:after="320"/>
        <w:ind w:left="0" w:right="0" w:firstLine="0"/>
      </w:pPr>
      <w:r>
        <w:rPr>
          <w:lang w:val="cs-CZ" w:eastAsia="cs-CZ" w:bidi="cs-CZ"/>
          <w:w w:val="100"/>
          <w:spacing w:val="0"/>
          <w:color w:val="000000"/>
          <w:position w:val="0"/>
        </w:rPr>
        <w:t>Pojištění strojů se vztahuje na náhlé poškození nebo zničení pojištěného stroje jakoukoli nahodilou událostí, která není dále nebo v pojistné smlouvě vyloučena.</w:t>
      </w:r>
    </w:p>
    <w:p>
      <w:pPr>
        <w:pStyle w:val="Style13"/>
        <w:widowControl w:val="0"/>
        <w:keepNext/>
        <w:keepLines/>
        <w:shd w:val="clear" w:color="auto" w:fill="auto"/>
        <w:bidi w:val="0"/>
        <w:jc w:val="both"/>
        <w:spacing w:before="0" w:after="50" w:line="140" w:lineRule="exact"/>
        <w:ind w:left="0" w:right="0" w:firstLine="0"/>
      </w:pPr>
      <w:bookmarkStart w:id="4" w:name="bookmark4"/>
      <w:r>
        <w:rPr>
          <w:lang w:val="cs-CZ" w:eastAsia="cs-CZ" w:bidi="cs-CZ"/>
          <w:w w:val="100"/>
          <w:spacing w:val="0"/>
          <w:color w:val="000000"/>
          <w:position w:val="0"/>
        </w:rPr>
        <w:t>Článek III.</w:t>
      </w:r>
      <w:bookmarkEnd w:id="4"/>
    </w:p>
    <w:p>
      <w:pPr>
        <w:pStyle w:val="Style15"/>
        <w:widowControl w:val="0"/>
        <w:keepNext w:val="0"/>
        <w:keepLines w:val="0"/>
        <w:shd w:val="clear" w:color="auto" w:fill="auto"/>
        <w:bidi w:val="0"/>
        <w:jc w:val="both"/>
        <w:spacing w:before="0" w:after="323" w:line="140" w:lineRule="exact"/>
        <w:ind w:left="0" w:right="0" w:firstLine="0"/>
      </w:pPr>
      <w:r>
        <w:rPr>
          <w:lang w:val="cs-CZ" w:eastAsia="cs-CZ" w:bidi="cs-CZ"/>
          <w:w w:val="100"/>
          <w:spacing w:val="0"/>
          <w:color w:val="000000"/>
          <w:position w:val="0"/>
        </w:rPr>
        <w:t>Místo pojištění</w:t>
      </w:r>
    </w:p>
    <w:p>
      <w:pPr>
        <w:pStyle w:val="Style17"/>
        <w:numPr>
          <w:ilvl w:val="0"/>
          <w:numId w:val="7"/>
        </w:numPr>
        <w:tabs>
          <w:tab w:leader="none" w:pos="299" w:val="left"/>
        </w:tabs>
        <w:widowControl w:val="0"/>
        <w:keepNext w:val="0"/>
        <w:keepLines w:val="0"/>
        <w:shd w:val="clear" w:color="auto" w:fill="auto"/>
        <w:bidi w:val="0"/>
        <w:jc w:val="both"/>
        <w:spacing w:before="0" w:after="243" w:line="140" w:lineRule="exact"/>
        <w:ind w:left="0" w:right="0" w:firstLine="0"/>
      </w:pPr>
      <w:r>
        <w:rPr>
          <w:lang w:val="cs-CZ" w:eastAsia="cs-CZ" w:bidi="cs-CZ"/>
          <w:w w:val="100"/>
          <w:spacing w:val="0"/>
          <w:color w:val="000000"/>
          <w:position w:val="0"/>
        </w:rPr>
        <w:t>Místem pojištění je místo uvedené v pojistné smlouvě.</w:t>
      </w:r>
    </w:p>
    <w:p>
      <w:pPr>
        <w:pStyle w:val="Style17"/>
        <w:numPr>
          <w:ilvl w:val="0"/>
          <w:numId w:val="7"/>
        </w:numPr>
        <w:tabs>
          <w:tab w:leader="none" w:pos="308" w:val="left"/>
        </w:tabs>
        <w:widowControl w:val="0"/>
        <w:keepNext w:val="0"/>
        <w:keepLines w:val="0"/>
        <w:shd w:val="clear" w:color="auto" w:fill="auto"/>
        <w:bidi w:val="0"/>
        <w:jc w:val="left"/>
        <w:spacing w:before="0" w:after="320"/>
        <w:ind w:left="0" w:right="0" w:firstLine="0"/>
      </w:pPr>
      <w:r>
        <w:rPr>
          <w:lang w:val="cs-CZ" w:eastAsia="cs-CZ" w:bidi="cs-CZ"/>
          <w:w w:val="100"/>
          <w:spacing w:val="0"/>
          <w:color w:val="000000"/>
          <w:position w:val="0"/>
        </w:rPr>
        <w:t>Pro pracovní stroje samojízdné nebo pracovní stroje přípojné je místem pojištění území České republiky.</w:t>
      </w:r>
    </w:p>
    <w:p>
      <w:pPr>
        <w:pStyle w:val="Style13"/>
        <w:widowControl w:val="0"/>
        <w:keepNext/>
        <w:keepLines/>
        <w:shd w:val="clear" w:color="auto" w:fill="auto"/>
        <w:bidi w:val="0"/>
        <w:jc w:val="both"/>
        <w:spacing w:before="0" w:after="64" w:line="140" w:lineRule="exact"/>
        <w:ind w:left="0" w:right="0" w:firstLine="0"/>
      </w:pPr>
      <w:bookmarkStart w:id="5" w:name="bookmark5"/>
      <w:r>
        <w:rPr>
          <w:lang w:val="cs-CZ" w:eastAsia="cs-CZ" w:bidi="cs-CZ"/>
          <w:w w:val="100"/>
          <w:spacing w:val="0"/>
          <w:color w:val="000000"/>
          <w:position w:val="0"/>
        </w:rPr>
        <w:t>Článek IV.</w:t>
      </w:r>
      <w:bookmarkEnd w:id="5"/>
    </w:p>
    <w:p>
      <w:pPr>
        <w:pStyle w:val="Style15"/>
        <w:widowControl w:val="0"/>
        <w:keepNext w:val="0"/>
        <w:keepLines w:val="0"/>
        <w:shd w:val="clear" w:color="auto" w:fill="auto"/>
        <w:bidi w:val="0"/>
        <w:jc w:val="both"/>
        <w:spacing w:before="0" w:after="224" w:line="140" w:lineRule="exact"/>
        <w:ind w:left="0" w:right="0" w:firstLine="0"/>
      </w:pPr>
      <w:r>
        <w:rPr>
          <w:lang w:val="cs-CZ" w:eastAsia="cs-CZ" w:bidi="cs-CZ"/>
          <w:w w:val="100"/>
          <w:spacing w:val="0"/>
          <w:color w:val="000000"/>
          <w:position w:val="0"/>
        </w:rPr>
        <w:t>Pojistná událost</w:t>
      </w:r>
    </w:p>
    <w:p>
      <w:pPr>
        <w:pStyle w:val="Style17"/>
        <w:widowControl w:val="0"/>
        <w:keepNext w:val="0"/>
        <w:keepLines w:val="0"/>
        <w:shd w:val="clear" w:color="auto" w:fill="auto"/>
        <w:bidi w:val="0"/>
        <w:jc w:val="left"/>
        <w:spacing w:before="0" w:after="320"/>
        <w:ind w:left="0" w:right="0" w:firstLine="0"/>
      </w:pPr>
      <w:r>
        <w:rPr>
          <w:lang w:val="cs-CZ" w:eastAsia="cs-CZ" w:bidi="cs-CZ"/>
          <w:w w:val="100"/>
          <w:spacing w:val="0"/>
          <w:color w:val="000000"/>
          <w:position w:val="0"/>
        </w:rPr>
        <w:t>Pojistnou událostí je poškození nebo zničení pojištěného stroje způsobené některým z pojistných nebezpečí uvedených v článku II, které omezuje nebo vylučuje jeho funkčnost, a ke kterému došlo v době trvání pojištění a v místě pojištění.</w:t>
      </w:r>
    </w:p>
    <w:p>
      <w:pPr>
        <w:pStyle w:val="Style13"/>
        <w:widowControl w:val="0"/>
        <w:keepNext/>
        <w:keepLines/>
        <w:shd w:val="clear" w:color="auto" w:fill="auto"/>
        <w:bidi w:val="0"/>
        <w:jc w:val="both"/>
        <w:spacing w:before="0" w:after="59" w:line="140" w:lineRule="exact"/>
        <w:ind w:left="0" w:right="0" w:firstLine="0"/>
      </w:pPr>
      <w:bookmarkStart w:id="6" w:name="bookmark6"/>
      <w:r>
        <w:rPr>
          <w:lang w:val="cs-CZ" w:eastAsia="cs-CZ" w:bidi="cs-CZ"/>
          <w:w w:val="100"/>
          <w:spacing w:val="0"/>
          <w:color w:val="000000"/>
          <w:position w:val="0"/>
        </w:rPr>
        <w:t>Článek V.</w:t>
      </w:r>
      <w:bookmarkEnd w:id="6"/>
    </w:p>
    <w:p>
      <w:pPr>
        <w:pStyle w:val="Style15"/>
        <w:widowControl w:val="0"/>
        <w:keepNext w:val="0"/>
        <w:keepLines w:val="0"/>
        <w:shd w:val="clear" w:color="auto" w:fill="auto"/>
        <w:bidi w:val="0"/>
        <w:jc w:val="both"/>
        <w:spacing w:before="0" w:after="224" w:line="140" w:lineRule="exact"/>
        <w:ind w:left="0" w:right="0" w:firstLine="0"/>
      </w:pPr>
      <w:r>
        <w:rPr>
          <w:lang w:val="cs-CZ" w:eastAsia="cs-CZ" w:bidi="cs-CZ"/>
          <w:w w:val="100"/>
          <w:spacing w:val="0"/>
          <w:color w:val="000000"/>
          <w:position w:val="0"/>
        </w:rPr>
        <w:t>Výluky z pojištění</w:t>
      </w:r>
    </w:p>
    <w:p>
      <w:pPr>
        <w:pStyle w:val="Style17"/>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Z pojištění nevzniká právo na plnění pojistitele za škody vzniklé na stroji:</w:t>
      </w:r>
    </w:p>
    <w:p>
      <w:pPr>
        <w:pStyle w:val="Style17"/>
        <w:numPr>
          <w:ilvl w:val="0"/>
          <w:numId w:val="9"/>
        </w:numPr>
        <w:tabs>
          <w:tab w:leader="none" w:pos="294" w:val="left"/>
        </w:tabs>
        <w:widowControl w:val="0"/>
        <w:keepNext w:val="0"/>
        <w:keepLines w:val="0"/>
        <w:shd w:val="clear" w:color="auto" w:fill="auto"/>
        <w:bidi w:val="0"/>
        <w:jc w:val="left"/>
        <w:spacing w:before="0" w:after="0"/>
        <w:ind w:left="240" w:right="0"/>
      </w:pPr>
      <w:r>
        <w:rPr>
          <w:lang w:val="cs-CZ" w:eastAsia="cs-CZ" w:bidi="cs-CZ"/>
          <w:w w:val="100"/>
          <w:spacing w:val="0"/>
          <w:color w:val="000000"/>
          <w:position w:val="0"/>
        </w:rPr>
        <w:t>následkem vady, kterou měl stroj již v době uzavření pojištění a která byla nebo mohla být známa pojtstníkovt bez ohledu na to, zda byla známa pojistiteli,</w:t>
      </w:r>
    </w:p>
    <w:p>
      <w:pPr>
        <w:pStyle w:val="Style17"/>
        <w:numPr>
          <w:ilvl w:val="0"/>
          <w:numId w:val="9"/>
        </w:numPr>
        <w:tabs>
          <w:tab w:leader="none" w:pos="299" w:val="left"/>
        </w:tabs>
        <w:widowControl w:val="0"/>
        <w:keepNext w:val="0"/>
        <w:keepLines w:val="0"/>
        <w:shd w:val="clear" w:color="auto" w:fill="auto"/>
        <w:bidi w:val="0"/>
        <w:jc w:val="left"/>
        <w:spacing w:before="0" w:after="0"/>
        <w:ind w:left="240" w:right="0"/>
        <w:sectPr>
          <w:type w:val="continuous"/>
          <w:pgSz w:w="11900" w:h="16840"/>
          <w:pgMar w:top="1344" w:left="934" w:right="949" w:bottom="1344" w:header="0" w:footer="3" w:gutter="0"/>
          <w:rtlGutter w:val="0"/>
          <w:cols w:num="2" w:space="341"/>
          <w:noEndnote/>
          <w:docGrid w:linePitch="360"/>
        </w:sectPr>
      </w:pPr>
      <w:r>
        <w:rPr>
          <w:lang w:val="cs-CZ" w:eastAsia="cs-CZ" w:bidi="cs-CZ"/>
          <w:w w:val="100"/>
          <w:spacing w:val="0"/>
          <w:color w:val="000000"/>
          <w:position w:val="0"/>
        </w:rPr>
        <w:t>důsledkem požáru, průvodních jevů požáru, výbuchu, úderu blesku, nárazem nebo zřícením letadla, jeho částí nebo jeho nákladu, povodní, záplavou, větrem, krupobitím, sesouváním půdy, zřícením</w:t>
      </w:r>
    </w:p>
    <w:p>
      <w:pPr>
        <w:pStyle w:val="Style17"/>
        <w:widowControl w:val="0"/>
        <w:keepNext w:val="0"/>
        <w:keepLines w:val="0"/>
        <w:shd w:val="clear" w:color="auto" w:fill="auto"/>
        <w:bidi w:val="0"/>
        <w:jc w:val="left"/>
        <w:spacing w:before="0" w:after="0"/>
        <w:ind w:left="240" w:right="0" w:firstLine="0"/>
      </w:pPr>
      <w:r>
        <w:rPr>
          <w:rStyle w:val="CharStyle20"/>
        </w:rPr>
        <w:t>skal nebo zemin, sesouváním nebo zřícením lavin, otřesy zemského povrchu, tíhou sněhu nebo námrazy, působením rozpínavosti ledu a prosakováním tajícího sněhu nebo ledu, nárazem dopravního prostředku nebo jeho nákladu, pádem stromů, stožárů nebo jiných předmětů,</w:t>
      </w:r>
    </w:p>
    <w:p>
      <w:pPr>
        <w:pStyle w:val="Style17"/>
        <w:numPr>
          <w:ilvl w:val="0"/>
          <w:numId w:val="9"/>
        </w:numPr>
        <w:tabs>
          <w:tab w:leader="none" w:pos="246" w:val="left"/>
        </w:tabs>
        <w:widowControl w:val="0"/>
        <w:keepNext w:val="0"/>
        <w:keepLines w:val="0"/>
        <w:shd w:val="clear" w:color="auto" w:fill="auto"/>
        <w:bidi w:val="0"/>
        <w:jc w:val="both"/>
        <w:spacing w:before="0" w:after="0"/>
        <w:ind w:left="0" w:right="0" w:firstLine="0"/>
      </w:pPr>
      <w:r>
        <w:rPr>
          <w:rStyle w:val="CharStyle20"/>
        </w:rPr>
        <w:t>krádeží, loupeží, ztrátou, zpronevěrou,</w:t>
      </w:r>
    </w:p>
    <w:p>
      <w:pPr>
        <w:pStyle w:val="Style17"/>
        <w:numPr>
          <w:ilvl w:val="0"/>
          <w:numId w:val="9"/>
        </w:numPr>
        <w:tabs>
          <w:tab w:leader="none" w:pos="265" w:val="left"/>
        </w:tabs>
        <w:widowControl w:val="0"/>
        <w:keepNext w:val="0"/>
        <w:keepLines w:val="0"/>
        <w:shd w:val="clear" w:color="auto" w:fill="auto"/>
        <w:bidi w:val="0"/>
        <w:jc w:val="left"/>
        <w:spacing w:before="0" w:after="0"/>
        <w:ind w:left="240" w:right="0"/>
      </w:pPr>
      <w:r>
        <w:rPr>
          <w:rStyle w:val="CharStyle20"/>
        </w:rPr>
        <w:t>následkem trvalého vlivu provozu, přirozeného opotřebení, kavitace, koroze, eroze, postupného stárnutí, únavy materiálu, nedostatečného používání, dlouhodobého skladování, usazování kotelního kamene nebo jiných usazenin,</w:t>
      </w:r>
    </w:p>
    <w:p>
      <w:pPr>
        <w:pStyle w:val="Style17"/>
        <w:numPr>
          <w:ilvl w:val="0"/>
          <w:numId w:val="9"/>
        </w:numPr>
        <w:tabs>
          <w:tab w:leader="none" w:pos="265" w:val="left"/>
        </w:tabs>
        <w:widowControl w:val="0"/>
        <w:keepNext w:val="0"/>
        <w:keepLines w:val="0"/>
        <w:shd w:val="clear" w:color="auto" w:fill="auto"/>
        <w:bidi w:val="0"/>
        <w:jc w:val="left"/>
        <w:spacing w:before="0" w:after="0"/>
        <w:ind w:left="240" w:right="0"/>
      </w:pPr>
      <w:r>
        <w:rPr>
          <w:rStyle w:val="CharStyle20"/>
        </w:rPr>
        <w:t>poškozením nebo zničením, za které je dodavatel nebo jiný smluvní partner odpovědný podle právního předpisu nebo smlouvy,</w:t>
      </w:r>
    </w:p>
    <w:p>
      <w:pPr>
        <w:pStyle w:val="Style17"/>
        <w:numPr>
          <w:ilvl w:val="0"/>
          <w:numId w:val="9"/>
        </w:numPr>
        <w:tabs>
          <w:tab w:leader="none" w:pos="265" w:val="left"/>
        </w:tabs>
        <w:widowControl w:val="0"/>
        <w:keepNext w:val="0"/>
        <w:keepLines w:val="0"/>
        <w:shd w:val="clear" w:color="auto" w:fill="auto"/>
        <w:bidi w:val="0"/>
        <w:jc w:val="both"/>
        <w:spacing w:before="0" w:after="0"/>
        <w:ind w:left="0" w:right="0" w:firstLine="0"/>
      </w:pPr>
      <w:r>
        <w:rPr>
          <w:rStyle w:val="CharStyle20"/>
        </w:rPr>
        <w:t>během přepravy stroje jako nákladu,</w:t>
      </w:r>
    </w:p>
    <w:p>
      <w:pPr>
        <w:pStyle w:val="Style17"/>
        <w:numPr>
          <w:ilvl w:val="0"/>
          <w:numId w:val="9"/>
        </w:numPr>
        <w:tabs>
          <w:tab w:leader="none" w:pos="265" w:val="left"/>
        </w:tabs>
        <w:widowControl w:val="0"/>
        <w:keepNext w:val="0"/>
        <w:keepLines w:val="0"/>
        <w:shd w:val="clear" w:color="auto" w:fill="auto"/>
        <w:bidi w:val="0"/>
        <w:jc w:val="left"/>
        <w:spacing w:before="0" w:after="0"/>
        <w:ind w:left="240" w:right="0"/>
      </w:pPr>
      <w:r>
        <w:rPr>
          <w:rStyle w:val="CharStyle20"/>
        </w:rPr>
        <w:t>porušením, zničením, zkreslením, vymazáním nebo jinou ztrátou či poškozením dat a programového vybavení,</w:t>
      </w:r>
    </w:p>
    <w:p>
      <w:pPr>
        <w:pStyle w:val="Style17"/>
        <w:numPr>
          <w:ilvl w:val="0"/>
          <w:numId w:val="9"/>
        </w:numPr>
        <w:tabs>
          <w:tab w:leader="none" w:pos="265" w:val="left"/>
        </w:tabs>
        <w:widowControl w:val="0"/>
        <w:keepNext w:val="0"/>
        <w:keepLines w:val="0"/>
        <w:shd w:val="clear" w:color="auto" w:fill="auto"/>
        <w:bidi w:val="0"/>
        <w:jc w:val="both"/>
        <w:spacing w:before="0" w:after="0"/>
        <w:ind w:left="0" w:right="0" w:firstLine="0"/>
      </w:pPr>
      <w:r>
        <w:rPr>
          <w:rStyle w:val="CharStyle20"/>
        </w:rPr>
        <w:t>projevem počítačového viru nebo obdobného programu,</w:t>
      </w:r>
    </w:p>
    <w:p>
      <w:pPr>
        <w:pStyle w:val="Style17"/>
        <w:numPr>
          <w:ilvl w:val="0"/>
          <w:numId w:val="9"/>
        </w:numPr>
        <w:tabs>
          <w:tab w:leader="none" w:pos="265" w:val="left"/>
        </w:tabs>
        <w:widowControl w:val="0"/>
        <w:keepNext w:val="0"/>
        <w:keepLines w:val="0"/>
        <w:shd w:val="clear" w:color="auto" w:fill="auto"/>
        <w:bidi w:val="0"/>
        <w:jc w:val="left"/>
        <w:spacing w:before="0" w:after="260"/>
        <w:ind w:left="240" w:right="0"/>
      </w:pPr>
      <w:r>
        <w:rPr>
          <w:rStyle w:val="CharStyle20"/>
        </w:rPr>
        <w:t>elektronickým přenosem nebo zpracováním dat nebo jiných informací.</w:t>
      </w:r>
    </w:p>
    <w:p>
      <w:pPr>
        <w:pStyle w:val="Style13"/>
        <w:widowControl w:val="0"/>
        <w:keepNext/>
        <w:keepLines/>
        <w:shd w:val="clear" w:color="auto" w:fill="auto"/>
        <w:bidi w:val="0"/>
        <w:jc w:val="both"/>
        <w:spacing w:before="0" w:after="54" w:line="140" w:lineRule="exact"/>
        <w:ind w:left="0" w:right="0" w:firstLine="0"/>
      </w:pPr>
      <w:bookmarkStart w:id="7" w:name="bookmark7"/>
      <w:r>
        <w:rPr>
          <w:rStyle w:val="CharStyle21"/>
          <w:b/>
          <w:bCs/>
        </w:rPr>
        <w:t>Článek VI.</w:t>
      </w:r>
      <w:bookmarkEnd w:id="7"/>
    </w:p>
    <w:p>
      <w:pPr>
        <w:pStyle w:val="Style15"/>
        <w:widowControl w:val="0"/>
        <w:keepNext w:val="0"/>
        <w:keepLines w:val="0"/>
        <w:shd w:val="clear" w:color="auto" w:fill="auto"/>
        <w:bidi w:val="0"/>
        <w:jc w:val="both"/>
        <w:spacing w:before="0" w:after="234" w:line="140" w:lineRule="exact"/>
        <w:ind w:left="0" w:right="0" w:firstLine="0"/>
      </w:pPr>
      <w:r>
        <w:rPr>
          <w:rStyle w:val="CharStyle22"/>
          <w:b/>
          <w:bCs/>
        </w:rPr>
        <w:t>Povinnosti pojistníka a pojištěného</w:t>
      </w:r>
    </w:p>
    <w:p>
      <w:pPr>
        <w:pStyle w:val="Style17"/>
        <w:numPr>
          <w:ilvl w:val="0"/>
          <w:numId w:val="11"/>
        </w:numPr>
        <w:tabs>
          <w:tab w:leader="none" w:pos="255" w:val="left"/>
        </w:tabs>
        <w:widowControl w:val="0"/>
        <w:keepNext w:val="0"/>
        <w:keepLines w:val="0"/>
        <w:shd w:val="clear" w:color="auto" w:fill="auto"/>
        <w:bidi w:val="0"/>
        <w:jc w:val="both"/>
        <w:spacing w:before="0" w:after="0"/>
        <w:ind w:left="0" w:right="0" w:firstLine="0"/>
      </w:pPr>
      <w:r>
        <w:rPr>
          <w:rStyle w:val="CharStyle20"/>
        </w:rPr>
        <w:t>Pojistník a pojištěný jsou povinni:</w:t>
      </w:r>
    </w:p>
    <w:p>
      <w:pPr>
        <w:pStyle w:val="Style17"/>
        <w:numPr>
          <w:ilvl w:val="0"/>
          <w:numId w:val="13"/>
        </w:numPr>
        <w:tabs>
          <w:tab w:leader="none" w:pos="255" w:val="left"/>
        </w:tabs>
        <w:widowControl w:val="0"/>
        <w:keepNext w:val="0"/>
        <w:keepLines w:val="0"/>
        <w:shd w:val="clear" w:color="auto" w:fill="auto"/>
        <w:bidi w:val="0"/>
        <w:jc w:val="left"/>
        <w:spacing w:before="0" w:after="0"/>
        <w:ind w:left="240" w:right="0"/>
      </w:pPr>
      <w:r>
        <w:rPr>
          <w:rStyle w:val="CharStyle20"/>
        </w:rPr>
        <w:t>používat pojištěný stroj pouze k účelu stanovenému výrobcem podle návodu k obsluze nebo technických podmínek, dodržovat technické a další normy vztahující se na provoz a údržbu pojištěného stroje,</w:t>
      </w:r>
    </w:p>
    <w:p>
      <w:pPr>
        <w:pStyle w:val="Style17"/>
        <w:numPr>
          <w:ilvl w:val="0"/>
          <w:numId w:val="13"/>
        </w:numPr>
        <w:tabs>
          <w:tab w:leader="none" w:pos="255" w:val="left"/>
        </w:tabs>
        <w:widowControl w:val="0"/>
        <w:keepNext w:val="0"/>
        <w:keepLines w:val="0"/>
        <w:shd w:val="clear" w:color="auto" w:fill="auto"/>
        <w:bidi w:val="0"/>
        <w:jc w:val="left"/>
        <w:spacing w:before="0" w:after="0"/>
        <w:ind w:left="240" w:right="0"/>
      </w:pPr>
      <w:r>
        <w:rPr>
          <w:rStyle w:val="CharStyle20"/>
        </w:rPr>
        <w:t>zabezpečit obsluhu nebo řízení pojištěného stroje osobou, která má předepsanou kvalifikaci či oprávnění, nebo pokud není kvalifikace či oprávnění předepsáno, osobou, která byla prokazatelně pro obsluhu nebo řízení zaškolena,</w:t>
      </w:r>
    </w:p>
    <w:p>
      <w:pPr>
        <w:pStyle w:val="Style17"/>
        <w:numPr>
          <w:ilvl w:val="0"/>
          <w:numId w:val="13"/>
        </w:numPr>
        <w:tabs>
          <w:tab w:leader="none" w:pos="255" w:val="left"/>
        </w:tabs>
        <w:widowControl w:val="0"/>
        <w:keepNext w:val="0"/>
        <w:keepLines w:val="0"/>
        <w:shd w:val="clear" w:color="auto" w:fill="auto"/>
        <w:bidi w:val="0"/>
        <w:jc w:val="left"/>
        <w:spacing w:before="0"/>
        <w:ind w:left="240" w:right="0"/>
      </w:pPr>
      <w:r>
        <w:rPr>
          <w:rStyle w:val="CharStyle20"/>
        </w:rPr>
        <w:t>v případě vzniku škody uschovat veškeré poškozené díly, dokud pojistitel nevydá souhlas s jejich likvidací.</w:t>
      </w:r>
    </w:p>
    <w:p>
      <w:pPr>
        <w:pStyle w:val="Style17"/>
        <w:numPr>
          <w:ilvl w:val="0"/>
          <w:numId w:val="11"/>
        </w:numPr>
        <w:tabs>
          <w:tab w:leader="none" w:pos="270" w:val="left"/>
        </w:tabs>
        <w:widowControl w:val="0"/>
        <w:keepNext w:val="0"/>
        <w:keepLines w:val="0"/>
        <w:shd w:val="clear" w:color="auto" w:fill="auto"/>
        <w:bidi w:val="0"/>
        <w:jc w:val="left"/>
        <w:spacing w:before="0" w:after="260"/>
        <w:ind w:left="0" w:right="0" w:firstLine="0"/>
      </w:pPr>
      <w:r>
        <w:rPr>
          <w:rStyle w:val="CharStyle20"/>
        </w:rPr>
        <w:t>Mělo-li porušení povinností uvedených v odst. 1) tohoto článku podstatný vliv na vznik pojistné události, její průběh nebo na zvětšení rozsahu jejích následků anebo na zjištění nebo určení výše pojistného plnění, je pojistitel oprávněn snížit pojistné plnění úměrně tomu, jaký vliv mělo toto porušení na rozsah jeho povinnosti plnit.</w:t>
      </w:r>
    </w:p>
    <w:p>
      <w:pPr>
        <w:pStyle w:val="Style13"/>
        <w:widowControl w:val="0"/>
        <w:keepNext/>
        <w:keepLines/>
        <w:shd w:val="clear" w:color="auto" w:fill="auto"/>
        <w:bidi w:val="0"/>
        <w:jc w:val="both"/>
        <w:spacing w:before="0" w:after="83" w:line="140" w:lineRule="exact"/>
        <w:ind w:left="0" w:right="0" w:firstLine="0"/>
      </w:pPr>
      <w:bookmarkStart w:id="8" w:name="bookmark8"/>
      <w:r>
        <w:rPr>
          <w:rStyle w:val="CharStyle21"/>
          <w:b/>
          <w:bCs/>
        </w:rPr>
        <w:t>Článek VII.</w:t>
      </w:r>
      <w:bookmarkEnd w:id="8"/>
    </w:p>
    <w:p>
      <w:pPr>
        <w:pStyle w:val="Style15"/>
        <w:widowControl w:val="0"/>
        <w:keepNext w:val="0"/>
        <w:keepLines w:val="0"/>
        <w:shd w:val="clear" w:color="auto" w:fill="auto"/>
        <w:bidi w:val="0"/>
        <w:jc w:val="both"/>
        <w:spacing w:before="0" w:after="234" w:line="140" w:lineRule="exact"/>
        <w:ind w:left="0" w:right="0" w:firstLine="0"/>
      </w:pPr>
      <w:r>
        <w:rPr>
          <w:rStyle w:val="CharStyle22"/>
          <w:b/>
          <w:bCs/>
        </w:rPr>
        <w:t>Pojistná hodnota</w:t>
      </w:r>
    </w:p>
    <w:p>
      <w:pPr>
        <w:pStyle w:val="Style17"/>
        <w:widowControl w:val="0"/>
        <w:keepNext w:val="0"/>
        <w:keepLines w:val="0"/>
        <w:shd w:val="clear" w:color="auto" w:fill="auto"/>
        <w:bidi w:val="0"/>
        <w:jc w:val="left"/>
        <w:spacing w:before="0" w:after="260"/>
        <w:ind w:left="0" w:right="0" w:firstLine="0"/>
      </w:pPr>
      <w:r>
        <w:rPr>
          <w:rStyle w:val="CharStyle20"/>
        </w:rPr>
        <w:t>Pojistnou hodnotou pojištěného stroje je jeho nová cena (pojištění na novou cenu).</w:t>
      </w:r>
    </w:p>
    <w:p>
      <w:pPr>
        <w:pStyle w:val="Style13"/>
        <w:widowControl w:val="0"/>
        <w:keepNext/>
        <w:keepLines/>
        <w:shd w:val="clear" w:color="auto" w:fill="auto"/>
        <w:bidi w:val="0"/>
        <w:jc w:val="both"/>
        <w:spacing w:before="0" w:after="54" w:line="140" w:lineRule="exact"/>
        <w:ind w:left="0" w:right="0" w:firstLine="0"/>
      </w:pPr>
      <w:bookmarkStart w:id="9" w:name="bookmark9"/>
      <w:r>
        <w:rPr>
          <w:rStyle w:val="CharStyle21"/>
          <w:b/>
          <w:bCs/>
        </w:rPr>
        <w:t>Článek VIII.</w:t>
      </w:r>
      <w:bookmarkEnd w:id="9"/>
    </w:p>
    <w:p>
      <w:pPr>
        <w:pStyle w:val="Style15"/>
        <w:widowControl w:val="0"/>
        <w:keepNext w:val="0"/>
        <w:keepLines w:val="0"/>
        <w:shd w:val="clear" w:color="auto" w:fill="auto"/>
        <w:bidi w:val="0"/>
        <w:jc w:val="both"/>
        <w:spacing w:before="0" w:after="234" w:line="140" w:lineRule="exact"/>
        <w:ind w:left="0" w:right="0" w:firstLine="0"/>
      </w:pPr>
      <w:r>
        <w:rPr>
          <w:rStyle w:val="CharStyle22"/>
          <w:b/>
          <w:bCs/>
        </w:rPr>
        <w:t>Pojistné plnění</w:t>
      </w:r>
    </w:p>
    <w:p>
      <w:pPr>
        <w:pStyle w:val="Style17"/>
        <w:widowControl w:val="0"/>
        <w:keepNext w:val="0"/>
        <w:keepLines w:val="0"/>
        <w:shd w:val="clear" w:color="auto" w:fill="auto"/>
        <w:bidi w:val="0"/>
        <w:jc w:val="left"/>
        <w:spacing w:before="0" w:after="0"/>
        <w:ind w:left="0" w:right="0" w:firstLine="0"/>
      </w:pPr>
      <w:r>
        <w:rPr>
          <w:rStyle w:val="CharStyle20"/>
        </w:rPr>
        <w:t>1) Byl-li stroj pojištěn na novou cenu a není-li ujednáno jinak, vzniká oprávněné osobě právo, aby jí pojistitel vyplatil:</w:t>
      </w:r>
    </w:p>
    <w:p>
      <w:pPr>
        <w:pStyle w:val="Style17"/>
        <w:numPr>
          <w:ilvl w:val="0"/>
          <w:numId w:val="15"/>
        </w:numPr>
        <w:tabs>
          <w:tab w:leader="none" w:pos="255" w:val="left"/>
        </w:tabs>
        <w:widowControl w:val="0"/>
        <w:keepNext w:val="0"/>
        <w:keepLines w:val="0"/>
        <w:shd w:val="clear" w:color="auto" w:fill="auto"/>
        <w:bidi w:val="0"/>
        <w:jc w:val="left"/>
        <w:spacing w:before="0" w:after="0"/>
        <w:ind w:left="240" w:right="0"/>
      </w:pPr>
      <w:r>
        <w:rPr>
          <w:rStyle w:val="CharStyle20"/>
        </w:rPr>
        <w:t>v případě zničení stroje částku odpovídající přiměřeným nákladům na znovupořízení stejného nebo srovnatelného nového stroje sníženou o částku odpovídající stupni opotřebení nebo jiného znehodnocení stroje s přihlédnutím k případnému zhodnocení</w:t>
      </w:r>
    </w:p>
    <w:p>
      <w:pPr>
        <w:pStyle w:val="Style17"/>
        <w:widowControl w:val="0"/>
        <w:keepNext w:val="0"/>
        <w:keepLines w:val="0"/>
        <w:shd w:val="clear" w:color="auto" w:fill="auto"/>
        <w:bidi w:val="0"/>
        <w:jc w:val="left"/>
        <w:spacing w:before="0" w:after="0"/>
        <w:ind w:left="240" w:right="0" w:firstLine="0"/>
      </w:pPr>
      <w:r>
        <w:rPr>
          <w:rStyle w:val="CharStyle20"/>
        </w:rPr>
        <w:t>z doby bezprostředně před vznikem pojistné události a sníženou o cenu využitelných zbytků,</w:t>
      </w:r>
    </w:p>
    <w:p>
      <w:pPr>
        <w:pStyle w:val="Style17"/>
        <w:numPr>
          <w:ilvl w:val="0"/>
          <w:numId w:val="15"/>
        </w:numPr>
        <w:tabs>
          <w:tab w:leader="none" w:pos="255" w:val="left"/>
        </w:tabs>
        <w:widowControl w:val="0"/>
        <w:keepNext w:val="0"/>
        <w:keepLines w:val="0"/>
        <w:shd w:val="clear" w:color="auto" w:fill="auto"/>
        <w:bidi w:val="0"/>
        <w:jc w:val="left"/>
        <w:spacing w:before="0" w:after="0"/>
        <w:ind w:left="240" w:right="0"/>
      </w:pPr>
      <w:r>
        <w:rPr>
          <w:rStyle w:val="CharStyle20"/>
        </w:rPr>
        <w:t>v případě poškození stroje částku odpovídající přiměřeným nákladům na opravu poškozeného stroje sníženou o cenu využitelných zbytků nahrazovaných částí.</w:t>
      </w:r>
    </w:p>
    <w:p>
      <w:pPr>
        <w:pStyle w:val="Style17"/>
        <w:widowControl w:val="0"/>
        <w:keepNext w:val="0"/>
        <w:keepLines w:val="0"/>
        <w:shd w:val="clear" w:color="auto" w:fill="auto"/>
        <w:bidi w:val="0"/>
        <w:jc w:val="both"/>
        <w:spacing w:before="0" w:after="0"/>
        <w:ind w:left="0" w:right="0" w:firstLine="0"/>
      </w:pPr>
      <w:r>
        <w:rPr>
          <w:rStyle w:val="CharStyle20"/>
        </w:rPr>
        <w:t>Plnění pojistitele stanovené podle odst. 1) písm. b) tohoto článku však nepřevýší částku vypočtenou podle odst. 1) písm. a) tohoto článku.</w:t>
      </w:r>
    </w:p>
    <w:p>
      <w:pPr>
        <w:pStyle w:val="Style17"/>
        <w:numPr>
          <w:ilvl w:val="0"/>
          <w:numId w:val="17"/>
        </w:numPr>
        <w:tabs>
          <w:tab w:leader="none" w:pos="265" w:val="left"/>
        </w:tabs>
        <w:widowControl w:val="0"/>
        <w:keepNext w:val="0"/>
        <w:keepLines w:val="0"/>
        <w:shd w:val="clear" w:color="auto" w:fill="auto"/>
        <w:bidi w:val="0"/>
        <w:jc w:val="left"/>
        <w:spacing w:before="0" w:after="0"/>
        <w:ind w:left="0" w:right="0" w:firstLine="0"/>
      </w:pPr>
      <w:r>
        <w:rPr>
          <w:rStyle w:val="CharStyle20"/>
        </w:rPr>
        <w:t>Pojistitel poskytne plnění také za přiměřené náklady, které oprávněná osoba prokazatelně vynaložila na:</w:t>
      </w:r>
    </w:p>
    <w:p>
      <w:pPr>
        <w:pStyle w:val="Style17"/>
        <w:numPr>
          <w:ilvl w:val="0"/>
          <w:numId w:val="19"/>
        </w:numPr>
        <w:tabs>
          <w:tab w:leader="none" w:pos="250" w:val="left"/>
        </w:tabs>
        <w:widowControl w:val="0"/>
        <w:keepNext w:val="0"/>
        <w:keepLines w:val="0"/>
        <w:shd w:val="clear" w:color="auto" w:fill="auto"/>
        <w:bidi w:val="0"/>
        <w:jc w:val="left"/>
        <w:spacing w:before="0" w:after="0"/>
        <w:ind w:left="240" w:right="0"/>
      </w:pPr>
      <w:r>
        <w:rPr>
          <w:rStyle w:val="CharStyle20"/>
        </w:rPr>
        <w:t>provizorní opravu, pokud se tím nezvýší náklady na celkovou opravu, nerozhodne-li pojistitel jinak,</w:t>
      </w:r>
    </w:p>
    <w:p>
      <w:pPr>
        <w:pStyle w:val="Style17"/>
        <w:numPr>
          <w:ilvl w:val="0"/>
          <w:numId w:val="19"/>
        </w:numPr>
        <w:tabs>
          <w:tab w:leader="none" w:pos="255" w:val="left"/>
        </w:tabs>
        <w:widowControl w:val="0"/>
        <w:keepNext w:val="0"/>
        <w:keepLines w:val="0"/>
        <w:shd w:val="clear" w:color="auto" w:fill="auto"/>
        <w:bidi w:val="0"/>
        <w:jc w:val="both"/>
        <w:spacing w:before="0" w:after="0"/>
        <w:ind w:left="0" w:right="0" w:firstLine="0"/>
      </w:pPr>
      <w:r>
        <w:rPr>
          <w:rStyle w:val="CharStyle20"/>
        </w:rPr>
        <w:t>demontáž a montáž poškozeného zařízení,</w:t>
      </w:r>
    </w:p>
    <w:p>
      <w:pPr>
        <w:pStyle w:val="Style17"/>
        <w:numPr>
          <w:ilvl w:val="0"/>
          <w:numId w:val="19"/>
        </w:numPr>
        <w:tabs>
          <w:tab w:leader="none" w:pos="255" w:val="left"/>
        </w:tabs>
        <w:widowControl w:val="0"/>
        <w:keepNext w:val="0"/>
        <w:keepLines w:val="0"/>
        <w:shd w:val="clear" w:color="auto" w:fill="auto"/>
        <w:bidi w:val="0"/>
        <w:jc w:val="left"/>
        <w:spacing w:before="0"/>
        <w:ind w:left="240" w:right="0"/>
      </w:pPr>
      <w:r>
        <w:rPr>
          <w:rStyle w:val="CharStyle20"/>
        </w:rPr>
        <w:t>expresní dopravu náhradních dílů, pokud je nebylo účelné zajistit obvyklou dopravou a pokud jejich vynaložení pojistitel předem odsouhlasil.</w:t>
      </w:r>
    </w:p>
    <w:p>
      <w:pPr>
        <w:pStyle w:val="Style17"/>
        <w:numPr>
          <w:ilvl w:val="0"/>
          <w:numId w:val="17"/>
        </w:numPr>
        <w:tabs>
          <w:tab w:leader="none" w:pos="265" w:val="left"/>
        </w:tabs>
        <w:widowControl w:val="0"/>
        <w:keepNext w:val="0"/>
        <w:keepLines w:val="0"/>
        <w:shd w:val="clear" w:color="auto" w:fill="auto"/>
        <w:bidi w:val="0"/>
        <w:jc w:val="both"/>
        <w:spacing w:before="0" w:after="0"/>
        <w:ind w:left="0" w:right="0" w:firstLine="0"/>
      </w:pPr>
      <w:r>
        <w:rPr>
          <w:rStyle w:val="CharStyle20"/>
        </w:rPr>
        <w:t>Pojistitel neposkytne plnění za náklady:</w:t>
      </w:r>
    </w:p>
    <w:p>
      <w:pPr>
        <w:pStyle w:val="Style17"/>
        <w:numPr>
          <w:ilvl w:val="0"/>
          <w:numId w:val="21"/>
        </w:numPr>
        <w:tabs>
          <w:tab w:leader="none" w:pos="250" w:val="left"/>
        </w:tabs>
        <w:widowControl w:val="0"/>
        <w:keepNext w:val="0"/>
        <w:keepLines w:val="0"/>
        <w:shd w:val="clear" w:color="auto" w:fill="auto"/>
        <w:bidi w:val="0"/>
        <w:jc w:val="left"/>
        <w:spacing w:before="0" w:after="0"/>
        <w:ind w:left="240" w:right="0"/>
      </w:pPr>
      <w:r>
        <w:rPr>
          <w:rStyle w:val="CharStyle20"/>
        </w:rPr>
        <w:t>které by vznikly i tehdy, pokud by nevznikla pojistná událost (např. náklady na údržbu),</w:t>
      </w:r>
    </w:p>
    <w:p>
      <w:pPr>
        <w:pStyle w:val="Style17"/>
        <w:numPr>
          <w:ilvl w:val="0"/>
          <w:numId w:val="21"/>
        </w:numPr>
        <w:tabs>
          <w:tab w:leader="none" w:pos="255" w:val="left"/>
        </w:tabs>
        <w:widowControl w:val="0"/>
        <w:keepNext w:val="0"/>
        <w:keepLines w:val="0"/>
        <w:shd w:val="clear" w:color="auto" w:fill="auto"/>
        <w:bidi w:val="0"/>
        <w:jc w:val="both"/>
        <w:spacing w:before="0"/>
        <w:ind w:left="0" w:right="0" w:firstLine="0"/>
      </w:pPr>
      <w:r>
        <w:rPr>
          <w:rStyle w:val="CharStyle20"/>
        </w:rPr>
        <w:t>vzniklé změnou nebo vylepšením stroje jakýmkoli způsobem.</w:t>
      </w:r>
    </w:p>
    <w:p>
      <w:pPr>
        <w:pStyle w:val="Style17"/>
        <w:numPr>
          <w:ilvl w:val="0"/>
          <w:numId w:val="17"/>
        </w:numPr>
        <w:tabs>
          <w:tab w:leader="none" w:pos="265" w:val="left"/>
        </w:tabs>
        <w:widowControl w:val="0"/>
        <w:keepNext w:val="0"/>
        <w:keepLines w:val="0"/>
        <w:shd w:val="clear" w:color="auto" w:fill="auto"/>
        <w:bidi w:val="0"/>
        <w:jc w:val="left"/>
        <w:spacing w:before="0" w:after="0"/>
        <w:ind w:left="0" w:right="0" w:firstLine="0"/>
      </w:pPr>
      <w:r>
        <w:rPr>
          <w:rStyle w:val="CharStyle20"/>
        </w:rPr>
        <w:t>Vznikla-li pojistná událost na stroji pojištěném na jinou cenu, řídí se plnění pojistitele příslušnými ustanoveními pojistné smlouvy.</w:t>
      </w:r>
    </w:p>
    <w:p>
      <w:pPr>
        <w:pStyle w:val="Style17"/>
        <w:widowControl w:val="0"/>
        <w:keepNext w:val="0"/>
        <w:keepLines w:val="0"/>
        <w:shd w:val="clear" w:color="auto" w:fill="auto"/>
        <w:bidi w:val="0"/>
        <w:jc w:val="left"/>
        <w:spacing w:before="0" w:after="260"/>
        <w:ind w:left="0" w:right="0" w:firstLine="0"/>
      </w:pPr>
      <w:r>
        <w:rPr>
          <w:rStyle w:val="CharStyle20"/>
        </w:rPr>
        <w:t>Pokud není ujednáno jinak, nesmí plnění pojistitele přesáhnout částku vypočtenou podle odst. 1) tohoto článku.</w:t>
      </w:r>
    </w:p>
    <w:p>
      <w:pPr>
        <w:pStyle w:val="Style13"/>
        <w:widowControl w:val="0"/>
        <w:keepNext/>
        <w:keepLines/>
        <w:shd w:val="clear" w:color="auto" w:fill="auto"/>
        <w:bidi w:val="0"/>
        <w:jc w:val="both"/>
        <w:spacing w:before="0" w:after="54" w:line="140" w:lineRule="exact"/>
        <w:ind w:left="0" w:right="0" w:firstLine="0"/>
      </w:pPr>
      <w:bookmarkStart w:id="10" w:name="bookmark10"/>
      <w:r>
        <w:rPr>
          <w:rStyle w:val="CharStyle21"/>
          <w:b/>
          <w:bCs/>
        </w:rPr>
        <w:t>Článek IX.</w:t>
      </w:r>
      <w:bookmarkEnd w:id="10"/>
    </w:p>
    <w:p>
      <w:pPr>
        <w:pStyle w:val="Style15"/>
        <w:widowControl w:val="0"/>
        <w:keepNext w:val="0"/>
        <w:keepLines w:val="0"/>
        <w:shd w:val="clear" w:color="auto" w:fill="auto"/>
        <w:bidi w:val="0"/>
        <w:jc w:val="both"/>
        <w:spacing w:before="0" w:after="214" w:line="140" w:lineRule="exact"/>
        <w:ind w:left="0" w:right="0" w:firstLine="0"/>
      </w:pPr>
      <w:r>
        <w:rPr>
          <w:rStyle w:val="CharStyle22"/>
          <w:b/>
          <w:bCs/>
        </w:rPr>
        <w:t>Výklad pojmů</w:t>
      </w:r>
    </w:p>
    <w:p>
      <w:pPr>
        <w:pStyle w:val="Style17"/>
        <w:widowControl w:val="0"/>
        <w:keepNext w:val="0"/>
        <w:keepLines w:val="0"/>
        <w:shd w:val="clear" w:color="auto" w:fill="auto"/>
        <w:bidi w:val="0"/>
        <w:jc w:val="left"/>
        <w:spacing w:before="0" w:after="260"/>
        <w:ind w:left="0" w:right="0" w:firstLine="0"/>
      </w:pPr>
      <w:r>
        <w:rPr>
          <w:rStyle w:val="CharStyle20"/>
        </w:rPr>
        <w:t>Pro účely pojištění podle těchto zvláštních pojistných podmínek platí tento výklad pojmů:</w:t>
      </w:r>
    </w:p>
    <w:p>
      <w:pPr>
        <w:pStyle w:val="Style17"/>
        <w:numPr>
          <w:ilvl w:val="0"/>
          <w:numId w:val="23"/>
        </w:numPr>
        <w:tabs>
          <w:tab w:leader="none" w:pos="255" w:val="left"/>
        </w:tabs>
        <w:widowControl w:val="0"/>
        <w:keepNext w:val="0"/>
        <w:keepLines w:val="0"/>
        <w:shd w:val="clear" w:color="auto" w:fill="auto"/>
        <w:bidi w:val="0"/>
        <w:jc w:val="both"/>
        <w:spacing w:before="0" w:after="314" w:line="140" w:lineRule="exact"/>
        <w:ind w:left="0" w:right="0" w:firstLine="0"/>
      </w:pPr>
      <w:r>
        <w:rPr>
          <w:rStyle w:val="CharStyle23"/>
        </w:rPr>
        <w:t xml:space="preserve">Data </w:t>
      </w:r>
      <w:r>
        <w:rPr>
          <w:rStyle w:val="CharStyle20"/>
        </w:rPr>
        <w:t>jsou informace zpracovatelné na elektronických zařízeních.</w:t>
      </w:r>
    </w:p>
    <w:p>
      <w:pPr>
        <w:pStyle w:val="Style17"/>
        <w:numPr>
          <w:ilvl w:val="0"/>
          <w:numId w:val="23"/>
        </w:numPr>
        <w:tabs>
          <w:tab w:leader="none" w:pos="265" w:val="left"/>
        </w:tabs>
        <w:widowControl w:val="0"/>
        <w:keepNext w:val="0"/>
        <w:keepLines w:val="0"/>
        <w:shd w:val="clear" w:color="auto" w:fill="auto"/>
        <w:bidi w:val="0"/>
        <w:jc w:val="both"/>
        <w:spacing w:before="0" w:after="234" w:line="140" w:lineRule="exact"/>
        <w:ind w:left="0" w:right="0" w:firstLine="0"/>
      </w:pPr>
      <w:r>
        <w:rPr>
          <w:rStyle w:val="CharStyle23"/>
        </w:rPr>
        <w:t xml:space="preserve">Krupobitím </w:t>
      </w:r>
      <w:r>
        <w:rPr>
          <w:rStyle w:val="CharStyle20"/>
        </w:rPr>
        <w:t>se rozumí pád kousků ledu vytvořených v atmosféře.</w:t>
      </w:r>
    </w:p>
    <w:p>
      <w:pPr>
        <w:pStyle w:val="Style17"/>
        <w:numPr>
          <w:ilvl w:val="0"/>
          <w:numId w:val="23"/>
        </w:numPr>
        <w:tabs>
          <w:tab w:leader="none" w:pos="265" w:val="left"/>
        </w:tabs>
        <w:widowControl w:val="0"/>
        <w:keepNext w:val="0"/>
        <w:keepLines w:val="0"/>
        <w:shd w:val="clear" w:color="auto" w:fill="auto"/>
        <w:bidi w:val="0"/>
        <w:jc w:val="left"/>
        <w:spacing w:before="0"/>
        <w:ind w:left="0" w:right="0" w:firstLine="0"/>
      </w:pPr>
      <w:r>
        <w:rPr>
          <w:rStyle w:val="CharStyle23"/>
        </w:rPr>
        <w:t xml:space="preserve">Pádem stromů, stožárů nebo jiných předmětů </w:t>
      </w:r>
      <w:r>
        <w:rPr>
          <w:rStyle w:val="CharStyle20"/>
        </w:rPr>
        <w:t>se rozumí takový pohyb tělesa, který má znaky pádu způsobeného zemskou gravitací.</w:t>
      </w:r>
    </w:p>
    <w:p>
      <w:pPr>
        <w:pStyle w:val="Style17"/>
        <w:numPr>
          <w:ilvl w:val="0"/>
          <w:numId w:val="23"/>
        </w:numPr>
        <w:tabs>
          <w:tab w:leader="none" w:pos="265" w:val="left"/>
        </w:tabs>
        <w:widowControl w:val="0"/>
        <w:keepNext w:val="0"/>
        <w:keepLines w:val="0"/>
        <w:shd w:val="clear" w:color="auto" w:fill="auto"/>
        <w:bidi w:val="0"/>
        <w:jc w:val="left"/>
        <w:spacing w:before="0"/>
        <w:ind w:left="0" w:right="0" w:firstLine="0"/>
      </w:pPr>
      <w:r>
        <w:rPr>
          <w:rStyle w:val="CharStyle23"/>
        </w:rPr>
        <w:t xml:space="preserve">Poškozením stroje </w:t>
      </w:r>
      <w:r>
        <w:rPr>
          <w:rStyle w:val="CharStyle20"/>
        </w:rPr>
        <w:t>se rozumí takové poškození, které lze odstranit opravou, přičemž náklady na tuto opravu nepřevýší částku odpovídající časové ceně stroje v době bezprostředně před vznikem pojistné události.</w:t>
      </w:r>
    </w:p>
    <w:p>
      <w:pPr>
        <w:pStyle w:val="Style17"/>
        <w:numPr>
          <w:ilvl w:val="0"/>
          <w:numId w:val="23"/>
        </w:numPr>
        <w:tabs>
          <w:tab w:leader="none" w:pos="274" w:val="left"/>
        </w:tabs>
        <w:widowControl w:val="0"/>
        <w:keepNext w:val="0"/>
        <w:keepLines w:val="0"/>
        <w:shd w:val="clear" w:color="auto" w:fill="auto"/>
        <w:bidi w:val="0"/>
        <w:jc w:val="left"/>
        <w:spacing w:before="0"/>
        <w:ind w:left="0" w:right="0" w:firstLine="0"/>
      </w:pPr>
      <w:r>
        <w:rPr>
          <w:rStyle w:val="CharStyle23"/>
        </w:rPr>
        <w:t xml:space="preserve">Povodní </w:t>
      </w:r>
      <w:r>
        <w:rPr>
          <w:rStyle w:val="CharStyle20"/>
        </w:rPr>
        <w:t>se rozumí přechodné výrazné zvýšení hladiny vodních toků nebo jiných povrchových vod, při kterém voda již zaplavuje místo pojištění mimo koryto vodního toku. Povodní je i stav, kdy voda z určitého území nemůže dočasně přirozeným způsobem odtékat nebo její odtok je nedostatečný, případně je zaplavováno území při soustředěném odtoku srážkových vod.</w:t>
      </w:r>
    </w:p>
    <w:p>
      <w:pPr>
        <w:pStyle w:val="Style17"/>
        <w:numPr>
          <w:ilvl w:val="0"/>
          <w:numId w:val="23"/>
        </w:numPr>
        <w:tabs>
          <w:tab w:leader="none" w:pos="270" w:val="left"/>
        </w:tabs>
        <w:widowControl w:val="0"/>
        <w:keepNext w:val="0"/>
        <w:keepLines w:val="0"/>
        <w:shd w:val="clear" w:color="auto" w:fill="auto"/>
        <w:bidi w:val="0"/>
        <w:jc w:val="left"/>
        <w:spacing w:before="0"/>
        <w:ind w:left="0" w:right="0" w:firstLine="0"/>
      </w:pPr>
      <w:r>
        <w:rPr>
          <w:rStyle w:val="CharStyle23"/>
        </w:rPr>
        <w:t xml:space="preserve">Požár </w:t>
      </w:r>
      <w:r>
        <w:rPr>
          <w:rStyle w:val="CharStyle20"/>
        </w:rPr>
        <w:t>je oheň, který vznikl mimo určené ohniště nebo který určené ohniště opustil a který se vlastní silou rozšířil nebo byl pachatelem úmyslně rozšířen.</w:t>
      </w:r>
    </w:p>
    <w:p>
      <w:pPr>
        <w:pStyle w:val="Style17"/>
        <w:numPr>
          <w:ilvl w:val="0"/>
          <w:numId w:val="23"/>
        </w:numPr>
        <w:tabs>
          <w:tab w:leader="none" w:pos="265" w:val="left"/>
        </w:tabs>
        <w:widowControl w:val="0"/>
        <w:keepNext w:val="0"/>
        <w:keepLines w:val="0"/>
        <w:shd w:val="clear" w:color="auto" w:fill="auto"/>
        <w:bidi w:val="0"/>
        <w:jc w:val="left"/>
        <w:spacing w:before="0"/>
        <w:ind w:left="0" w:right="0" w:firstLine="0"/>
      </w:pPr>
      <w:r>
        <w:rPr>
          <w:rStyle w:val="CharStyle23"/>
        </w:rPr>
        <w:t xml:space="preserve">Provozuschopný stav </w:t>
      </w:r>
      <w:r>
        <w:rPr>
          <w:rStyle w:val="CharStyle20"/>
        </w:rPr>
        <w:t>je takový stav stroje, ve kterém je po úspěšně dokončeném přejímacím testu a zkušebním provozu schopen plnit určené funkce a dodržovat hodnoty parametrů v mezích stanovených technickou dokumentací.</w:t>
      </w:r>
    </w:p>
    <w:p>
      <w:pPr>
        <w:pStyle w:val="Style17"/>
        <w:numPr>
          <w:ilvl w:val="0"/>
          <w:numId w:val="23"/>
        </w:numPr>
        <w:tabs>
          <w:tab w:leader="none" w:pos="270" w:val="left"/>
        </w:tabs>
        <w:widowControl w:val="0"/>
        <w:keepNext w:val="0"/>
        <w:keepLines w:val="0"/>
        <w:shd w:val="clear" w:color="auto" w:fill="auto"/>
        <w:bidi w:val="0"/>
        <w:jc w:val="left"/>
        <w:spacing w:before="0"/>
        <w:ind w:left="0" w:right="0" w:firstLine="0"/>
      </w:pPr>
      <w:r>
        <w:rPr>
          <w:rStyle w:val="CharStyle23"/>
        </w:rPr>
        <w:t xml:space="preserve">Průvodními jevy požáru </w:t>
      </w:r>
      <w:r>
        <w:rPr>
          <w:rStyle w:val="CharStyle20"/>
        </w:rPr>
        <w:t>se rozumí teplo a zplodiny hoření vznikající při požáru a dále působení hasební látky použité při zásahu proti požáru.</w:t>
      </w:r>
    </w:p>
    <w:p>
      <w:pPr>
        <w:pStyle w:val="Style17"/>
        <w:numPr>
          <w:ilvl w:val="0"/>
          <w:numId w:val="23"/>
        </w:numPr>
        <w:tabs>
          <w:tab w:leader="none" w:pos="274" w:val="left"/>
        </w:tabs>
        <w:widowControl w:val="0"/>
        <w:keepNext w:val="0"/>
        <w:keepLines w:val="0"/>
        <w:shd w:val="clear" w:color="auto" w:fill="auto"/>
        <w:bidi w:val="0"/>
        <w:jc w:val="left"/>
        <w:spacing w:before="0" w:after="0"/>
        <w:ind w:left="0" w:right="0" w:firstLine="0"/>
        <w:sectPr>
          <w:pgSz w:w="11900" w:h="16840"/>
          <w:pgMar w:top="1008" w:left="939" w:right="934" w:bottom="1008" w:header="0" w:footer="3" w:gutter="0"/>
          <w:rtlGutter w:val="0"/>
          <w:cols w:num="2" w:space="341"/>
          <w:noEndnote/>
          <w:docGrid w:linePitch="360"/>
        </w:sectPr>
      </w:pPr>
      <w:r>
        <w:rPr>
          <w:rStyle w:val="CharStyle23"/>
        </w:rPr>
        <w:t xml:space="preserve">Přiměřenými náklady </w:t>
      </w:r>
      <w:r>
        <w:rPr>
          <w:rStyle w:val="CharStyle20"/>
        </w:rPr>
        <w:t>se rozumí náklady, které jsou obvyklé v době vzniku pojistné události v daném místě. Za přiměřené náklady se nepovažují příplatky za práci přesčas, expresní příplatky, příplatky za letecké dodávky apod.</w:t>
      </w:r>
    </w:p>
    <w:p>
      <w:pPr>
        <w:pStyle w:val="Style17"/>
        <w:numPr>
          <w:ilvl w:val="0"/>
          <w:numId w:val="23"/>
        </w:numPr>
        <w:tabs>
          <w:tab w:leader="none" w:pos="361" w:val="left"/>
          <w:tab w:leader="none" w:pos="5172" w:val="left"/>
        </w:tabs>
        <w:widowControl w:val="0"/>
        <w:keepNext w:val="0"/>
        <w:keepLines w:val="0"/>
        <w:shd w:val="clear" w:color="auto" w:fill="auto"/>
        <w:bidi w:val="0"/>
        <w:jc w:val="both"/>
        <w:spacing w:before="0" w:after="0"/>
        <w:ind w:left="0" w:right="0" w:firstLine="0"/>
      </w:pPr>
      <w:r>
        <w:rPr>
          <w:rStyle w:val="CharStyle23"/>
        </w:rPr>
        <w:t xml:space="preserve">Příslušenstvím stroje </w:t>
      </w:r>
      <w:r>
        <w:rPr>
          <w:rStyle w:val="CharStyle20"/>
        </w:rPr>
        <w:t>je pomocné zařízení, pomocné přístroje</w:t>
        <w:tab/>
      </w:r>
      <w:r>
        <w:rPr>
          <w:rStyle w:val="CharStyle23"/>
        </w:rPr>
        <w:t>Článek X.</w:t>
      </w:r>
    </w:p>
    <w:p>
      <w:pPr>
        <w:pStyle w:val="Style17"/>
        <w:widowControl w:val="0"/>
        <w:keepNext w:val="0"/>
        <w:keepLines w:val="0"/>
        <w:shd w:val="clear" w:color="auto" w:fill="auto"/>
        <w:bidi w:val="0"/>
        <w:jc w:val="left"/>
        <w:spacing w:before="0" w:after="0"/>
        <w:ind w:left="0" w:right="2340" w:firstLine="0"/>
      </w:pPr>
      <w:r>
        <w:rPr>
          <w:rStyle w:val="CharStyle20"/>
        </w:rPr>
        <w:t xml:space="preserve">a prostředky se strojem pevně spojené, které jsou po technické stránce </w:t>
      </w:r>
      <w:r>
        <w:rPr>
          <w:rStyle w:val="CharStyle23"/>
        </w:rPr>
        <w:t xml:space="preserve">Závěrečné ustanovení </w:t>
      </w:r>
      <w:r>
        <w:rPr>
          <w:rStyle w:val="CharStyle20"/>
        </w:rPr>
        <w:t>nezbytné pro činnost stroje podle jeho účelu. Za příslušenství stroje se</w:t>
      </w:r>
    </w:p>
    <w:p>
      <w:pPr>
        <w:pStyle w:val="Style17"/>
        <w:tabs>
          <w:tab w:leader="none" w:pos="5172" w:val="left"/>
        </w:tabs>
        <w:widowControl w:val="0"/>
        <w:keepNext w:val="0"/>
        <w:keepLines w:val="0"/>
        <w:shd w:val="clear" w:color="auto" w:fill="auto"/>
        <w:bidi w:val="0"/>
        <w:jc w:val="both"/>
        <w:spacing w:before="0" w:after="0"/>
        <w:ind w:left="0" w:right="0" w:firstLine="0"/>
      </w:pPr>
      <w:r>
        <w:rPr>
          <w:rStyle w:val="CharStyle20"/>
        </w:rPr>
        <w:t>nepovažují data.</w:t>
        <w:tab/>
        <w:t>Tyto zvláštní pojistné podmínky nabývají účinnosti dnem</w:t>
      </w:r>
    </w:p>
    <w:p>
      <w:pPr>
        <w:pStyle w:val="Style17"/>
        <w:widowControl w:val="0"/>
        <w:keepNext w:val="0"/>
        <w:keepLines w:val="0"/>
        <w:shd w:val="clear" w:color="auto" w:fill="auto"/>
        <w:bidi w:val="0"/>
        <w:jc w:val="left"/>
        <w:spacing w:before="0" w:after="0"/>
        <w:ind w:left="5220" w:right="0" w:firstLine="0"/>
      </w:pPr>
      <w:r>
        <w:rPr>
          <w:rStyle w:val="CharStyle20"/>
        </w:rPr>
        <w:t>1. ledna 2005.</w:t>
      </w:r>
    </w:p>
    <w:p>
      <w:pPr>
        <w:pStyle w:val="Style17"/>
        <w:numPr>
          <w:ilvl w:val="0"/>
          <w:numId w:val="23"/>
        </w:numPr>
        <w:tabs>
          <w:tab w:leader="none" w:pos="370" w:val="left"/>
        </w:tabs>
        <w:widowControl w:val="0"/>
        <w:keepNext w:val="0"/>
        <w:keepLines w:val="0"/>
        <w:shd w:val="clear" w:color="auto" w:fill="auto"/>
        <w:bidi w:val="0"/>
        <w:jc w:val="left"/>
        <w:spacing w:before="0" w:after="0"/>
        <w:ind w:left="0" w:right="4240" w:firstLine="0"/>
      </w:pPr>
      <w:r>
        <w:rPr>
          <w:rStyle w:val="CharStyle23"/>
        </w:rPr>
        <w:t xml:space="preserve">Přirozeným opotřebením </w:t>
      </w:r>
      <w:r>
        <w:rPr>
          <w:rStyle w:val="CharStyle20"/>
        </w:rPr>
        <w:t>je pozvolný proces spotřeby stroje, způsobený jeho používáním během provozu nebo jinými aktivními vnějšími vlivy dlouhodobějšího charakteru (např. trvalým působením chemických, teplotních, mechanických vlivů a elektrických vlivů).</w:t>
      </w:r>
    </w:p>
    <w:p>
      <w:pPr>
        <w:pStyle w:val="Style17"/>
        <w:widowControl w:val="0"/>
        <w:keepNext w:val="0"/>
        <w:keepLines w:val="0"/>
        <w:shd w:val="clear" w:color="auto" w:fill="auto"/>
        <w:bidi w:val="0"/>
        <w:jc w:val="left"/>
        <w:spacing w:before="0"/>
        <w:ind w:left="0" w:right="4240" w:firstLine="0"/>
      </w:pPr>
      <w:r>
        <w:rPr>
          <w:rStyle w:val="CharStyle20"/>
        </w:rPr>
        <w:t>Projevuje se především postupným snižováním hodnot parametrů stanovených výrobcem pro daný stroj.</w:t>
      </w:r>
    </w:p>
    <w:p>
      <w:pPr>
        <w:pStyle w:val="Style17"/>
        <w:numPr>
          <w:ilvl w:val="0"/>
          <w:numId w:val="23"/>
        </w:numPr>
        <w:tabs>
          <w:tab w:leader="none" w:pos="361" w:val="left"/>
        </w:tabs>
        <w:widowControl w:val="0"/>
        <w:keepNext w:val="0"/>
        <w:keepLines w:val="0"/>
        <w:shd w:val="clear" w:color="auto" w:fill="auto"/>
        <w:bidi w:val="0"/>
        <w:jc w:val="left"/>
        <w:spacing w:before="0"/>
        <w:ind w:left="0" w:right="4240" w:firstLine="0"/>
      </w:pPr>
      <w:r>
        <w:rPr>
          <w:rStyle w:val="CharStyle23"/>
        </w:rPr>
        <w:t xml:space="preserve">Sesouváním nebo zřícením lavin </w:t>
      </w:r>
      <w:r>
        <w:rPr>
          <w:rStyle w:val="CharStyle20"/>
        </w:rPr>
        <w:t>se rozumí jev, kdy se masa sněhu nebo ledu náhle uvede do pohybu a řítí se do údolí.</w:t>
      </w:r>
    </w:p>
    <w:p>
      <w:pPr>
        <w:pStyle w:val="Style17"/>
        <w:numPr>
          <w:ilvl w:val="0"/>
          <w:numId w:val="23"/>
        </w:numPr>
        <w:tabs>
          <w:tab w:leader="none" w:pos="361" w:val="left"/>
        </w:tabs>
        <w:widowControl w:val="0"/>
        <w:keepNext w:val="0"/>
        <w:keepLines w:val="0"/>
        <w:shd w:val="clear" w:color="auto" w:fill="auto"/>
        <w:bidi w:val="0"/>
        <w:jc w:val="left"/>
        <w:spacing w:before="0"/>
        <w:ind w:left="0" w:right="4240" w:firstLine="0"/>
      </w:pPr>
      <w:r>
        <w:rPr>
          <w:rStyle w:val="CharStyle23"/>
        </w:rPr>
        <w:t xml:space="preserve">Sesouváním půdy, zřícením skal nebo zemin </w:t>
      </w:r>
      <w:r>
        <w:rPr>
          <w:rStyle w:val="CharStyle20"/>
        </w:rPr>
        <w:t>se rozumí pohyb hornin z vyšších poloh svahu do nižších, ke kterému dochází působením přírodních sil nebo lidské činnosti při porušení podmínek rovnováhy svahu.</w:t>
      </w:r>
    </w:p>
    <w:p>
      <w:pPr>
        <w:pStyle w:val="Style17"/>
        <w:numPr>
          <w:ilvl w:val="0"/>
          <w:numId w:val="23"/>
        </w:numPr>
        <w:tabs>
          <w:tab w:leader="none" w:pos="361" w:val="left"/>
        </w:tabs>
        <w:widowControl w:val="0"/>
        <w:keepNext w:val="0"/>
        <w:keepLines w:val="0"/>
        <w:shd w:val="clear" w:color="auto" w:fill="auto"/>
        <w:bidi w:val="0"/>
        <w:jc w:val="left"/>
        <w:spacing w:before="0" w:after="260"/>
        <w:ind w:left="0" w:right="4240" w:firstLine="0"/>
      </w:pPr>
      <w:r>
        <w:rPr>
          <w:rStyle w:val="CharStyle23"/>
        </w:rPr>
        <w:t xml:space="preserve">Soubor strojů </w:t>
      </w:r>
      <w:r>
        <w:rPr>
          <w:rStyle w:val="CharStyle20"/>
        </w:rPr>
        <w:t>tvoří jednotlivé stroje, které mají stejný nebo podobný charakter nebo jsou určeny ke stejnému účelu.</w:t>
      </w:r>
    </w:p>
    <w:p>
      <w:pPr>
        <w:pStyle w:val="Style17"/>
        <w:numPr>
          <w:ilvl w:val="0"/>
          <w:numId w:val="23"/>
        </w:numPr>
        <w:tabs>
          <w:tab w:leader="none" w:pos="361" w:val="left"/>
        </w:tabs>
        <w:widowControl w:val="0"/>
        <w:keepNext w:val="0"/>
        <w:keepLines w:val="0"/>
        <w:shd w:val="clear" w:color="auto" w:fill="auto"/>
        <w:bidi w:val="0"/>
        <w:jc w:val="both"/>
        <w:spacing w:before="0" w:after="0" w:line="140" w:lineRule="exact"/>
        <w:ind w:left="0" w:right="0" w:firstLine="0"/>
      </w:pPr>
      <w:r>
        <w:rPr>
          <w:rStyle w:val="CharStyle23"/>
        </w:rPr>
        <w:t xml:space="preserve">Strojní zařízení </w:t>
      </w:r>
      <w:r>
        <w:rPr>
          <w:rStyle w:val="CharStyle20"/>
        </w:rPr>
        <w:t>je souhrn několika vzájemně (technologicky</w:t>
      </w:r>
    </w:p>
    <w:p>
      <w:pPr>
        <w:pStyle w:val="Style17"/>
        <w:widowControl w:val="0"/>
        <w:keepNext w:val="0"/>
        <w:keepLines w:val="0"/>
        <w:shd w:val="clear" w:color="auto" w:fill="auto"/>
        <w:bidi w:val="0"/>
        <w:jc w:val="left"/>
        <w:spacing w:before="0"/>
        <w:ind w:left="0" w:right="4240" w:firstLine="0"/>
      </w:pPr>
      <w:r>
        <w:rPr>
          <w:rStyle w:val="CharStyle20"/>
        </w:rPr>
        <w:t>a konstrukčně) spojených strojů a mechanismů určených na plnění předepsaných funkcí.</w:t>
      </w:r>
    </w:p>
    <w:p>
      <w:pPr>
        <w:pStyle w:val="Style17"/>
        <w:numPr>
          <w:ilvl w:val="0"/>
          <w:numId w:val="23"/>
        </w:numPr>
        <w:tabs>
          <w:tab w:leader="none" w:pos="361" w:val="left"/>
        </w:tabs>
        <w:widowControl w:val="0"/>
        <w:keepNext w:val="0"/>
        <w:keepLines w:val="0"/>
        <w:shd w:val="clear" w:color="auto" w:fill="auto"/>
        <w:bidi w:val="0"/>
        <w:jc w:val="left"/>
        <w:spacing w:before="0"/>
        <w:ind w:left="0" w:right="4240" w:firstLine="0"/>
      </w:pPr>
      <w:r>
        <w:rPr>
          <w:rStyle w:val="CharStyle23"/>
        </w:rPr>
        <w:t xml:space="preserve">Tíhou sněhu nebo námrazy </w:t>
      </w:r>
      <w:r>
        <w:rPr>
          <w:rStyle w:val="CharStyle20"/>
        </w:rPr>
        <w:t>se rozumí destruktivní působení jejich hmotnosti na konstrukce budov.</w:t>
      </w:r>
    </w:p>
    <w:p>
      <w:pPr>
        <w:pStyle w:val="Style17"/>
        <w:numPr>
          <w:ilvl w:val="0"/>
          <w:numId w:val="23"/>
        </w:numPr>
        <w:tabs>
          <w:tab w:leader="none" w:pos="361" w:val="left"/>
        </w:tabs>
        <w:widowControl w:val="0"/>
        <w:keepNext w:val="0"/>
        <w:keepLines w:val="0"/>
        <w:shd w:val="clear" w:color="auto" w:fill="auto"/>
        <w:bidi w:val="0"/>
        <w:jc w:val="left"/>
        <w:spacing w:before="0"/>
        <w:ind w:left="0" w:right="4240" w:firstLine="0"/>
      </w:pPr>
      <w:r>
        <w:rPr>
          <w:rStyle w:val="CharStyle23"/>
        </w:rPr>
        <w:t xml:space="preserve">Úderem blesku </w:t>
      </w:r>
      <w:r>
        <w:rPr>
          <w:rStyle w:val="CharStyle20"/>
        </w:rPr>
        <w:t>se rozumí přímé a bezprostřední působení energie blesku nebo teploty jeho výboje na stroj.</w:t>
      </w:r>
    </w:p>
    <w:p>
      <w:pPr>
        <w:pStyle w:val="Style17"/>
        <w:numPr>
          <w:ilvl w:val="0"/>
          <w:numId w:val="23"/>
        </w:numPr>
        <w:tabs>
          <w:tab w:leader="none" w:pos="366" w:val="left"/>
        </w:tabs>
        <w:widowControl w:val="0"/>
        <w:keepNext w:val="0"/>
        <w:keepLines w:val="0"/>
        <w:shd w:val="clear" w:color="auto" w:fill="auto"/>
        <w:bidi w:val="0"/>
        <w:jc w:val="left"/>
        <w:spacing w:before="0"/>
        <w:ind w:left="0" w:right="4240" w:firstLine="0"/>
      </w:pPr>
      <w:r>
        <w:rPr>
          <w:rStyle w:val="CharStyle23"/>
        </w:rPr>
        <w:t xml:space="preserve">Údržbou stroje </w:t>
      </w:r>
      <w:r>
        <w:rPr>
          <w:rStyle w:val="CharStyle20"/>
        </w:rPr>
        <w:t>se rozumí souhrn činností zajišťujících technickou způsobilost, provozuschopnost, hospodárnost a bezpečnost provozu stroje. Tyto činnosti spočívají zejména v pravidelných prohlídkách, ošetřování, seřizování, plnění termínů mazacích plánů a včasné výměně opotřebených dílů, a to v souladu s platnými předpisy, ustanoveními nebo pokyny danými výrobcem.</w:t>
      </w:r>
    </w:p>
    <w:p>
      <w:pPr>
        <w:pStyle w:val="Style17"/>
        <w:numPr>
          <w:ilvl w:val="0"/>
          <w:numId w:val="23"/>
        </w:numPr>
        <w:tabs>
          <w:tab w:leader="none" w:pos="366" w:val="left"/>
        </w:tabs>
        <w:widowControl w:val="0"/>
        <w:keepNext w:val="0"/>
        <w:keepLines w:val="0"/>
        <w:shd w:val="clear" w:color="auto" w:fill="auto"/>
        <w:bidi w:val="0"/>
        <w:jc w:val="left"/>
        <w:spacing w:before="0"/>
        <w:ind w:left="0" w:right="4240" w:firstLine="0"/>
      </w:pPr>
      <w:r>
        <w:rPr>
          <w:rStyle w:val="CharStyle23"/>
        </w:rPr>
        <w:t xml:space="preserve">Užíváním stroje </w:t>
      </w:r>
      <w:r>
        <w:rPr>
          <w:rStyle w:val="CharStyle20"/>
        </w:rPr>
        <w:t>se rozumí stav, kdy pojistník nebo pojištěný uvedený v pojistné smlouvě mají stroj po právu ve své moci a jsou oprávněni využívat jeho užitné vlastnosti.</w:t>
      </w:r>
    </w:p>
    <w:p>
      <w:pPr>
        <w:pStyle w:val="Style17"/>
        <w:numPr>
          <w:ilvl w:val="0"/>
          <w:numId w:val="23"/>
        </w:numPr>
        <w:tabs>
          <w:tab w:leader="none" w:pos="375" w:val="left"/>
        </w:tabs>
        <w:widowControl w:val="0"/>
        <w:keepNext w:val="0"/>
        <w:keepLines w:val="0"/>
        <w:shd w:val="clear" w:color="auto" w:fill="auto"/>
        <w:bidi w:val="0"/>
        <w:jc w:val="both"/>
        <w:spacing w:before="0"/>
        <w:ind w:left="0" w:right="4240" w:firstLine="0"/>
      </w:pPr>
      <w:r>
        <w:rPr>
          <w:rStyle w:val="CharStyle23"/>
        </w:rPr>
        <w:t xml:space="preserve">Výbavou </w:t>
      </w:r>
      <w:r>
        <w:rPr>
          <w:rStyle w:val="CharStyle20"/>
        </w:rPr>
        <w:t>se rozumí základní výbava dodávaná k danému typu stroje výrobcem, jakož i výbava předepsaná právní normou. Za výbavu stroje se nepovažují data.</w:t>
      </w:r>
    </w:p>
    <w:p>
      <w:pPr>
        <w:pStyle w:val="Style17"/>
        <w:numPr>
          <w:ilvl w:val="0"/>
          <w:numId w:val="23"/>
        </w:numPr>
        <w:tabs>
          <w:tab w:leader="none" w:pos="375" w:val="left"/>
        </w:tabs>
        <w:widowControl w:val="0"/>
        <w:keepNext w:val="0"/>
        <w:keepLines w:val="0"/>
        <w:shd w:val="clear" w:color="auto" w:fill="auto"/>
        <w:bidi w:val="0"/>
        <w:jc w:val="left"/>
        <w:spacing w:before="0"/>
        <w:ind w:left="0" w:right="4240" w:firstLine="0"/>
      </w:pPr>
      <w:r>
        <w:rPr>
          <w:rStyle w:val="CharStyle23"/>
        </w:rPr>
        <w:t xml:space="preserve">Výbuchem </w:t>
      </w:r>
      <w:r>
        <w:rPr>
          <w:rStyle w:val="CharStyle20"/>
        </w:rPr>
        <w:t>se rozumí náhlý ničivý projev tlakové síly spočívající v rozpínavosti plynů nebo par. Za výbuch se nepovažuje výbuch ve spalovacím prostoru spalovacího motoru a jiných zařízení, ve kterých se energie výbuchu cílevědomě využívá.</w:t>
      </w:r>
    </w:p>
    <w:p>
      <w:pPr>
        <w:pStyle w:val="Style17"/>
        <w:numPr>
          <w:ilvl w:val="0"/>
          <w:numId w:val="23"/>
        </w:numPr>
        <w:tabs>
          <w:tab w:leader="none" w:pos="370" w:val="left"/>
        </w:tabs>
        <w:widowControl w:val="0"/>
        <w:keepNext w:val="0"/>
        <w:keepLines w:val="0"/>
        <w:shd w:val="clear" w:color="auto" w:fill="auto"/>
        <w:bidi w:val="0"/>
        <w:jc w:val="left"/>
        <w:spacing w:before="0"/>
        <w:ind w:left="0" w:right="4240" w:firstLine="0"/>
      </w:pPr>
      <w:r>
        <w:rPr>
          <w:rStyle w:val="CharStyle23"/>
        </w:rPr>
        <w:t xml:space="preserve">Záplavou </w:t>
      </w:r>
      <w:r>
        <w:rPr>
          <w:rStyle w:val="CharStyle20"/>
        </w:rPr>
        <w:t>se rozumí vytvoření souvislé vodní plochy, která po určitou dobu stojí nebo proudí v místě pojištění.</w:t>
      </w:r>
    </w:p>
    <w:p>
      <w:pPr>
        <w:pStyle w:val="Style17"/>
        <w:numPr>
          <w:ilvl w:val="0"/>
          <w:numId w:val="23"/>
        </w:numPr>
        <w:tabs>
          <w:tab w:leader="none" w:pos="370" w:val="left"/>
        </w:tabs>
        <w:widowControl w:val="0"/>
        <w:keepNext w:val="0"/>
        <w:keepLines w:val="0"/>
        <w:shd w:val="clear" w:color="auto" w:fill="auto"/>
        <w:bidi w:val="0"/>
        <w:jc w:val="left"/>
        <w:spacing w:before="0" w:after="0"/>
        <w:ind w:left="0" w:right="4240" w:firstLine="0"/>
      </w:pPr>
      <w:r>
        <w:rPr>
          <w:rStyle w:val="CharStyle23"/>
        </w:rPr>
        <w:t xml:space="preserve">Zničením stroje </w:t>
      </w:r>
      <w:r>
        <w:rPr>
          <w:rStyle w:val="CharStyle20"/>
        </w:rPr>
        <w:t>se rozumí takové poškození, které není možné odstranit opravou, přičemž stroj již nelze dále používat k původnímu nebo podobnému účelu. Za zničení bude považováno i takové poškození stroje, které lze sice odstranit opravou, ale náklady na tuto opravu</w:t>
      </w:r>
    </w:p>
    <w:p>
      <w:pPr>
        <w:pStyle w:val="Style17"/>
        <w:widowControl w:val="0"/>
        <w:keepNext w:val="0"/>
        <w:keepLines w:val="0"/>
        <w:shd w:val="clear" w:color="auto" w:fill="auto"/>
        <w:bidi w:val="0"/>
        <w:jc w:val="left"/>
        <w:spacing w:before="0" w:after="292"/>
        <w:ind w:left="0" w:right="4240" w:firstLine="0"/>
      </w:pPr>
      <w:r>
        <w:rPr>
          <w:rStyle w:val="CharStyle20"/>
        </w:rPr>
        <w:t>by přesáhly časovou cenu stroje v době bezprostředně před pojistnou událostí.</w:t>
      </w:r>
    </w:p>
    <w:p>
      <w:pPr>
        <w:pStyle w:val="Style24"/>
        <w:widowControl w:val="0"/>
        <w:keepNext w:val="0"/>
        <w:keepLines w:val="0"/>
        <w:shd w:val="clear" w:color="auto" w:fill="auto"/>
        <w:bidi w:val="0"/>
        <w:spacing w:before="0" w:after="0" w:line="100" w:lineRule="exact"/>
        <w:ind w:left="0" w:right="0" w:firstLine="0"/>
      </w:pPr>
      <w:r>
        <w:pict>
          <v:shapetype id="_x0000_t202" coordsize="21600,21600" o:spt="202" path="m,l,21600r21600,l21600,xe">
            <v:stroke joinstyle="miter"/>
            <v:path gradientshapeok="t" o:connecttype="rect"/>
          </v:shapetype>
          <v:shape id="_x0000_s1026" type="#_x0000_t202" style="position:absolute;margin-left:479.5pt;margin-top:-2.15pt;width:21.6pt;height:8.9pt;z-index:-125829376;mso-wrap-distance-left:27.6pt;mso-wrap-distance-right:5.pt;mso-position-horizontal-relative:margin" filled="f" stroked="f">
            <v:textbox style="mso-fit-shape-to-text:t" inset="0,0,0,0">
              <w:txbxContent>
                <w:p>
                  <w:pPr>
                    <w:pStyle w:val="Style24"/>
                    <w:widowControl w:val="0"/>
                    <w:keepNext w:val="0"/>
                    <w:keepLines w:val="0"/>
                    <w:shd w:val="clear" w:color="auto" w:fill="auto"/>
                    <w:bidi w:val="0"/>
                    <w:jc w:val="left"/>
                    <w:spacing w:before="0" w:after="0" w:line="100" w:lineRule="exact"/>
                    <w:ind w:left="0" w:right="0" w:firstLine="0"/>
                  </w:pPr>
                  <w:r>
                    <w:rPr>
                      <w:rStyle w:val="CharStyle26"/>
                    </w:rPr>
                    <w:t>9/2009</w:t>
                  </w:r>
                </w:p>
              </w:txbxContent>
            </v:textbox>
            <w10:wrap type="square" side="left" anchorx="margin"/>
          </v:shape>
        </w:pict>
      </w:r>
      <w:r>
        <w:rPr>
          <w:rStyle w:val="CharStyle28"/>
        </w:rPr>
        <w:t>K-Vp-505-A</w:t>
      </w:r>
    </w:p>
    <w:sectPr>
      <w:pgSz w:w="11900" w:h="16840"/>
      <w:pgMar w:top="888" w:left="939" w:right="1923" w:bottom="528"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14"/>
        <w:szCs w:val="14"/>
        <w:rFonts w:ascii="Trebuchet MS" w:eastAsia="Trebuchet MS" w:hAnsi="Trebuchet MS" w:cs="Trebuchet MS"/>
        <w:w w:val="100"/>
        <w:spacing w:val="0"/>
        <w:color w:val="000000"/>
        <w:position w:val="0"/>
      </w:rPr>
    </w:lvl>
  </w:abstractNum>
  <w:abstractNum w:abstractNumId="2">
    <w:multiLevelType w:val="multilevel"/>
    <w:lvl w:ilvl="0">
      <w:start w:val="1"/>
      <w:numFmt w:val="lowerLetter"/>
      <w:lvlText w:val="%1)"/>
      <w:rPr>
        <w:lang w:val="cs-CZ" w:eastAsia="cs-CZ" w:bidi="cs-CZ"/>
        <w:b w:val="0"/>
        <w:bCs w:val="0"/>
        <w:i w:val="0"/>
        <w:iCs w:val="0"/>
        <w:u w:val="none"/>
        <w:strike w:val="0"/>
        <w:smallCaps w:val="0"/>
        <w:sz w:val="14"/>
        <w:szCs w:val="14"/>
        <w:rFonts w:ascii="Trebuchet MS" w:eastAsia="Trebuchet MS" w:hAnsi="Trebuchet MS" w:cs="Trebuchet MS"/>
        <w:w w:val="100"/>
        <w:spacing w:val="0"/>
        <w:color w:val="000000"/>
        <w:position w:val="0"/>
      </w:rPr>
    </w:lvl>
  </w:abstractNum>
  <w:abstractNum w:abstractNumId="4">
    <w:multiLevelType w:val="multilevel"/>
    <w:lvl w:ilvl="0">
      <w:start w:val="1"/>
      <w:numFmt w:val="lowerLetter"/>
      <w:lvlText w:val="%1)"/>
      <w:rPr>
        <w:lang w:val="cs-CZ" w:eastAsia="cs-CZ" w:bidi="cs-CZ"/>
        <w:b w:val="0"/>
        <w:bCs w:val="0"/>
        <w:i w:val="0"/>
        <w:iCs w:val="0"/>
        <w:u w:val="none"/>
        <w:strike w:val="0"/>
        <w:smallCaps w:val="0"/>
        <w:sz w:val="14"/>
        <w:szCs w:val="14"/>
        <w:rFonts w:ascii="Trebuchet MS" w:eastAsia="Trebuchet MS" w:hAnsi="Trebuchet MS" w:cs="Trebuchet MS"/>
        <w:w w:val="100"/>
        <w:spacing w:val="0"/>
        <w:color w:val="000000"/>
        <w:position w:val="0"/>
      </w:rPr>
    </w:lvl>
  </w:abstractNum>
  <w:abstractNum w:abstractNumId="6">
    <w:multiLevelType w:val="multilevel"/>
    <w:lvl w:ilvl="0">
      <w:start w:val="1"/>
      <w:numFmt w:val="decimal"/>
      <w:lvlText w:val="%1)"/>
      <w:rPr>
        <w:lang w:val="cs-CZ" w:eastAsia="cs-CZ" w:bidi="cs-CZ"/>
        <w:b w:val="0"/>
        <w:bCs w:val="0"/>
        <w:i w:val="0"/>
        <w:iCs w:val="0"/>
        <w:u w:val="none"/>
        <w:strike w:val="0"/>
        <w:smallCaps w:val="0"/>
        <w:sz w:val="14"/>
        <w:szCs w:val="14"/>
        <w:rFonts w:ascii="Trebuchet MS" w:eastAsia="Trebuchet MS" w:hAnsi="Trebuchet MS" w:cs="Trebuchet MS"/>
        <w:w w:val="100"/>
        <w:spacing w:val="0"/>
        <w:color w:val="000000"/>
        <w:position w:val="0"/>
      </w:rPr>
    </w:lvl>
  </w:abstractNum>
  <w:abstractNum w:abstractNumId="8">
    <w:multiLevelType w:val="multilevel"/>
    <w:lvl w:ilvl="0">
      <w:start w:val="1"/>
      <w:numFmt w:val="lowerLetter"/>
      <w:lvlText w:val="%1)"/>
      <w:rPr>
        <w:lang w:val="cs-CZ" w:eastAsia="cs-CZ" w:bidi="cs-CZ"/>
        <w:b w:val="0"/>
        <w:bCs w:val="0"/>
        <w:i w:val="0"/>
        <w:iCs w:val="0"/>
        <w:u w:val="none"/>
        <w:strike w:val="0"/>
        <w:smallCaps w:val="0"/>
        <w:sz w:val="14"/>
        <w:szCs w:val="14"/>
        <w:rFonts w:ascii="Trebuchet MS" w:eastAsia="Trebuchet MS" w:hAnsi="Trebuchet MS" w:cs="Trebuchet MS"/>
        <w:w w:val="100"/>
        <w:spacing w:val="0"/>
        <w:color w:val="000000"/>
        <w:position w:val="0"/>
      </w:rPr>
    </w:lvl>
  </w:abstractNum>
  <w:abstractNum w:abstractNumId="10">
    <w:multiLevelType w:val="multilevel"/>
    <w:lvl w:ilvl="0">
      <w:start w:val="1"/>
      <w:numFmt w:val="decimal"/>
      <w:lvlText w:val="%1)"/>
      <w:rPr>
        <w:lang w:val="cs-CZ" w:eastAsia="cs-CZ" w:bidi="cs-CZ"/>
        <w:b w:val="0"/>
        <w:bCs w:val="0"/>
        <w:i w:val="0"/>
        <w:iCs w:val="0"/>
        <w:u w:val="none"/>
        <w:strike w:val="0"/>
        <w:smallCaps w:val="0"/>
        <w:sz w:val="14"/>
        <w:szCs w:val="14"/>
        <w:rFonts w:ascii="Trebuchet MS" w:eastAsia="Trebuchet MS" w:hAnsi="Trebuchet MS" w:cs="Trebuchet MS"/>
        <w:w w:val="100"/>
        <w:spacing w:val="0"/>
        <w:color w:val="000000"/>
        <w:position w:val="0"/>
      </w:rPr>
    </w:lvl>
  </w:abstractNum>
  <w:abstractNum w:abstractNumId="12">
    <w:multiLevelType w:val="multilevel"/>
    <w:lvl w:ilvl="0">
      <w:start w:val="1"/>
      <w:numFmt w:val="lowerLetter"/>
      <w:lvlText w:val="%1)"/>
      <w:rPr>
        <w:lang w:val="cs-CZ" w:eastAsia="cs-CZ" w:bidi="cs-CZ"/>
        <w:b w:val="0"/>
        <w:bCs w:val="0"/>
        <w:i w:val="0"/>
        <w:iCs w:val="0"/>
        <w:u w:val="none"/>
        <w:strike w:val="0"/>
        <w:smallCaps w:val="0"/>
        <w:sz w:val="14"/>
        <w:szCs w:val="14"/>
        <w:rFonts w:ascii="Trebuchet MS" w:eastAsia="Trebuchet MS" w:hAnsi="Trebuchet MS" w:cs="Trebuchet MS"/>
        <w:w w:val="100"/>
        <w:spacing w:val="0"/>
        <w:color w:val="000000"/>
        <w:position w:val="0"/>
      </w:rPr>
    </w:lvl>
  </w:abstractNum>
  <w:abstractNum w:abstractNumId="14">
    <w:multiLevelType w:val="multilevel"/>
    <w:lvl w:ilvl="0">
      <w:start w:val="1"/>
      <w:numFmt w:val="lowerLetter"/>
      <w:lvlText w:val="%1)"/>
      <w:rPr>
        <w:lang w:val="cs-CZ" w:eastAsia="cs-CZ" w:bidi="cs-CZ"/>
        <w:b w:val="0"/>
        <w:bCs w:val="0"/>
        <w:i w:val="0"/>
        <w:iCs w:val="0"/>
        <w:u w:val="none"/>
        <w:strike w:val="0"/>
        <w:smallCaps w:val="0"/>
        <w:sz w:val="14"/>
        <w:szCs w:val="14"/>
        <w:rFonts w:ascii="Trebuchet MS" w:eastAsia="Trebuchet MS" w:hAnsi="Trebuchet MS" w:cs="Trebuchet MS"/>
        <w:w w:val="100"/>
        <w:spacing w:val="0"/>
        <w:color w:val="000000"/>
        <w:position w:val="0"/>
      </w:rPr>
    </w:lvl>
  </w:abstractNum>
  <w:abstractNum w:abstractNumId="16">
    <w:multiLevelType w:val="multilevel"/>
    <w:lvl w:ilvl="0">
      <w:start w:val="2"/>
      <w:numFmt w:val="decimal"/>
      <w:lvlText w:val="%1)"/>
      <w:rPr>
        <w:lang w:val="cs-CZ" w:eastAsia="cs-CZ" w:bidi="cs-CZ"/>
        <w:b w:val="0"/>
        <w:bCs w:val="0"/>
        <w:i w:val="0"/>
        <w:iCs w:val="0"/>
        <w:u w:val="none"/>
        <w:strike w:val="0"/>
        <w:smallCaps w:val="0"/>
        <w:sz w:val="14"/>
        <w:szCs w:val="14"/>
        <w:rFonts w:ascii="Trebuchet MS" w:eastAsia="Trebuchet MS" w:hAnsi="Trebuchet MS" w:cs="Trebuchet MS"/>
        <w:w w:val="100"/>
        <w:spacing w:val="0"/>
        <w:color w:val="000000"/>
        <w:position w:val="0"/>
      </w:rPr>
    </w:lvl>
  </w:abstractNum>
  <w:abstractNum w:abstractNumId="18">
    <w:multiLevelType w:val="multilevel"/>
    <w:lvl w:ilvl="0">
      <w:start w:val="1"/>
      <w:numFmt w:val="lowerLetter"/>
      <w:lvlText w:val="%1)"/>
      <w:rPr>
        <w:lang w:val="cs-CZ" w:eastAsia="cs-CZ" w:bidi="cs-CZ"/>
        <w:b w:val="0"/>
        <w:bCs w:val="0"/>
        <w:i w:val="0"/>
        <w:iCs w:val="0"/>
        <w:u w:val="none"/>
        <w:strike w:val="0"/>
        <w:smallCaps w:val="0"/>
        <w:sz w:val="14"/>
        <w:szCs w:val="14"/>
        <w:rFonts w:ascii="Trebuchet MS" w:eastAsia="Trebuchet MS" w:hAnsi="Trebuchet MS" w:cs="Trebuchet MS"/>
        <w:w w:val="100"/>
        <w:spacing w:val="0"/>
        <w:color w:val="000000"/>
        <w:position w:val="0"/>
      </w:rPr>
    </w:lvl>
  </w:abstractNum>
  <w:abstractNum w:abstractNumId="20">
    <w:multiLevelType w:val="multilevel"/>
    <w:lvl w:ilvl="0">
      <w:start w:val="1"/>
      <w:numFmt w:val="lowerLetter"/>
      <w:lvlText w:val="%1)"/>
      <w:rPr>
        <w:lang w:val="cs-CZ" w:eastAsia="cs-CZ" w:bidi="cs-CZ"/>
        <w:b w:val="0"/>
        <w:bCs w:val="0"/>
        <w:i w:val="0"/>
        <w:iCs w:val="0"/>
        <w:u w:val="none"/>
        <w:strike w:val="0"/>
        <w:smallCaps w:val="0"/>
        <w:sz w:val="14"/>
        <w:szCs w:val="14"/>
        <w:rFonts w:ascii="Trebuchet MS" w:eastAsia="Trebuchet MS" w:hAnsi="Trebuchet MS" w:cs="Trebuchet MS"/>
        <w:w w:val="100"/>
        <w:spacing w:val="0"/>
        <w:color w:val="000000"/>
        <w:position w:val="0"/>
      </w:rPr>
    </w:lvl>
  </w:abstractNum>
  <w:abstractNum w:abstractNumId="22">
    <w:multiLevelType w:val="multilevel"/>
    <w:lvl w:ilvl="0">
      <w:start w:val="1"/>
      <w:numFmt w:val="decimal"/>
      <w:lvlText w:val="%1)"/>
      <w:rPr>
        <w:lang w:val="cs-CZ" w:eastAsia="cs-CZ" w:bidi="cs-CZ"/>
        <w:b w:val="0"/>
        <w:bCs w:val="0"/>
        <w:i w:val="0"/>
        <w:iCs w:val="0"/>
        <w:u w:val="none"/>
        <w:strike w:val="0"/>
        <w:smallCaps w:val="0"/>
        <w:sz w:val="14"/>
        <w:szCs w:val="14"/>
        <w:rFonts w:ascii="Trebuchet MS" w:eastAsia="Trebuchet MS" w:hAnsi="Trebuchet MS" w:cs="Trebuchet MS"/>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cs-CZ" w:eastAsia="cs-CZ" w:bidi="cs-CZ"/>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dpis #2_"/>
    <w:basedOn w:val="DefaultParagraphFont"/>
    <w:link w:val="Style3"/>
    <w:rPr>
      <w:b/>
      <w:bCs/>
      <w:i w:val="0"/>
      <w:iCs w:val="0"/>
      <w:u w:val="none"/>
      <w:strike w:val="0"/>
      <w:smallCaps w:val="0"/>
      <w:sz w:val="34"/>
      <w:szCs w:val="34"/>
      <w:rFonts w:ascii="Trebuchet MS" w:eastAsia="Trebuchet MS" w:hAnsi="Trebuchet MS" w:cs="Trebuchet MS"/>
      <w:spacing w:val="-10"/>
    </w:rPr>
  </w:style>
  <w:style w:type="character" w:customStyle="1" w:styleId="CharStyle5">
    <w:name w:val="Nadpis #2"/>
    <w:basedOn w:val="CharStyle4"/>
    <w:rPr>
      <w:lang w:val="cs-CZ" w:eastAsia="cs-CZ" w:bidi="cs-CZ"/>
      <w:u w:val="single"/>
      <w:w w:val="100"/>
      <w:color w:val="000000"/>
      <w:position w:val="0"/>
    </w:rPr>
  </w:style>
  <w:style w:type="character" w:customStyle="1" w:styleId="CharStyle7">
    <w:name w:val="Základní text (3)_"/>
    <w:basedOn w:val="DefaultParagraphFont"/>
    <w:link w:val="Style6"/>
    <w:rPr>
      <w:lang w:val="en-US" w:eastAsia="en-US" w:bidi="en-US"/>
      <w:b/>
      <w:bCs/>
      <w:i w:val="0"/>
      <w:iCs w:val="0"/>
      <w:u w:val="none"/>
      <w:strike w:val="0"/>
      <w:smallCaps w:val="0"/>
      <w:sz w:val="19"/>
      <w:szCs w:val="19"/>
      <w:rFonts w:ascii="Trebuchet MS" w:eastAsia="Trebuchet MS" w:hAnsi="Trebuchet MS" w:cs="Trebuchet MS"/>
    </w:rPr>
  </w:style>
  <w:style w:type="character" w:customStyle="1" w:styleId="CharStyle8">
    <w:name w:val="Základní text (3) + Malá písmena"/>
    <w:basedOn w:val="CharStyle7"/>
    <w:rPr>
      <w:smallCaps/>
      <w:w w:val="100"/>
      <w:spacing w:val="0"/>
      <w:color w:val="000000"/>
      <w:position w:val="0"/>
    </w:rPr>
  </w:style>
  <w:style w:type="character" w:customStyle="1" w:styleId="CharStyle9">
    <w:name w:val="Základní text (3) + 12 pt,Řádkování 0 pt"/>
    <w:basedOn w:val="CharStyle7"/>
    <w:rPr>
      <w:sz w:val="24"/>
      <w:szCs w:val="24"/>
      <w:w w:val="100"/>
      <w:spacing w:val="-10"/>
      <w:color w:val="000000"/>
      <w:position w:val="0"/>
    </w:rPr>
  </w:style>
  <w:style w:type="character" w:customStyle="1" w:styleId="CharStyle11">
    <w:name w:val="Nadpis #1_"/>
    <w:basedOn w:val="DefaultParagraphFont"/>
    <w:link w:val="Style10"/>
    <w:rPr>
      <w:b/>
      <w:bCs/>
      <w:i w:val="0"/>
      <w:iCs w:val="0"/>
      <w:u w:val="none"/>
      <w:strike w:val="0"/>
      <w:smallCaps w:val="0"/>
      <w:sz w:val="46"/>
      <w:szCs w:val="46"/>
      <w:rFonts w:ascii="Trebuchet MS" w:eastAsia="Trebuchet MS" w:hAnsi="Trebuchet MS" w:cs="Trebuchet MS"/>
      <w:spacing w:val="-10"/>
    </w:rPr>
  </w:style>
  <w:style w:type="character" w:customStyle="1" w:styleId="CharStyle12">
    <w:name w:val="Nadpis #1"/>
    <w:basedOn w:val="CharStyle11"/>
    <w:rPr>
      <w:lang w:val="cs-CZ" w:eastAsia="cs-CZ" w:bidi="cs-CZ"/>
      <w:w w:val="100"/>
      <w:color w:val="000000"/>
      <w:position w:val="0"/>
    </w:rPr>
  </w:style>
  <w:style w:type="character" w:customStyle="1" w:styleId="CharStyle14">
    <w:name w:val="Nadpis #3_"/>
    <w:basedOn w:val="DefaultParagraphFont"/>
    <w:link w:val="Style13"/>
    <w:rPr>
      <w:b/>
      <w:bCs/>
      <w:i w:val="0"/>
      <w:iCs w:val="0"/>
      <w:u w:val="none"/>
      <w:strike w:val="0"/>
      <w:smallCaps w:val="0"/>
      <w:sz w:val="14"/>
      <w:szCs w:val="14"/>
      <w:rFonts w:ascii="Trebuchet MS" w:eastAsia="Trebuchet MS" w:hAnsi="Trebuchet MS" w:cs="Trebuchet MS"/>
    </w:rPr>
  </w:style>
  <w:style w:type="character" w:customStyle="1" w:styleId="CharStyle16">
    <w:name w:val="Základní text (4)_"/>
    <w:basedOn w:val="DefaultParagraphFont"/>
    <w:link w:val="Style15"/>
    <w:rPr>
      <w:b/>
      <w:bCs/>
      <w:i w:val="0"/>
      <w:iCs w:val="0"/>
      <w:u w:val="none"/>
      <w:strike w:val="0"/>
      <w:smallCaps w:val="0"/>
      <w:sz w:val="14"/>
      <w:szCs w:val="14"/>
      <w:rFonts w:ascii="Trebuchet MS" w:eastAsia="Trebuchet MS" w:hAnsi="Trebuchet MS" w:cs="Trebuchet MS"/>
    </w:rPr>
  </w:style>
  <w:style w:type="character" w:customStyle="1" w:styleId="CharStyle18">
    <w:name w:val="Základní text (2)_"/>
    <w:basedOn w:val="DefaultParagraphFont"/>
    <w:link w:val="Style17"/>
    <w:rPr>
      <w:b w:val="0"/>
      <w:bCs w:val="0"/>
      <w:i w:val="0"/>
      <w:iCs w:val="0"/>
      <w:u w:val="none"/>
      <w:strike w:val="0"/>
      <w:smallCaps w:val="0"/>
      <w:sz w:val="14"/>
      <w:szCs w:val="14"/>
      <w:rFonts w:ascii="Trebuchet MS" w:eastAsia="Trebuchet MS" w:hAnsi="Trebuchet MS" w:cs="Trebuchet MS"/>
    </w:rPr>
  </w:style>
  <w:style w:type="character" w:customStyle="1" w:styleId="CharStyle19">
    <w:name w:val="Základní text (2) + Tučné"/>
    <w:basedOn w:val="CharStyle18"/>
    <w:rPr>
      <w:lang w:val="cs-CZ" w:eastAsia="cs-CZ" w:bidi="cs-CZ"/>
      <w:b/>
      <w:bCs/>
      <w:sz w:val="14"/>
      <w:szCs w:val="14"/>
      <w:w w:val="100"/>
      <w:spacing w:val="0"/>
      <w:color w:val="000000"/>
      <w:position w:val="0"/>
    </w:rPr>
  </w:style>
  <w:style w:type="character" w:customStyle="1" w:styleId="CharStyle20">
    <w:name w:val="Základní text (2)"/>
    <w:basedOn w:val="CharStyle18"/>
    <w:rPr>
      <w:lang w:val="cs-CZ" w:eastAsia="cs-CZ" w:bidi="cs-CZ"/>
      <w:w w:val="100"/>
      <w:spacing w:val="0"/>
      <w:color w:val="000000"/>
      <w:position w:val="0"/>
    </w:rPr>
  </w:style>
  <w:style w:type="character" w:customStyle="1" w:styleId="CharStyle21">
    <w:name w:val="Nadpis #3"/>
    <w:basedOn w:val="CharStyle14"/>
    <w:rPr>
      <w:lang w:val="cs-CZ" w:eastAsia="cs-CZ" w:bidi="cs-CZ"/>
      <w:w w:val="100"/>
      <w:spacing w:val="0"/>
      <w:color w:val="000000"/>
      <w:position w:val="0"/>
    </w:rPr>
  </w:style>
  <w:style w:type="character" w:customStyle="1" w:styleId="CharStyle22">
    <w:name w:val="Základní text (4)"/>
    <w:basedOn w:val="CharStyle16"/>
    <w:rPr>
      <w:lang w:val="cs-CZ" w:eastAsia="cs-CZ" w:bidi="cs-CZ"/>
      <w:w w:val="100"/>
      <w:spacing w:val="0"/>
      <w:color w:val="000000"/>
      <w:position w:val="0"/>
    </w:rPr>
  </w:style>
  <w:style w:type="character" w:customStyle="1" w:styleId="CharStyle23">
    <w:name w:val="Základní text (2) + Tučné"/>
    <w:basedOn w:val="CharStyle18"/>
    <w:rPr>
      <w:lang w:val="cs-CZ" w:eastAsia="cs-CZ" w:bidi="cs-CZ"/>
      <w:b/>
      <w:bCs/>
      <w:sz w:val="14"/>
      <w:szCs w:val="14"/>
      <w:w w:val="100"/>
      <w:spacing w:val="0"/>
      <w:color w:val="000000"/>
      <w:position w:val="0"/>
    </w:rPr>
  </w:style>
  <w:style w:type="character" w:customStyle="1" w:styleId="CharStyle25">
    <w:name w:val="Základní text (5) Exact"/>
    <w:basedOn w:val="DefaultParagraphFont"/>
    <w:rPr>
      <w:b w:val="0"/>
      <w:bCs w:val="0"/>
      <w:i w:val="0"/>
      <w:iCs w:val="0"/>
      <w:u w:val="none"/>
      <w:strike w:val="0"/>
      <w:smallCaps w:val="0"/>
      <w:sz w:val="10"/>
      <w:szCs w:val="10"/>
      <w:rFonts w:ascii="Trebuchet MS" w:eastAsia="Trebuchet MS" w:hAnsi="Trebuchet MS" w:cs="Trebuchet MS"/>
    </w:rPr>
  </w:style>
  <w:style w:type="character" w:customStyle="1" w:styleId="CharStyle26">
    <w:name w:val="Základní text (5) Exact"/>
    <w:basedOn w:val="CharStyle27"/>
  </w:style>
  <w:style w:type="character" w:customStyle="1" w:styleId="CharStyle27">
    <w:name w:val="Základní text (5)_"/>
    <w:basedOn w:val="DefaultParagraphFont"/>
    <w:link w:val="Style24"/>
    <w:rPr>
      <w:b w:val="0"/>
      <w:bCs w:val="0"/>
      <w:i w:val="0"/>
      <w:iCs w:val="0"/>
      <w:u w:val="none"/>
      <w:strike w:val="0"/>
      <w:smallCaps w:val="0"/>
      <w:sz w:val="10"/>
      <w:szCs w:val="10"/>
      <w:rFonts w:ascii="Trebuchet MS" w:eastAsia="Trebuchet MS" w:hAnsi="Trebuchet MS" w:cs="Trebuchet MS"/>
    </w:rPr>
  </w:style>
  <w:style w:type="character" w:customStyle="1" w:styleId="CharStyle28">
    <w:name w:val="Základní text (5)"/>
    <w:basedOn w:val="CharStyle27"/>
    <w:rPr>
      <w:lang w:val="cs-CZ" w:eastAsia="cs-CZ" w:bidi="cs-CZ"/>
      <w:w w:val="100"/>
      <w:spacing w:val="0"/>
      <w:color w:val="000000"/>
      <w:position w:val="0"/>
    </w:rPr>
  </w:style>
  <w:style w:type="paragraph" w:customStyle="1" w:styleId="Style3">
    <w:name w:val="Nadpis #2"/>
    <w:basedOn w:val="Normal"/>
    <w:link w:val="CharStyle4"/>
    <w:pPr>
      <w:widowControl w:val="0"/>
      <w:shd w:val="clear" w:color="auto" w:fill="FFFFFF"/>
      <w:outlineLvl w:val="1"/>
      <w:spacing w:line="0" w:lineRule="exact"/>
    </w:pPr>
    <w:rPr>
      <w:b/>
      <w:bCs/>
      <w:i w:val="0"/>
      <w:iCs w:val="0"/>
      <w:u w:val="none"/>
      <w:strike w:val="0"/>
      <w:smallCaps w:val="0"/>
      <w:sz w:val="34"/>
      <w:szCs w:val="34"/>
      <w:rFonts w:ascii="Trebuchet MS" w:eastAsia="Trebuchet MS" w:hAnsi="Trebuchet MS" w:cs="Trebuchet MS"/>
      <w:spacing w:val="-10"/>
    </w:rPr>
  </w:style>
  <w:style w:type="paragraph" w:customStyle="1" w:styleId="Style6">
    <w:name w:val="Základní text (3)"/>
    <w:basedOn w:val="Normal"/>
    <w:link w:val="CharStyle7"/>
    <w:pPr>
      <w:widowControl w:val="0"/>
      <w:shd w:val="clear" w:color="auto" w:fill="FFFFFF"/>
      <w:jc w:val="both"/>
      <w:spacing w:after="840" w:line="0" w:lineRule="exact"/>
    </w:pPr>
    <w:rPr>
      <w:lang w:val="en-US" w:eastAsia="en-US" w:bidi="en-US"/>
      <w:b/>
      <w:bCs/>
      <w:i w:val="0"/>
      <w:iCs w:val="0"/>
      <w:u w:val="none"/>
      <w:strike w:val="0"/>
      <w:smallCaps w:val="0"/>
      <w:sz w:val="19"/>
      <w:szCs w:val="19"/>
      <w:rFonts w:ascii="Trebuchet MS" w:eastAsia="Trebuchet MS" w:hAnsi="Trebuchet MS" w:cs="Trebuchet MS"/>
    </w:rPr>
  </w:style>
  <w:style w:type="paragraph" w:customStyle="1" w:styleId="Style10">
    <w:name w:val="Nadpis #1"/>
    <w:basedOn w:val="Normal"/>
    <w:link w:val="CharStyle11"/>
    <w:pPr>
      <w:widowControl w:val="0"/>
      <w:shd w:val="clear" w:color="auto" w:fill="FFFFFF"/>
      <w:outlineLvl w:val="0"/>
      <w:spacing w:before="840" w:line="658" w:lineRule="exact"/>
    </w:pPr>
    <w:rPr>
      <w:b/>
      <w:bCs/>
      <w:i w:val="0"/>
      <w:iCs w:val="0"/>
      <w:u w:val="none"/>
      <w:strike w:val="0"/>
      <w:smallCaps w:val="0"/>
      <w:sz w:val="46"/>
      <w:szCs w:val="46"/>
      <w:rFonts w:ascii="Trebuchet MS" w:eastAsia="Trebuchet MS" w:hAnsi="Trebuchet MS" w:cs="Trebuchet MS"/>
      <w:spacing w:val="-10"/>
    </w:rPr>
  </w:style>
  <w:style w:type="paragraph" w:customStyle="1" w:styleId="Style13">
    <w:name w:val="Nadpis #3"/>
    <w:basedOn w:val="Normal"/>
    <w:link w:val="CharStyle14"/>
    <w:pPr>
      <w:widowControl w:val="0"/>
      <w:shd w:val="clear" w:color="auto" w:fill="FFFFFF"/>
      <w:outlineLvl w:val="2"/>
      <w:spacing w:after="60" w:line="0" w:lineRule="exact"/>
      <w:ind w:hanging="240"/>
    </w:pPr>
    <w:rPr>
      <w:b/>
      <w:bCs/>
      <w:i w:val="0"/>
      <w:iCs w:val="0"/>
      <w:u w:val="none"/>
      <w:strike w:val="0"/>
      <w:smallCaps w:val="0"/>
      <w:sz w:val="14"/>
      <w:szCs w:val="14"/>
      <w:rFonts w:ascii="Trebuchet MS" w:eastAsia="Trebuchet MS" w:hAnsi="Trebuchet MS" w:cs="Trebuchet MS"/>
    </w:rPr>
  </w:style>
  <w:style w:type="paragraph" w:customStyle="1" w:styleId="Style15">
    <w:name w:val="Základní text (4)"/>
    <w:basedOn w:val="Normal"/>
    <w:link w:val="CharStyle16"/>
    <w:pPr>
      <w:widowControl w:val="0"/>
      <w:shd w:val="clear" w:color="auto" w:fill="FFFFFF"/>
      <w:spacing w:before="60" w:after="300" w:line="0" w:lineRule="exact"/>
      <w:ind w:hanging="240"/>
    </w:pPr>
    <w:rPr>
      <w:b/>
      <w:bCs/>
      <w:i w:val="0"/>
      <w:iCs w:val="0"/>
      <w:u w:val="none"/>
      <w:strike w:val="0"/>
      <w:smallCaps w:val="0"/>
      <w:sz w:val="14"/>
      <w:szCs w:val="14"/>
      <w:rFonts w:ascii="Trebuchet MS" w:eastAsia="Trebuchet MS" w:hAnsi="Trebuchet MS" w:cs="Trebuchet MS"/>
    </w:rPr>
  </w:style>
  <w:style w:type="paragraph" w:customStyle="1" w:styleId="Style17">
    <w:name w:val="Základní text (2)"/>
    <w:basedOn w:val="Normal"/>
    <w:link w:val="CharStyle18"/>
    <w:pPr>
      <w:widowControl w:val="0"/>
      <w:shd w:val="clear" w:color="auto" w:fill="FFFFFF"/>
      <w:spacing w:before="300" w:after="180" w:line="240" w:lineRule="exact"/>
      <w:ind w:hanging="240"/>
    </w:pPr>
    <w:rPr>
      <w:b w:val="0"/>
      <w:bCs w:val="0"/>
      <w:i w:val="0"/>
      <w:iCs w:val="0"/>
      <w:u w:val="none"/>
      <w:strike w:val="0"/>
      <w:smallCaps w:val="0"/>
      <w:sz w:val="14"/>
      <w:szCs w:val="14"/>
      <w:rFonts w:ascii="Trebuchet MS" w:eastAsia="Trebuchet MS" w:hAnsi="Trebuchet MS" w:cs="Trebuchet MS"/>
    </w:rPr>
  </w:style>
  <w:style w:type="paragraph" w:customStyle="1" w:styleId="Style24">
    <w:name w:val="Základní text (5)"/>
    <w:basedOn w:val="Normal"/>
    <w:link w:val="CharStyle27"/>
    <w:pPr>
      <w:widowControl w:val="0"/>
      <w:shd w:val="clear" w:color="auto" w:fill="FFFFFF"/>
      <w:jc w:val="both"/>
      <w:spacing w:before="180" w:line="0" w:lineRule="exact"/>
    </w:pPr>
    <w:rPr>
      <w:b w:val="0"/>
      <w:bCs w:val="0"/>
      <w:i w:val="0"/>
      <w:iCs w:val="0"/>
      <w:u w:val="none"/>
      <w:strike w:val="0"/>
      <w:smallCaps w:val="0"/>
      <w:sz w:val="10"/>
      <w:szCs w:val="10"/>
      <w:rFonts w:ascii="Trebuchet MS" w:eastAsia="Trebuchet MS" w:hAnsi="Trebuchet MS" w:cs="Trebuchet MS"/>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