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D2" w:rsidRDefault="009E032E">
      <w:pPr>
        <w:pStyle w:val="Nadpis20"/>
        <w:keepNext/>
        <w:keepLines/>
        <w:shd w:val="clear" w:color="auto" w:fill="auto"/>
        <w:spacing w:line="340" w:lineRule="exact"/>
      </w:pPr>
      <w:bookmarkStart w:id="0" w:name="bookmark0"/>
      <w:bookmarkStart w:id="1" w:name="_GoBack"/>
      <w:bookmarkEnd w:id="1"/>
      <w:r>
        <w:rPr>
          <w:rStyle w:val="Nadpis21"/>
          <w:b/>
          <w:bCs/>
        </w:rPr>
        <w:t>Kooperativa</w:t>
      </w:r>
      <w:bookmarkEnd w:id="0"/>
    </w:p>
    <w:p w:rsidR="00DF44D2" w:rsidRDefault="009E032E">
      <w:pPr>
        <w:pStyle w:val="Zkladntext30"/>
        <w:shd w:val="clear" w:color="auto" w:fill="auto"/>
        <w:tabs>
          <w:tab w:val="left" w:pos="8914"/>
        </w:tabs>
        <w:spacing w:after="683" w:line="240" w:lineRule="exact"/>
      </w:pPr>
      <w:r>
        <w:rPr>
          <w:rStyle w:val="Zkladntext3Malpsmena"/>
          <w:b/>
          <w:bCs/>
        </w:rPr>
        <w:t>Vienna Insurance Group</w:t>
      </w:r>
      <w:r>
        <w:rPr>
          <w:rStyle w:val="Zkladntext3Malpsmena"/>
          <w:b/>
          <w:bCs/>
        </w:rPr>
        <w:tab/>
      </w:r>
      <w:r>
        <w:rPr>
          <w:rStyle w:val="Zkladntext312pt"/>
          <w:b/>
          <w:bCs/>
        </w:rPr>
        <w:t>P-200/05</w:t>
      </w:r>
    </w:p>
    <w:p w:rsidR="00DF44D2" w:rsidRDefault="009E032E">
      <w:pPr>
        <w:pStyle w:val="Nadpis10"/>
        <w:keepNext/>
        <w:keepLines/>
        <w:shd w:val="clear" w:color="auto" w:fill="auto"/>
        <w:spacing w:before="0"/>
        <w:ind w:right="2260"/>
        <w:sectPr w:rsidR="00DF44D2">
          <w:pgSz w:w="11900" w:h="16840"/>
          <w:pgMar w:top="1344" w:right="939" w:bottom="1157" w:left="929" w:header="0" w:footer="3" w:gutter="0"/>
          <w:cols w:space="720"/>
          <w:noEndnote/>
          <w:docGrid w:linePitch="360"/>
        </w:sectPr>
      </w:pPr>
      <w:bookmarkStart w:id="2" w:name="bookmark1"/>
      <w:r>
        <w:rPr>
          <w:rStyle w:val="Nadpis11"/>
          <w:b/>
          <w:bCs/>
        </w:rPr>
        <w:t>Zvláštní pojistné podmínky pro pojištění pro případ odcizení</w:t>
      </w:r>
      <w:bookmarkEnd w:id="2"/>
    </w:p>
    <w:p w:rsidR="00DF44D2" w:rsidRDefault="00DF44D2">
      <w:pPr>
        <w:spacing w:line="240" w:lineRule="exact"/>
        <w:rPr>
          <w:sz w:val="19"/>
          <w:szCs w:val="19"/>
        </w:rPr>
      </w:pPr>
    </w:p>
    <w:p w:rsidR="00DF44D2" w:rsidRDefault="00DF44D2">
      <w:pPr>
        <w:spacing w:before="69" w:after="69" w:line="240" w:lineRule="exact"/>
        <w:rPr>
          <w:sz w:val="19"/>
          <w:szCs w:val="19"/>
        </w:rPr>
      </w:pPr>
    </w:p>
    <w:p w:rsidR="00DF44D2" w:rsidRDefault="00DF44D2">
      <w:pPr>
        <w:rPr>
          <w:sz w:val="2"/>
          <w:szCs w:val="2"/>
        </w:rPr>
        <w:sectPr w:rsidR="00DF44D2">
          <w:type w:val="continuous"/>
          <w:pgSz w:w="11900" w:h="16840"/>
          <w:pgMar w:top="1004" w:right="0" w:bottom="529" w:left="0" w:header="0" w:footer="3" w:gutter="0"/>
          <w:cols w:space="720"/>
          <w:noEndnote/>
          <w:docGrid w:linePitch="360"/>
        </w:sectPr>
      </w:pPr>
    </w:p>
    <w:p w:rsidR="00DF44D2" w:rsidRDefault="009E032E">
      <w:pPr>
        <w:pStyle w:val="Nadpis30"/>
        <w:keepNext/>
        <w:keepLines/>
        <w:shd w:val="clear" w:color="auto" w:fill="auto"/>
        <w:spacing w:after="59" w:line="140" w:lineRule="exact"/>
        <w:ind w:left="240"/>
      </w:pPr>
      <w:bookmarkStart w:id="3" w:name="bookmark2"/>
      <w:r>
        <w:t>Článek I.</w:t>
      </w:r>
      <w:bookmarkEnd w:id="3"/>
    </w:p>
    <w:p w:rsidR="00DF44D2" w:rsidRDefault="009E032E">
      <w:pPr>
        <w:pStyle w:val="Zkladntext40"/>
        <w:shd w:val="clear" w:color="auto" w:fill="auto"/>
        <w:spacing w:before="0" w:after="238" w:line="140" w:lineRule="exact"/>
        <w:ind w:left="240"/>
      </w:pPr>
      <w:r>
        <w:t>Předmět pojištění</w:t>
      </w:r>
    </w:p>
    <w:p w:rsidR="00DF44D2" w:rsidRDefault="009E032E">
      <w:pPr>
        <w:pStyle w:val="Zkladntext20"/>
        <w:numPr>
          <w:ilvl w:val="0"/>
          <w:numId w:val="2"/>
        </w:numPr>
        <w:shd w:val="clear" w:color="auto" w:fill="auto"/>
        <w:tabs>
          <w:tab w:val="left" w:pos="325"/>
        </w:tabs>
        <w:spacing w:before="0"/>
        <w:ind w:right="220" w:firstLine="0"/>
      </w:pPr>
      <w:r>
        <w:t xml:space="preserve">Předmětem pojištění jsou jednotlivé věci movité a nemovité nebo jejich soubory uvedené v pojistné smlouvě (dále jen </w:t>
      </w:r>
      <w:r>
        <w:rPr>
          <w:rStyle w:val="Zkladntext2Tun"/>
        </w:rPr>
        <w:t>„pojištěná věc").</w:t>
      </w:r>
    </w:p>
    <w:p w:rsidR="00DF44D2" w:rsidRDefault="009E032E">
      <w:pPr>
        <w:pStyle w:val="Zkladntext20"/>
        <w:numPr>
          <w:ilvl w:val="0"/>
          <w:numId w:val="2"/>
        </w:numPr>
        <w:shd w:val="clear" w:color="auto" w:fill="auto"/>
        <w:tabs>
          <w:tab w:val="left" w:pos="325"/>
        </w:tabs>
        <w:spacing w:before="0" w:after="0"/>
        <w:ind w:firstLine="0"/>
      </w:pPr>
      <w:r>
        <w:t>]e-li tak ujednáno, jsou předmětem pojištění také:</w:t>
      </w:r>
    </w:p>
    <w:p w:rsidR="00DF44D2" w:rsidRDefault="009E032E">
      <w:pPr>
        <w:pStyle w:val="Zkladntext20"/>
        <w:numPr>
          <w:ilvl w:val="0"/>
          <w:numId w:val="3"/>
        </w:numPr>
        <w:shd w:val="clear" w:color="auto" w:fill="auto"/>
        <w:tabs>
          <w:tab w:val="left" w:pos="320"/>
        </w:tabs>
        <w:spacing w:before="0" w:after="0"/>
        <w:ind w:firstLine="0"/>
      </w:pPr>
      <w:r>
        <w:t>cennosti,</w:t>
      </w:r>
    </w:p>
    <w:p w:rsidR="00DF44D2" w:rsidRDefault="009E032E">
      <w:pPr>
        <w:pStyle w:val="Zkladntext20"/>
        <w:numPr>
          <w:ilvl w:val="0"/>
          <w:numId w:val="3"/>
        </w:numPr>
        <w:shd w:val="clear" w:color="auto" w:fill="auto"/>
        <w:tabs>
          <w:tab w:val="left" w:pos="320"/>
        </w:tabs>
        <w:spacing w:before="0" w:after="0"/>
        <w:ind w:firstLine="0"/>
      </w:pPr>
      <w:r>
        <w:t>cenné věci,</w:t>
      </w:r>
    </w:p>
    <w:p w:rsidR="00DF44D2" w:rsidRDefault="009E032E">
      <w:pPr>
        <w:pStyle w:val="Zkladntext20"/>
        <w:numPr>
          <w:ilvl w:val="0"/>
          <w:numId w:val="3"/>
        </w:numPr>
        <w:shd w:val="clear" w:color="auto" w:fill="auto"/>
        <w:tabs>
          <w:tab w:val="left" w:pos="320"/>
        </w:tabs>
        <w:spacing w:before="0" w:after="0"/>
        <w:ind w:firstLine="0"/>
      </w:pPr>
      <w:r>
        <w:t>věci zvláštní hodnoty,</w:t>
      </w:r>
    </w:p>
    <w:p w:rsidR="00DF44D2" w:rsidRDefault="009E032E">
      <w:pPr>
        <w:pStyle w:val="Zkladntext20"/>
        <w:numPr>
          <w:ilvl w:val="0"/>
          <w:numId w:val="3"/>
        </w:numPr>
        <w:shd w:val="clear" w:color="auto" w:fill="auto"/>
        <w:tabs>
          <w:tab w:val="left" w:pos="325"/>
        </w:tabs>
        <w:spacing w:before="0"/>
        <w:ind w:firstLine="0"/>
      </w:pPr>
      <w:r>
        <w:t>písemnosti.</w:t>
      </w:r>
    </w:p>
    <w:p w:rsidR="00DF44D2" w:rsidRDefault="009E032E">
      <w:pPr>
        <w:pStyle w:val="Zkladntext20"/>
        <w:numPr>
          <w:ilvl w:val="0"/>
          <w:numId w:val="2"/>
        </w:numPr>
        <w:shd w:val="clear" w:color="auto" w:fill="auto"/>
        <w:tabs>
          <w:tab w:val="left" w:pos="325"/>
        </w:tabs>
        <w:spacing w:before="0" w:after="260"/>
        <w:ind w:right="220" w:firstLine="0"/>
      </w:pPr>
      <w:r>
        <w:t xml:space="preserve">Předmětem </w:t>
      </w:r>
      <w:r>
        <w:t>pojištění jsou věci ve vlastnictví nebo spoluvlastnictví pojistníka nebo pojištěného uvedeného v pojistné smlouvě (věci vlastní).</w:t>
      </w:r>
    </w:p>
    <w:p w:rsidR="00DF44D2" w:rsidRDefault="009E032E">
      <w:pPr>
        <w:pStyle w:val="Zkladntext20"/>
        <w:numPr>
          <w:ilvl w:val="0"/>
          <w:numId w:val="2"/>
        </w:numPr>
        <w:shd w:val="clear" w:color="auto" w:fill="auto"/>
        <w:tabs>
          <w:tab w:val="left" w:pos="334"/>
        </w:tabs>
        <w:spacing w:before="0" w:after="78" w:line="140" w:lineRule="exact"/>
        <w:ind w:firstLine="0"/>
      </w:pPr>
      <w:r>
        <w:t>]e-li tak ujednáno, jsou předmětem pojištění i cizí věci:</w:t>
      </w:r>
    </w:p>
    <w:p w:rsidR="00DF44D2" w:rsidRDefault="009E032E">
      <w:pPr>
        <w:pStyle w:val="Zkladntext20"/>
        <w:numPr>
          <w:ilvl w:val="0"/>
          <w:numId w:val="4"/>
        </w:numPr>
        <w:shd w:val="clear" w:color="auto" w:fill="auto"/>
        <w:tabs>
          <w:tab w:val="left" w:pos="320"/>
        </w:tabs>
        <w:spacing w:before="0" w:after="0" w:line="140" w:lineRule="exact"/>
        <w:ind w:firstLine="0"/>
      </w:pPr>
      <w:r>
        <w:t>nemovité,</w:t>
      </w:r>
    </w:p>
    <w:p w:rsidR="00DF44D2" w:rsidRDefault="009E032E">
      <w:pPr>
        <w:pStyle w:val="Zkladntext20"/>
        <w:numPr>
          <w:ilvl w:val="0"/>
          <w:numId w:val="4"/>
        </w:numPr>
        <w:shd w:val="clear" w:color="auto" w:fill="auto"/>
        <w:tabs>
          <w:tab w:val="left" w:pos="320"/>
        </w:tabs>
        <w:spacing w:before="0" w:after="0"/>
        <w:ind w:left="240"/>
        <w:jc w:val="left"/>
      </w:pPr>
      <w:r>
        <w:t xml:space="preserve">movité, které pojistník nebo pojištěný uvedený v pojistné </w:t>
      </w:r>
      <w:r>
        <w:t xml:space="preserve">smlouvě užívají podle dohody (dále jen </w:t>
      </w:r>
      <w:r>
        <w:rPr>
          <w:rStyle w:val="Zkladntext2Tun"/>
        </w:rPr>
        <w:t>„cizí věci užívané"),</w:t>
      </w:r>
    </w:p>
    <w:p w:rsidR="00DF44D2" w:rsidRDefault="009E032E">
      <w:pPr>
        <w:pStyle w:val="Zkladntext20"/>
        <w:numPr>
          <w:ilvl w:val="0"/>
          <w:numId w:val="4"/>
        </w:numPr>
        <w:shd w:val="clear" w:color="auto" w:fill="auto"/>
        <w:tabs>
          <w:tab w:val="left" w:pos="320"/>
        </w:tabs>
        <w:spacing w:before="0" w:after="0"/>
        <w:ind w:left="240"/>
        <w:jc w:val="left"/>
      </w:pPr>
      <w:r>
        <w:t xml:space="preserve">movité, které pojistník nebo pojištěný uvedený v pojistné smlouvě převzali při poskytování služby na základě smlouvy, objednávky nebo zakázkového listu (dále jen </w:t>
      </w:r>
      <w:r>
        <w:rPr>
          <w:rStyle w:val="Zkladntext2Tun"/>
        </w:rPr>
        <w:t>„cizí věci převzaté'</w:t>
      </w:r>
      <w:r>
        <w:rPr>
          <w:rStyle w:val="Zkladntext2Tun"/>
          <w:vertAlign w:val="superscript"/>
        </w:rPr>
        <w:footnoteReference w:id="1"/>
      </w:r>
      <w:r>
        <w:rPr>
          <w:rStyle w:val="Zkladntext2Tun"/>
        </w:rPr>
        <w:t>).</w:t>
      </w:r>
    </w:p>
    <w:p w:rsidR="00DF44D2" w:rsidRDefault="009E032E">
      <w:pPr>
        <w:pStyle w:val="Zkladntext20"/>
        <w:shd w:val="clear" w:color="auto" w:fill="auto"/>
        <w:spacing w:before="0"/>
        <w:ind w:right="220" w:firstLine="0"/>
      </w:pPr>
      <w:r>
        <w:t xml:space="preserve">U věcí </w:t>
      </w:r>
      <w:r>
        <w:t>uvedených v odst. 4) tohoto článku se jedná o pojištění cizího pojistného rizika.</w:t>
      </w:r>
    </w:p>
    <w:p w:rsidR="00DF44D2" w:rsidRDefault="009E032E">
      <w:pPr>
        <w:pStyle w:val="Zkladntext20"/>
        <w:numPr>
          <w:ilvl w:val="0"/>
          <w:numId w:val="2"/>
        </w:numPr>
        <w:shd w:val="clear" w:color="auto" w:fill="auto"/>
        <w:tabs>
          <w:tab w:val="left" w:pos="339"/>
        </w:tabs>
        <w:spacing w:before="0"/>
        <w:ind w:right="220" w:firstLine="0"/>
      </w:pPr>
      <w:r>
        <w:t>Bylo-li sjednáno pojištění souboru věcí, vztahuje se pojištění i na věci, které se staly součásti pojištěného souboru po uzavření pojistné smlouvy. Věci, které přestaly být s</w:t>
      </w:r>
      <w:r>
        <w:t>oučástí souboru, pojištěny nejsou.</w:t>
      </w:r>
    </w:p>
    <w:p w:rsidR="00DF44D2" w:rsidRDefault="009E032E">
      <w:pPr>
        <w:pStyle w:val="Zkladntext20"/>
        <w:numPr>
          <w:ilvl w:val="0"/>
          <w:numId w:val="2"/>
        </w:numPr>
        <w:shd w:val="clear" w:color="auto" w:fill="auto"/>
        <w:tabs>
          <w:tab w:val="left" w:pos="334"/>
        </w:tabs>
        <w:spacing w:before="0" w:after="0"/>
        <w:ind w:firstLine="0"/>
      </w:pPr>
      <w:r>
        <w:t>Předmětem pojištění nejsou:</w:t>
      </w:r>
    </w:p>
    <w:p w:rsidR="00DF44D2" w:rsidRDefault="009E032E">
      <w:pPr>
        <w:pStyle w:val="Zkladntext20"/>
        <w:numPr>
          <w:ilvl w:val="0"/>
          <w:numId w:val="5"/>
        </w:numPr>
        <w:shd w:val="clear" w:color="auto" w:fill="auto"/>
        <w:tabs>
          <w:tab w:val="left" w:pos="315"/>
        </w:tabs>
        <w:spacing w:before="0" w:after="0"/>
        <w:ind w:firstLine="0"/>
      </w:pPr>
      <w:r>
        <w:t>motorová a přípojná vozidla s přidělenou SPZ nebo registrační značkou,</w:t>
      </w:r>
    </w:p>
    <w:p w:rsidR="00DF44D2" w:rsidRDefault="009E032E">
      <w:pPr>
        <w:pStyle w:val="Zkladntext20"/>
        <w:shd w:val="clear" w:color="auto" w:fill="auto"/>
        <w:spacing w:before="0" w:after="0"/>
        <w:ind w:left="240" w:firstLine="0"/>
        <w:jc w:val="left"/>
      </w:pPr>
      <w:r>
        <w:t>s výjimkou pracovních strojů samojízdných a pracovních strojů přípojných,</w:t>
      </w:r>
    </w:p>
    <w:p w:rsidR="00DF44D2" w:rsidRDefault="009E032E">
      <w:pPr>
        <w:pStyle w:val="Zkladntext20"/>
        <w:numPr>
          <w:ilvl w:val="0"/>
          <w:numId w:val="5"/>
        </w:numPr>
        <w:shd w:val="clear" w:color="auto" w:fill="auto"/>
        <w:tabs>
          <w:tab w:val="left" w:pos="320"/>
        </w:tabs>
        <w:spacing w:before="0" w:after="0"/>
        <w:ind w:firstLine="0"/>
      </w:pPr>
      <w:r>
        <w:t>lodě a letadla,</w:t>
      </w:r>
    </w:p>
    <w:p w:rsidR="00DF44D2" w:rsidRDefault="009E032E">
      <w:pPr>
        <w:pStyle w:val="Zkladntext20"/>
        <w:numPr>
          <w:ilvl w:val="0"/>
          <w:numId w:val="5"/>
        </w:numPr>
        <w:shd w:val="clear" w:color="auto" w:fill="auto"/>
        <w:tabs>
          <w:tab w:val="left" w:pos="320"/>
        </w:tabs>
        <w:spacing w:before="0" w:after="0"/>
        <w:ind w:firstLine="0"/>
      </w:pPr>
      <w:r>
        <w:t>kolejová vozidla,</w:t>
      </w:r>
    </w:p>
    <w:p w:rsidR="00DF44D2" w:rsidRDefault="009E032E">
      <w:pPr>
        <w:pStyle w:val="Zkladntext20"/>
        <w:numPr>
          <w:ilvl w:val="0"/>
          <w:numId w:val="5"/>
        </w:numPr>
        <w:shd w:val="clear" w:color="auto" w:fill="auto"/>
        <w:tabs>
          <w:tab w:val="left" w:pos="325"/>
        </w:tabs>
        <w:spacing w:before="0" w:after="0"/>
        <w:ind w:firstLine="0"/>
      </w:pPr>
      <w:r>
        <w:t>vzorky, názorn</w:t>
      </w:r>
      <w:r>
        <w:t>é modely, prototypy,</w:t>
      </w:r>
    </w:p>
    <w:p w:rsidR="00DF44D2" w:rsidRDefault="009E032E">
      <w:pPr>
        <w:pStyle w:val="Zkladntext20"/>
        <w:numPr>
          <w:ilvl w:val="0"/>
          <w:numId w:val="5"/>
        </w:numPr>
        <w:shd w:val="clear" w:color="auto" w:fill="auto"/>
        <w:tabs>
          <w:tab w:val="left" w:pos="325"/>
        </w:tabs>
        <w:spacing w:before="0" w:after="0"/>
        <w:ind w:firstLine="0"/>
      </w:pPr>
      <w:r>
        <w:t>živá zvířata,</w:t>
      </w:r>
    </w:p>
    <w:p w:rsidR="00DF44D2" w:rsidRDefault="009E032E">
      <w:pPr>
        <w:pStyle w:val="Zkladntext20"/>
        <w:numPr>
          <w:ilvl w:val="0"/>
          <w:numId w:val="5"/>
        </w:numPr>
        <w:shd w:val="clear" w:color="auto" w:fill="auto"/>
        <w:tabs>
          <w:tab w:val="left" w:pos="325"/>
        </w:tabs>
        <w:spacing w:before="0" w:after="0"/>
        <w:ind w:firstLine="0"/>
      </w:pPr>
      <w:r>
        <w:t>pozemky a porosty,</w:t>
      </w:r>
    </w:p>
    <w:p w:rsidR="00DF44D2" w:rsidRDefault="009E032E">
      <w:pPr>
        <w:pStyle w:val="Zkladntext20"/>
        <w:shd w:val="clear" w:color="auto" w:fill="auto"/>
        <w:spacing w:before="0" w:after="260"/>
        <w:ind w:firstLine="0"/>
      </w:pPr>
      <w:r>
        <w:t>a to ani v případě, jsou-li součásti souboru věci uvedených v odst. l), 2), 3) a 4) tohoto článku.</w:t>
      </w:r>
    </w:p>
    <w:p w:rsidR="00DF44D2" w:rsidRDefault="009E032E">
      <w:pPr>
        <w:pStyle w:val="Nadpis30"/>
        <w:keepNext/>
        <w:keepLines/>
        <w:shd w:val="clear" w:color="auto" w:fill="auto"/>
        <w:spacing w:after="64" w:line="140" w:lineRule="exact"/>
        <w:ind w:firstLine="0"/>
        <w:jc w:val="both"/>
      </w:pPr>
      <w:bookmarkStart w:id="4" w:name="bookmark3"/>
      <w:r>
        <w:t>Článek II.</w:t>
      </w:r>
      <w:bookmarkEnd w:id="4"/>
    </w:p>
    <w:p w:rsidR="00DF44D2" w:rsidRDefault="009E032E">
      <w:pPr>
        <w:pStyle w:val="Zkladntext40"/>
        <w:shd w:val="clear" w:color="auto" w:fill="auto"/>
        <w:spacing w:before="0" w:after="0" w:line="140" w:lineRule="exact"/>
        <w:ind w:firstLine="0"/>
        <w:jc w:val="both"/>
      </w:pPr>
      <w:r>
        <w:t>Pojistná nebezpečí</w:t>
      </w:r>
    </w:p>
    <w:p w:rsidR="00DF44D2" w:rsidRDefault="009E032E">
      <w:pPr>
        <w:pStyle w:val="Zkladntext20"/>
        <w:numPr>
          <w:ilvl w:val="0"/>
          <w:numId w:val="6"/>
        </w:numPr>
        <w:shd w:val="clear" w:color="auto" w:fill="auto"/>
        <w:tabs>
          <w:tab w:val="left" w:pos="275"/>
        </w:tabs>
        <w:spacing w:before="0" w:after="88" w:line="140" w:lineRule="exact"/>
        <w:ind w:left="240"/>
      </w:pPr>
      <w:r>
        <w:t>loupež,</w:t>
      </w:r>
    </w:p>
    <w:p w:rsidR="00DF44D2" w:rsidRDefault="009E032E">
      <w:pPr>
        <w:pStyle w:val="Zkladntext40"/>
        <w:shd w:val="clear" w:color="auto" w:fill="auto"/>
        <w:spacing w:before="0" w:after="178" w:line="140" w:lineRule="exact"/>
        <w:ind w:left="240"/>
        <w:jc w:val="both"/>
      </w:pPr>
      <w:r>
        <w:rPr>
          <w:rStyle w:val="Zkladntext4Netun"/>
        </w:rPr>
        <w:t xml:space="preserve">(dále jen </w:t>
      </w:r>
      <w:r>
        <w:t>„odcizeni</w:t>
      </w:r>
      <w:r>
        <w:rPr>
          <w:vertAlign w:val="superscript"/>
        </w:rPr>
        <w:t>1</w:t>
      </w:r>
      <w:r>
        <w:t>).</w:t>
      </w:r>
    </w:p>
    <w:p w:rsidR="00DF44D2" w:rsidRDefault="009E032E">
      <w:pPr>
        <w:pStyle w:val="Zkladntext20"/>
        <w:numPr>
          <w:ilvl w:val="0"/>
          <w:numId w:val="7"/>
        </w:numPr>
        <w:shd w:val="clear" w:color="auto" w:fill="auto"/>
        <w:tabs>
          <w:tab w:val="left" w:pos="285"/>
        </w:tabs>
        <w:spacing w:before="0" w:after="240"/>
        <w:ind w:firstLine="0"/>
        <w:jc w:val="left"/>
      </w:pPr>
      <w:r>
        <w:t xml:space="preserve">Doplňkové pojištění lze sjednat pro případ úmyslného poškození nebo úmyslného zničení pojištěné věci (dále jen </w:t>
      </w:r>
      <w:r>
        <w:rPr>
          <w:rStyle w:val="Zkladntext2Tun"/>
        </w:rPr>
        <w:t>„vandalismus“).</w:t>
      </w:r>
    </w:p>
    <w:p w:rsidR="00DF44D2" w:rsidRDefault="009E032E">
      <w:pPr>
        <w:pStyle w:val="Zkladntext20"/>
        <w:numPr>
          <w:ilvl w:val="0"/>
          <w:numId w:val="7"/>
        </w:numPr>
        <w:shd w:val="clear" w:color="auto" w:fill="auto"/>
        <w:tabs>
          <w:tab w:val="left" w:pos="285"/>
        </w:tabs>
        <w:spacing w:before="0" w:after="320"/>
        <w:ind w:firstLine="0"/>
        <w:jc w:val="left"/>
      </w:pPr>
      <w:r>
        <w:t xml:space="preserve">Pojištění lze dále sjednat pro případ odcizení peněz nebo cenin, které přepravuje pojištěný nebo osoba jím pověřená, loupeží (dále jen </w:t>
      </w:r>
      <w:r>
        <w:rPr>
          <w:rStyle w:val="Zkladntext2Tun"/>
        </w:rPr>
        <w:t>„posel").</w:t>
      </w:r>
    </w:p>
    <w:p w:rsidR="00DF44D2" w:rsidRDefault="009E032E">
      <w:pPr>
        <w:pStyle w:val="Nadpis30"/>
        <w:keepNext/>
        <w:keepLines/>
        <w:shd w:val="clear" w:color="auto" w:fill="auto"/>
        <w:spacing w:after="50" w:line="140" w:lineRule="exact"/>
        <w:ind w:left="240"/>
        <w:jc w:val="both"/>
      </w:pPr>
      <w:bookmarkStart w:id="5" w:name="bookmark4"/>
      <w:r>
        <w:t>Článek III.</w:t>
      </w:r>
      <w:bookmarkEnd w:id="5"/>
    </w:p>
    <w:p w:rsidR="00DF44D2" w:rsidRDefault="009E032E">
      <w:pPr>
        <w:pStyle w:val="Zkladntext40"/>
        <w:shd w:val="clear" w:color="auto" w:fill="auto"/>
        <w:spacing w:before="0" w:after="263" w:line="140" w:lineRule="exact"/>
        <w:ind w:left="240"/>
        <w:jc w:val="both"/>
      </w:pPr>
      <w:r>
        <w:t>Místo pojištění</w:t>
      </w:r>
    </w:p>
    <w:p w:rsidR="00DF44D2" w:rsidRDefault="009E032E">
      <w:pPr>
        <w:pStyle w:val="Zkladntext20"/>
        <w:numPr>
          <w:ilvl w:val="0"/>
          <w:numId w:val="8"/>
        </w:numPr>
        <w:shd w:val="clear" w:color="auto" w:fill="auto"/>
        <w:tabs>
          <w:tab w:val="left" w:pos="275"/>
        </w:tabs>
        <w:spacing w:before="0" w:after="183" w:line="140" w:lineRule="exact"/>
        <w:ind w:left="240"/>
      </w:pPr>
      <w:r>
        <w:t>Místem pojištění je místo uvedené v pojistné smlouvě.</w:t>
      </w:r>
    </w:p>
    <w:p w:rsidR="00DF44D2" w:rsidRDefault="009E032E">
      <w:pPr>
        <w:pStyle w:val="Zkladntext20"/>
        <w:numPr>
          <w:ilvl w:val="0"/>
          <w:numId w:val="8"/>
        </w:numPr>
        <w:shd w:val="clear" w:color="auto" w:fill="auto"/>
        <w:tabs>
          <w:tab w:val="left" w:pos="285"/>
        </w:tabs>
        <w:spacing w:before="0" w:after="320"/>
        <w:ind w:firstLine="0"/>
        <w:jc w:val="left"/>
      </w:pPr>
      <w:r>
        <w:t xml:space="preserve">Je-li sjednáno pojištění </w:t>
      </w:r>
      <w:r>
        <w:rPr>
          <w:rStyle w:val="Zkladntext2Tun"/>
        </w:rPr>
        <w:t>„pos</w:t>
      </w:r>
      <w:r>
        <w:rPr>
          <w:rStyle w:val="Zkladntext2Tun"/>
        </w:rPr>
        <w:t xml:space="preserve">el", </w:t>
      </w:r>
      <w:r>
        <w:t>je místem pojištění území České republiky.</w:t>
      </w:r>
    </w:p>
    <w:p w:rsidR="00DF44D2" w:rsidRDefault="009E032E">
      <w:pPr>
        <w:pStyle w:val="Nadpis30"/>
        <w:keepNext/>
        <w:keepLines/>
        <w:shd w:val="clear" w:color="auto" w:fill="auto"/>
        <w:spacing w:after="64" w:line="140" w:lineRule="exact"/>
        <w:ind w:left="240"/>
        <w:jc w:val="both"/>
      </w:pPr>
      <w:bookmarkStart w:id="6" w:name="bookmark5"/>
      <w:r>
        <w:t>Článek IV.</w:t>
      </w:r>
      <w:bookmarkEnd w:id="6"/>
    </w:p>
    <w:p w:rsidR="00DF44D2" w:rsidRDefault="009E032E">
      <w:pPr>
        <w:pStyle w:val="Zkladntext40"/>
        <w:shd w:val="clear" w:color="auto" w:fill="auto"/>
        <w:spacing w:before="0" w:after="183" w:line="140" w:lineRule="exact"/>
        <w:ind w:left="240"/>
        <w:jc w:val="both"/>
      </w:pPr>
      <w:r>
        <w:t>Pojistná událost</w:t>
      </w:r>
    </w:p>
    <w:p w:rsidR="00DF44D2" w:rsidRDefault="009E032E">
      <w:pPr>
        <w:pStyle w:val="Zkladntext20"/>
        <w:numPr>
          <w:ilvl w:val="0"/>
          <w:numId w:val="9"/>
        </w:numPr>
        <w:shd w:val="clear" w:color="auto" w:fill="auto"/>
        <w:tabs>
          <w:tab w:val="left" w:pos="285"/>
        </w:tabs>
        <w:spacing w:before="0" w:after="320"/>
        <w:ind w:firstLine="0"/>
        <w:jc w:val="left"/>
      </w:pPr>
      <w:r>
        <w:t xml:space="preserve">Pojistnou událostí je poškození, zničení nebo odcizení pojištěné věci způsobené některým z pojistných nebezpečí uvedených v pojistné smlouvě, které nastalo v době trvání pojištění </w:t>
      </w:r>
      <w:r>
        <w:t>a v místě pojištění.</w:t>
      </w:r>
    </w:p>
    <w:p w:rsidR="00DF44D2" w:rsidRDefault="009E032E">
      <w:pPr>
        <w:pStyle w:val="Zkladntext20"/>
        <w:numPr>
          <w:ilvl w:val="0"/>
          <w:numId w:val="9"/>
        </w:numPr>
        <w:shd w:val="clear" w:color="auto" w:fill="auto"/>
        <w:tabs>
          <w:tab w:val="left" w:pos="285"/>
        </w:tabs>
        <w:spacing w:before="0" w:after="3" w:line="140" w:lineRule="exact"/>
        <w:ind w:left="240"/>
      </w:pPr>
      <w:r>
        <w:t>Pojistnou událostí je i poškození nebo zničení:</w:t>
      </w:r>
    </w:p>
    <w:p w:rsidR="00DF44D2" w:rsidRDefault="009E032E">
      <w:pPr>
        <w:pStyle w:val="Zkladntext20"/>
        <w:numPr>
          <w:ilvl w:val="0"/>
          <w:numId w:val="10"/>
        </w:numPr>
        <w:shd w:val="clear" w:color="auto" w:fill="auto"/>
        <w:tabs>
          <w:tab w:val="left" w:pos="275"/>
        </w:tabs>
        <w:spacing w:before="0" w:after="0"/>
        <w:ind w:left="240"/>
        <w:jc w:val="left"/>
      </w:pPr>
      <w:r>
        <w:t>pojištěné věci, způsobené jednáním pachatele směřujícím k odcizení pojištěné věci,</w:t>
      </w:r>
    </w:p>
    <w:p w:rsidR="00DF44D2" w:rsidRDefault="009E032E">
      <w:pPr>
        <w:pStyle w:val="Zkladntext20"/>
        <w:numPr>
          <w:ilvl w:val="0"/>
          <w:numId w:val="10"/>
        </w:numPr>
        <w:shd w:val="clear" w:color="auto" w:fill="auto"/>
        <w:tabs>
          <w:tab w:val="left" w:pos="275"/>
        </w:tabs>
        <w:spacing w:before="0" w:after="240"/>
        <w:ind w:left="240" w:right="340"/>
      </w:pPr>
      <w:r>
        <w:t>zábranných prostředků, které chrání věc pojištěnou podle těchto zvláštních pojistných podmínek, způsoben</w:t>
      </w:r>
      <w:r>
        <w:t>é jednáním pachatele směřujícím k jejímu odcizení.</w:t>
      </w:r>
    </w:p>
    <w:p w:rsidR="00DF44D2" w:rsidRDefault="009E032E">
      <w:pPr>
        <w:pStyle w:val="Zkladntext20"/>
        <w:numPr>
          <w:ilvl w:val="0"/>
          <w:numId w:val="9"/>
        </w:numPr>
        <w:shd w:val="clear" w:color="auto" w:fill="auto"/>
        <w:tabs>
          <w:tab w:val="left" w:pos="290"/>
        </w:tabs>
        <w:spacing w:before="0" w:after="0"/>
        <w:ind w:firstLine="0"/>
        <w:jc w:val="left"/>
      </w:pPr>
      <w:r>
        <w:t xml:space="preserve">Z pojištění </w:t>
      </w:r>
      <w:r>
        <w:rPr>
          <w:rStyle w:val="Zkladntext2Tun"/>
        </w:rPr>
        <w:t xml:space="preserve">„posel" </w:t>
      </w:r>
      <w:r>
        <w:t>vznikne právo na plnění jen tehdy, jestliže byla přeprava uskutečněna nejkratší možnou bezpečnou trasou mezi výchozím a cílovým místem přepravy a nebyla až do místa určení přerušena. Př</w:t>
      </w:r>
      <w:r>
        <w:t>eprava smí být přerušena jen z důvodů vyplývajících</w:t>
      </w:r>
    </w:p>
    <w:p w:rsidR="00DF44D2" w:rsidRDefault="009E032E">
      <w:pPr>
        <w:pStyle w:val="Zkladntext20"/>
        <w:shd w:val="clear" w:color="auto" w:fill="auto"/>
        <w:spacing w:before="0" w:after="320"/>
        <w:ind w:firstLine="0"/>
        <w:jc w:val="left"/>
      </w:pPr>
      <w:r>
        <w:t>z pravidel silničního provozu nebo z důvodů převzetí či předání peněz nebo cenin v místě určení Pojištění se vztahuje na odcizení peněz nebo cenin loupeží, ke kterému došlo v době po jejich převzetí pro b</w:t>
      </w:r>
      <w:r>
        <w:t>ezprostředně navazující přepravu a před jejich předáním bezprostředně po ukončení přepravy v místě určení, nejpozději do okamžiku, kdy peníze nebo ceniny měly být předány, resp. předány být mohly.</w:t>
      </w:r>
    </w:p>
    <w:p w:rsidR="00DF44D2" w:rsidRDefault="009E032E">
      <w:pPr>
        <w:pStyle w:val="Zkladntext20"/>
        <w:numPr>
          <w:ilvl w:val="0"/>
          <w:numId w:val="9"/>
        </w:numPr>
        <w:shd w:val="clear" w:color="auto" w:fill="auto"/>
        <w:tabs>
          <w:tab w:val="left" w:pos="285"/>
        </w:tabs>
        <w:spacing w:before="0" w:after="83" w:line="140" w:lineRule="exact"/>
        <w:ind w:left="240"/>
      </w:pPr>
      <w:r>
        <w:t>Pojištění „posel" se vztahuje t na případy:</w:t>
      </w:r>
    </w:p>
    <w:p w:rsidR="00DF44D2" w:rsidRDefault="009E032E">
      <w:pPr>
        <w:pStyle w:val="Zkladntext20"/>
        <w:numPr>
          <w:ilvl w:val="0"/>
          <w:numId w:val="11"/>
        </w:numPr>
        <w:shd w:val="clear" w:color="auto" w:fill="auto"/>
        <w:tabs>
          <w:tab w:val="left" w:pos="275"/>
        </w:tabs>
        <w:spacing w:before="0" w:after="0" w:line="140" w:lineRule="exact"/>
        <w:ind w:firstLine="0"/>
      </w:pPr>
      <w:r>
        <w:t xml:space="preserve">kdy k loupeží </w:t>
      </w:r>
      <w:r>
        <w:t>peněz nebo cenin došlo tak, že pachatel bezprostředně</w:t>
      </w:r>
    </w:p>
    <w:p w:rsidR="00DF44D2" w:rsidRDefault="009E032E">
      <w:pPr>
        <w:pStyle w:val="Zkladntext20"/>
        <w:shd w:val="clear" w:color="auto" w:fill="auto"/>
        <w:spacing w:before="0" w:after="0"/>
        <w:ind w:left="240" w:firstLine="0"/>
        <w:jc w:val="left"/>
      </w:pPr>
      <w:r>
        <w:t xml:space="preserve">před přepravou nebo po ní použil proti pojištěnému, osobě pověřené </w:t>
      </w:r>
      <w:r>
        <w:lastRenderedPageBreak/>
        <w:t>přepravou nebo proti osobám doprovázejícím násilí nebo hrozbu bezprostředního násilí,</w:t>
      </w:r>
    </w:p>
    <w:p w:rsidR="00DF44D2" w:rsidRDefault="009E032E">
      <w:pPr>
        <w:pStyle w:val="Zkladntext20"/>
        <w:numPr>
          <w:ilvl w:val="0"/>
          <w:numId w:val="11"/>
        </w:numPr>
        <w:shd w:val="clear" w:color="auto" w:fill="auto"/>
        <w:tabs>
          <w:tab w:val="left" w:pos="260"/>
        </w:tabs>
        <w:spacing w:before="0" w:after="260"/>
        <w:ind w:left="240"/>
        <w:jc w:val="left"/>
      </w:pPr>
      <w:r>
        <w:t>odcizení nebo ztráty přepravovaných peněz nebo ce</w:t>
      </w:r>
      <w:r>
        <w:t>nin, kdy pojištěný, osoba pověřená přepravou nebo osoba doprovázející byli následkem dopravní nebo jiné nehody zbaveni nezávisle na své vůli možnosti svěřené peníze nebo ceniny opatrovat. Právo na plnění však nevzniká, jestliže dopravní nehodu způsobil poj</w:t>
      </w:r>
      <w:r>
        <w:t>ištěný, osoba pověřená přepravou nebo osoba doprovázející v důsledku požití alkoholu nebo užitím jiné psychotropní nebo omamné látky.</w:t>
      </w:r>
    </w:p>
    <w:p w:rsidR="00DF44D2" w:rsidRDefault="009E032E">
      <w:pPr>
        <w:pStyle w:val="Nadpis30"/>
        <w:keepNext/>
        <w:keepLines/>
        <w:shd w:val="clear" w:color="auto" w:fill="auto"/>
        <w:spacing w:after="64" w:line="140" w:lineRule="exact"/>
        <w:ind w:firstLine="0"/>
      </w:pPr>
      <w:bookmarkStart w:id="7" w:name="bookmark6"/>
      <w:r>
        <w:t>Článek V.</w:t>
      </w:r>
      <w:bookmarkEnd w:id="7"/>
    </w:p>
    <w:p w:rsidR="00DF44D2" w:rsidRDefault="009E032E">
      <w:pPr>
        <w:pStyle w:val="Zkladntext40"/>
        <w:shd w:val="clear" w:color="auto" w:fill="auto"/>
        <w:spacing w:before="0" w:after="318" w:line="140" w:lineRule="exact"/>
        <w:ind w:firstLine="0"/>
      </w:pPr>
      <w:r>
        <w:t>Výluky z pojištění</w:t>
      </w:r>
    </w:p>
    <w:p w:rsidR="00DF44D2" w:rsidRDefault="009E032E">
      <w:pPr>
        <w:pStyle w:val="Zkladntext20"/>
        <w:shd w:val="clear" w:color="auto" w:fill="auto"/>
        <w:spacing w:before="0" w:after="0" w:line="140" w:lineRule="exact"/>
        <w:ind w:firstLine="0"/>
        <w:jc w:val="left"/>
      </w:pPr>
      <w:r>
        <w:t>1} Z pojištění nevzniká právo na plnění pojistitele:</w:t>
      </w:r>
    </w:p>
    <w:p w:rsidR="00DF44D2" w:rsidRDefault="009E032E">
      <w:pPr>
        <w:pStyle w:val="Zkladntext20"/>
        <w:numPr>
          <w:ilvl w:val="0"/>
          <w:numId w:val="12"/>
        </w:numPr>
        <w:shd w:val="clear" w:color="auto" w:fill="auto"/>
        <w:tabs>
          <w:tab w:val="left" w:pos="255"/>
        </w:tabs>
        <w:spacing w:before="0" w:after="0"/>
        <w:ind w:left="240"/>
        <w:jc w:val="left"/>
      </w:pPr>
      <w:r>
        <w:t xml:space="preserve">za škody způsobené malbami, nástřiky </w:t>
      </w:r>
      <w:r>
        <w:t>nebo polepením vnějších částí budovy nebo stavby,</w:t>
      </w:r>
    </w:p>
    <w:p w:rsidR="00DF44D2" w:rsidRDefault="009E032E">
      <w:pPr>
        <w:pStyle w:val="Zkladntext20"/>
        <w:numPr>
          <w:ilvl w:val="0"/>
          <w:numId w:val="12"/>
        </w:numPr>
        <w:shd w:val="clear" w:color="auto" w:fill="auto"/>
        <w:tabs>
          <w:tab w:val="left" w:pos="260"/>
        </w:tabs>
        <w:spacing w:before="0"/>
        <w:ind w:left="240"/>
        <w:jc w:val="left"/>
      </w:pPr>
      <w:r>
        <w:t>za poškození, zničení nebo ztrátu pojištěné věci zpronevěrou, podvodem, zatajením věci a neoprávněným užíváním pojištěné věci třetí osobou.</w:t>
      </w:r>
    </w:p>
    <w:p w:rsidR="00DF44D2" w:rsidRDefault="009E032E">
      <w:pPr>
        <w:pStyle w:val="Zkladntext20"/>
        <w:numPr>
          <w:ilvl w:val="0"/>
          <w:numId w:val="13"/>
        </w:numPr>
        <w:shd w:val="clear" w:color="auto" w:fill="auto"/>
        <w:tabs>
          <w:tab w:val="left" w:pos="274"/>
        </w:tabs>
        <w:spacing w:before="0" w:after="260"/>
        <w:ind w:firstLine="0"/>
        <w:jc w:val="left"/>
      </w:pPr>
      <w:r>
        <w:t xml:space="preserve">Při poškození nebo zničení zábranných prostředků podle článku IV. </w:t>
      </w:r>
      <w:r>
        <w:t>odst. 2) písm. b) nevzniká právo na plnění pojistitele za škody způsobené na sklech výloh, včetně nalepených neodnímatelných snímačů zabezpečovacích zařízení, nalepených fólií, nápisů, maleb a jiné výzdoby na těchto sklech.</w:t>
      </w:r>
    </w:p>
    <w:p w:rsidR="00DF44D2" w:rsidRDefault="009E032E">
      <w:pPr>
        <w:pStyle w:val="Nadpis30"/>
        <w:keepNext/>
        <w:keepLines/>
        <w:shd w:val="clear" w:color="auto" w:fill="auto"/>
        <w:spacing w:after="64" w:line="140" w:lineRule="exact"/>
        <w:ind w:firstLine="0"/>
      </w:pPr>
      <w:bookmarkStart w:id="8" w:name="bookmark7"/>
      <w:r>
        <w:t>Článek VL</w:t>
      </w:r>
      <w:bookmarkEnd w:id="8"/>
    </w:p>
    <w:p w:rsidR="00DF44D2" w:rsidRDefault="009E032E">
      <w:pPr>
        <w:pStyle w:val="Zkladntext40"/>
        <w:shd w:val="clear" w:color="auto" w:fill="auto"/>
        <w:spacing w:before="0" w:after="243" w:line="140" w:lineRule="exact"/>
        <w:ind w:firstLine="0"/>
      </w:pPr>
      <w:r>
        <w:t xml:space="preserve">Povinnosti pojistníka </w:t>
      </w:r>
      <w:r>
        <w:t>a pojištěného</w:t>
      </w:r>
    </w:p>
    <w:p w:rsidR="00DF44D2" w:rsidRDefault="009E032E">
      <w:pPr>
        <w:pStyle w:val="Zkladntext20"/>
        <w:numPr>
          <w:ilvl w:val="0"/>
          <w:numId w:val="14"/>
        </w:numPr>
        <w:shd w:val="clear" w:color="auto" w:fill="auto"/>
        <w:tabs>
          <w:tab w:val="left" w:pos="265"/>
        </w:tabs>
        <w:spacing w:before="0"/>
        <w:ind w:firstLine="0"/>
        <w:jc w:val="left"/>
      </w:pPr>
      <w:r>
        <w:t>Pojistník a pojištěný jsou povinni pojištěné věci uložit a zabezpečit podle jejich charakteru a hodnoty tak, aby toto zabezpečení minimálně odpovídalo ujednáním dodatkových pojistných podmínek - způsoby zabezpečení</w:t>
      </w:r>
    </w:p>
    <w:p w:rsidR="00DF44D2" w:rsidRDefault="009E032E">
      <w:pPr>
        <w:pStyle w:val="Zkladntext20"/>
        <w:numPr>
          <w:ilvl w:val="0"/>
          <w:numId w:val="14"/>
        </w:numPr>
        <w:shd w:val="clear" w:color="auto" w:fill="auto"/>
        <w:tabs>
          <w:tab w:val="left" w:pos="274"/>
        </w:tabs>
        <w:spacing w:before="0" w:after="260"/>
        <w:ind w:firstLine="0"/>
        <w:jc w:val="left"/>
      </w:pPr>
      <w:r>
        <w:t>Byla-li pojištěná věc odciz</w:t>
      </w:r>
      <w:r>
        <w:t>ena a mělo-li porušení povinnosti uvedené v odst. 1) tohoto článku podstatný vliv na vznik pojistné události, její průběh nebo na zvětšení rozsahu jejích následků, poskytne pojistitel plnění, které je omezeno limitem uvedeným v dodatkových pojistných podmí</w:t>
      </w:r>
      <w:r>
        <w:t>nkách - způsoby zabezpečení odpovídajícím skutečnému způsobu zabezpečení pojištěných věci v době vzniku pojistné události.</w:t>
      </w:r>
    </w:p>
    <w:p w:rsidR="00DF44D2" w:rsidRDefault="009E032E">
      <w:pPr>
        <w:pStyle w:val="Nadpis30"/>
        <w:keepNext/>
        <w:keepLines/>
        <w:shd w:val="clear" w:color="auto" w:fill="auto"/>
        <w:spacing w:after="64" w:line="140" w:lineRule="exact"/>
        <w:ind w:firstLine="0"/>
      </w:pPr>
      <w:bookmarkStart w:id="9" w:name="bookmark8"/>
      <w:r>
        <w:t>Článek VII.</w:t>
      </w:r>
      <w:bookmarkEnd w:id="9"/>
    </w:p>
    <w:p w:rsidR="00DF44D2" w:rsidRDefault="009E032E">
      <w:pPr>
        <w:pStyle w:val="Zkladntext40"/>
        <w:shd w:val="clear" w:color="auto" w:fill="auto"/>
        <w:spacing w:before="0" w:after="243" w:line="140" w:lineRule="exact"/>
        <w:ind w:firstLine="0"/>
      </w:pPr>
      <w:r>
        <w:t>Pojistná hodnota</w:t>
      </w:r>
    </w:p>
    <w:p w:rsidR="00DF44D2" w:rsidRDefault="009E032E">
      <w:pPr>
        <w:pStyle w:val="Zkladntext20"/>
        <w:numPr>
          <w:ilvl w:val="0"/>
          <w:numId w:val="15"/>
        </w:numPr>
        <w:shd w:val="clear" w:color="auto" w:fill="auto"/>
        <w:tabs>
          <w:tab w:val="left" w:pos="260"/>
        </w:tabs>
        <w:spacing w:before="0"/>
        <w:ind w:firstLine="0"/>
        <w:jc w:val="left"/>
      </w:pPr>
      <w:r>
        <w:t>Pojistnou hodnotou pojištěné věci je její nová cena (pojištění na novou cenu), není-li ujednáno jinak.</w:t>
      </w:r>
    </w:p>
    <w:p w:rsidR="00DF44D2" w:rsidRDefault="009E032E">
      <w:pPr>
        <w:pStyle w:val="Zkladntext20"/>
        <w:numPr>
          <w:ilvl w:val="0"/>
          <w:numId w:val="15"/>
        </w:numPr>
        <w:shd w:val="clear" w:color="auto" w:fill="auto"/>
        <w:tabs>
          <w:tab w:val="left" w:pos="270"/>
        </w:tabs>
        <w:spacing w:before="0"/>
        <w:ind w:firstLine="0"/>
        <w:jc w:val="left"/>
      </w:pPr>
      <w:r>
        <w:t>Pojistnou hodnotou cizích věcí převzatých je jejich časová cena (pojištění na časovou cenu).</w:t>
      </w:r>
    </w:p>
    <w:p w:rsidR="00DF44D2" w:rsidRDefault="009E032E">
      <w:pPr>
        <w:pStyle w:val="Zkladntext20"/>
        <w:numPr>
          <w:ilvl w:val="0"/>
          <w:numId w:val="15"/>
        </w:numPr>
        <w:shd w:val="clear" w:color="auto" w:fill="auto"/>
        <w:tabs>
          <w:tab w:val="left" w:pos="270"/>
        </w:tabs>
        <w:spacing w:before="0"/>
        <w:ind w:right="160" w:firstLine="0"/>
      </w:pPr>
      <w:r>
        <w:t xml:space="preserve">Pojistnou hodnotou zásob a cenných věci je částka, která odpovídá nákladům na nové vyrobení nebo pořízení stejných nebo srovnatelných zásob nebo cenných věci v </w:t>
      </w:r>
      <w:r>
        <w:t>daném čase a na daném místě.</w:t>
      </w:r>
    </w:p>
    <w:p w:rsidR="00DF44D2" w:rsidRDefault="009E032E">
      <w:pPr>
        <w:pStyle w:val="Zkladntext20"/>
        <w:numPr>
          <w:ilvl w:val="0"/>
          <w:numId w:val="15"/>
        </w:numPr>
        <w:shd w:val="clear" w:color="auto" w:fill="auto"/>
        <w:tabs>
          <w:tab w:val="left" w:pos="270"/>
        </w:tabs>
        <w:spacing w:before="0" w:after="0"/>
        <w:ind w:firstLine="0"/>
        <w:jc w:val="left"/>
      </w:pPr>
      <w:r>
        <w:t>Pojistnou hodnotou věcí zvláštní hodnoty je jejich obvyklá cena (pojištění na obvyklou cenu).</w:t>
      </w:r>
    </w:p>
    <w:p w:rsidR="00DF44D2" w:rsidRDefault="009E032E">
      <w:pPr>
        <w:pStyle w:val="Nadpis30"/>
        <w:keepNext/>
        <w:keepLines/>
        <w:shd w:val="clear" w:color="auto" w:fill="auto"/>
        <w:spacing w:after="64" w:line="140" w:lineRule="exact"/>
        <w:ind w:firstLine="0"/>
        <w:jc w:val="both"/>
      </w:pPr>
      <w:bookmarkStart w:id="10" w:name="bookmark9"/>
      <w:r>
        <w:t>Článek VIII.</w:t>
      </w:r>
      <w:bookmarkEnd w:id="10"/>
    </w:p>
    <w:p w:rsidR="00DF44D2" w:rsidRDefault="009E032E">
      <w:pPr>
        <w:pStyle w:val="Zkladntext40"/>
        <w:shd w:val="clear" w:color="auto" w:fill="auto"/>
        <w:spacing w:before="0" w:after="123" w:line="140" w:lineRule="exact"/>
        <w:ind w:firstLine="0"/>
        <w:jc w:val="both"/>
      </w:pPr>
      <w:r>
        <w:t>Pojistné plněni</w:t>
      </w:r>
    </w:p>
    <w:p w:rsidR="00DF44D2" w:rsidRDefault="009E032E">
      <w:pPr>
        <w:pStyle w:val="Zkladntext20"/>
        <w:numPr>
          <w:ilvl w:val="0"/>
          <w:numId w:val="16"/>
        </w:numPr>
        <w:shd w:val="clear" w:color="auto" w:fill="auto"/>
        <w:tabs>
          <w:tab w:val="left" w:pos="260"/>
        </w:tabs>
        <w:spacing w:before="0" w:after="0"/>
        <w:ind w:firstLine="0"/>
      </w:pPr>
      <w:r>
        <w:t xml:space="preserve">Byla-li pojištěná věc zničena nebo odcizena, vzniká oprávněné osobě právo, není-li ujednáno jinak, aby </w:t>
      </w:r>
      <w:r>
        <w:t>jí pojistitel vyplatil</w:t>
      </w:r>
    </w:p>
    <w:p w:rsidR="00DF44D2" w:rsidRDefault="009E032E">
      <w:pPr>
        <w:pStyle w:val="Zkladntext20"/>
        <w:numPr>
          <w:ilvl w:val="0"/>
          <w:numId w:val="17"/>
        </w:numPr>
        <w:shd w:val="clear" w:color="auto" w:fill="auto"/>
        <w:tabs>
          <w:tab w:val="left" w:pos="255"/>
        </w:tabs>
        <w:spacing w:before="0" w:after="0"/>
        <w:ind w:left="240"/>
      </w:pPr>
      <w:r>
        <w:t>z pojištění na novou cenu částku odpovídající přiměřeným nákladům na znovupořízení stejné nebo srovnatelné nové věci sníženou o cenu využitelných zbytků,</w:t>
      </w:r>
    </w:p>
    <w:p w:rsidR="00DF44D2" w:rsidRDefault="009E032E">
      <w:pPr>
        <w:pStyle w:val="Zkladntext20"/>
        <w:numPr>
          <w:ilvl w:val="0"/>
          <w:numId w:val="17"/>
        </w:numPr>
        <w:shd w:val="clear" w:color="auto" w:fill="auto"/>
        <w:tabs>
          <w:tab w:val="left" w:pos="260"/>
        </w:tabs>
        <w:spacing w:before="0" w:after="0"/>
        <w:ind w:left="240"/>
        <w:jc w:val="left"/>
      </w:pPr>
      <w:r>
        <w:t>z pojištění na časovou cenu částku odpovídající přiměřeným nákladům na znovupoř</w:t>
      </w:r>
      <w:r>
        <w:t xml:space="preserve">ízení stejné nebo srovnatelné nové věci sníženou o částku odpovídající stupni opotřebení nebo jiného znehodnocení s přihlédnutím k případnému zhodnocení z doby bezprostředně před vznikem pojistné </w:t>
      </w:r>
      <w:r>
        <w:t>události a sníženou o cenu využitelných zbytků,</w:t>
      </w:r>
    </w:p>
    <w:p w:rsidR="00DF44D2" w:rsidRDefault="009E032E">
      <w:pPr>
        <w:pStyle w:val="Zkladntext20"/>
        <w:numPr>
          <w:ilvl w:val="0"/>
          <w:numId w:val="17"/>
        </w:numPr>
        <w:shd w:val="clear" w:color="auto" w:fill="auto"/>
        <w:tabs>
          <w:tab w:val="left" w:pos="260"/>
        </w:tabs>
        <w:spacing w:before="0"/>
        <w:ind w:left="240"/>
        <w:jc w:val="left"/>
      </w:pPr>
      <w:r>
        <w:t xml:space="preserve">z pojištění </w:t>
      </w:r>
      <w:r>
        <w:t>na obvyklou cenu částku, která by byla dosažena při prodeji stejné nebo srovnatelné věci v době bezprostředně před vznikem pojistné události a v obvyklém obchodním styku.</w:t>
      </w:r>
    </w:p>
    <w:p w:rsidR="00DF44D2" w:rsidRDefault="009E032E">
      <w:pPr>
        <w:pStyle w:val="Zkladntext20"/>
        <w:numPr>
          <w:ilvl w:val="0"/>
          <w:numId w:val="16"/>
        </w:numPr>
        <w:shd w:val="clear" w:color="auto" w:fill="auto"/>
        <w:tabs>
          <w:tab w:val="left" w:pos="265"/>
        </w:tabs>
        <w:spacing w:before="0" w:after="0"/>
        <w:ind w:firstLine="0"/>
      </w:pPr>
      <w:r>
        <w:t>Byla-li pojištěná věc poškozena, vzniká oprávněné osobě právo, není-li ujednáno jinak</w:t>
      </w:r>
      <w:r>
        <w:t>, aby jí pojistitel vyplatil</w:t>
      </w:r>
    </w:p>
    <w:p w:rsidR="00DF44D2" w:rsidRDefault="009E032E">
      <w:pPr>
        <w:pStyle w:val="Zkladntext20"/>
        <w:numPr>
          <w:ilvl w:val="0"/>
          <w:numId w:val="18"/>
        </w:numPr>
        <w:shd w:val="clear" w:color="auto" w:fill="auto"/>
        <w:tabs>
          <w:tab w:val="left" w:pos="255"/>
        </w:tabs>
        <w:spacing w:before="0" w:after="0"/>
        <w:ind w:left="240"/>
        <w:jc w:val="left"/>
      </w:pPr>
      <w:r>
        <w:t>z pojištění na novou cenu částku odpovídající přiměřeným nákladům na opravu poškozené věci sníženou o cenu využitelných zbytků nahrazovaných částí,</w:t>
      </w:r>
    </w:p>
    <w:p w:rsidR="00DF44D2" w:rsidRDefault="009E032E">
      <w:pPr>
        <w:pStyle w:val="Zkladntext20"/>
        <w:numPr>
          <w:ilvl w:val="0"/>
          <w:numId w:val="18"/>
        </w:numPr>
        <w:shd w:val="clear" w:color="auto" w:fill="auto"/>
        <w:tabs>
          <w:tab w:val="left" w:pos="260"/>
        </w:tabs>
        <w:spacing w:before="0" w:after="0"/>
        <w:ind w:left="240"/>
        <w:jc w:val="left"/>
      </w:pPr>
      <w:r>
        <w:t>z pojištění na časovou cenu částku odpovídající přiměřeným nákladům na opravu p</w:t>
      </w:r>
      <w:r>
        <w:t>oškozené věci sníženou o částku odpovídající stupni opotřebení nebo jiného znehodnocení s přihlédnutím</w:t>
      </w:r>
    </w:p>
    <w:p w:rsidR="00DF44D2" w:rsidRDefault="009E032E">
      <w:pPr>
        <w:pStyle w:val="Zkladntext20"/>
        <w:shd w:val="clear" w:color="auto" w:fill="auto"/>
        <w:spacing w:before="0" w:after="0"/>
        <w:ind w:left="240" w:firstLine="0"/>
        <w:jc w:val="left"/>
      </w:pPr>
      <w:r>
        <w:t xml:space="preserve">k případnému zhodnocení nahrazovaných částí z doby bezprostředně před vznikem pojistné události a sníženou o cenu využitelných zbytků nahrazovaných </w:t>
      </w:r>
      <w:r>
        <w:t>částí,</w:t>
      </w:r>
    </w:p>
    <w:p w:rsidR="00DF44D2" w:rsidRDefault="009E032E">
      <w:pPr>
        <w:pStyle w:val="Zkladntext20"/>
        <w:numPr>
          <w:ilvl w:val="0"/>
          <w:numId w:val="18"/>
        </w:numPr>
        <w:shd w:val="clear" w:color="auto" w:fill="auto"/>
        <w:tabs>
          <w:tab w:val="left" w:pos="260"/>
        </w:tabs>
        <w:spacing w:before="0" w:after="0"/>
        <w:ind w:left="240"/>
        <w:jc w:val="left"/>
      </w:pPr>
      <w:r>
        <w:t>z pojištění na obvyklou cenu částku odpovídající přiměřeným nákladům na opravu poškozené věci sníženou o částku odpovídající stupni opotřebení nebo jiného znehodnocení s přihlédnutím</w:t>
      </w:r>
    </w:p>
    <w:p w:rsidR="00DF44D2" w:rsidRDefault="009E032E">
      <w:pPr>
        <w:pStyle w:val="Zkladntext20"/>
        <w:shd w:val="clear" w:color="auto" w:fill="auto"/>
        <w:spacing w:before="0" w:after="0"/>
        <w:ind w:left="240" w:firstLine="0"/>
        <w:jc w:val="left"/>
      </w:pPr>
      <w:r>
        <w:t>k případnému zhodnocení nahrazovaných částí z doby bezprostředně p</w:t>
      </w:r>
      <w:r>
        <w:t>řed vznikem pojistné události a sníženou o cenu využitelných zbytků nahrazovaných částí.</w:t>
      </w:r>
    </w:p>
    <w:p w:rsidR="00DF44D2" w:rsidRDefault="009E032E">
      <w:pPr>
        <w:pStyle w:val="Zkladntext20"/>
        <w:shd w:val="clear" w:color="auto" w:fill="auto"/>
        <w:spacing w:before="0"/>
        <w:ind w:firstLine="0"/>
      </w:pPr>
      <w:r>
        <w:t>Plnění pojistitele stanovené podle odst. 2) tohoto článku však nepřevýší částku vypočtenou podle odst. l) tohoto článku.</w:t>
      </w:r>
    </w:p>
    <w:p w:rsidR="00DF44D2" w:rsidRDefault="009E032E">
      <w:pPr>
        <w:pStyle w:val="Zkladntext20"/>
        <w:numPr>
          <w:ilvl w:val="0"/>
          <w:numId w:val="16"/>
        </w:numPr>
        <w:shd w:val="clear" w:color="auto" w:fill="auto"/>
        <w:tabs>
          <w:tab w:val="left" w:pos="265"/>
        </w:tabs>
        <w:spacing w:before="0"/>
        <w:ind w:firstLine="0"/>
        <w:jc w:val="left"/>
      </w:pPr>
      <w:r>
        <w:t>V případě poškození nebo zničení zábranných pr</w:t>
      </w:r>
      <w:r>
        <w:t>ostředků podle článku IV. odst. 2) písm. b) poskytne pojistitel plnění z jedné pojistné události až do výše 5 % z horní hranice plnění sjednané pro movité věci, cennosti, cenné věci a věci zvláštní hodnoty, není-li ujednáno jinak.</w:t>
      </w:r>
    </w:p>
    <w:p w:rsidR="00DF44D2" w:rsidRDefault="009E032E">
      <w:pPr>
        <w:pStyle w:val="Zkladntext20"/>
        <w:numPr>
          <w:ilvl w:val="0"/>
          <w:numId w:val="16"/>
        </w:numPr>
        <w:shd w:val="clear" w:color="auto" w:fill="auto"/>
        <w:tabs>
          <w:tab w:val="left" w:pos="274"/>
        </w:tabs>
        <w:spacing w:before="0"/>
        <w:ind w:firstLine="0"/>
        <w:jc w:val="left"/>
      </w:pPr>
      <w:r>
        <w:t>Byla-li poškozena, zničen</w:t>
      </w:r>
      <w:r>
        <w:t>a nebo odcizena movitá věc, pro kterou bylo sjednáno pojištění na novou cenu, a její opotřebení nebo jiné znehodnocení s přihlédnutím k případnému zhodnocení přesáhlo v době bezprostředně před vznikem pojistné události 70 %, vyplatí pojistitel plnění stano</w:t>
      </w:r>
      <w:r>
        <w:t>vené podle odst. l) nebo 2) tohoto článku pouze do výše časové ceny, kterou měla pojištěná věc v době bezprostředně před vznikem pojistné události.</w:t>
      </w:r>
    </w:p>
    <w:p w:rsidR="00DF44D2" w:rsidRDefault="009E032E">
      <w:pPr>
        <w:pStyle w:val="Zkladntext20"/>
        <w:numPr>
          <w:ilvl w:val="0"/>
          <w:numId w:val="16"/>
        </w:numPr>
        <w:shd w:val="clear" w:color="auto" w:fill="auto"/>
        <w:tabs>
          <w:tab w:val="left" w:pos="270"/>
        </w:tabs>
        <w:spacing w:before="0" w:after="0"/>
        <w:ind w:firstLine="0"/>
      </w:pPr>
      <w:r>
        <w:t>Vznikla-li pojistná událost na zásobách nebo cenných věcech, vyplatí pojistitel v případě:</w:t>
      </w:r>
    </w:p>
    <w:p w:rsidR="00DF44D2" w:rsidRDefault="009E032E">
      <w:pPr>
        <w:pStyle w:val="Zkladntext20"/>
        <w:numPr>
          <w:ilvl w:val="0"/>
          <w:numId w:val="19"/>
        </w:numPr>
        <w:shd w:val="clear" w:color="auto" w:fill="auto"/>
        <w:tabs>
          <w:tab w:val="left" w:pos="255"/>
        </w:tabs>
        <w:spacing w:before="0" w:after="0"/>
        <w:ind w:left="240"/>
        <w:jc w:val="left"/>
      </w:pPr>
      <w:r>
        <w:t xml:space="preserve">poškození částku </w:t>
      </w:r>
      <w:r>
        <w:t>odpovídající přiměřeným nákladům na jejich opravu nebo úpravu sníženou o cenu využitelných zbytků nahrazovaných částí,</w:t>
      </w:r>
    </w:p>
    <w:p w:rsidR="00DF44D2" w:rsidRDefault="009E032E">
      <w:pPr>
        <w:pStyle w:val="Zkladntext20"/>
        <w:numPr>
          <w:ilvl w:val="0"/>
          <w:numId w:val="19"/>
        </w:numPr>
        <w:shd w:val="clear" w:color="auto" w:fill="auto"/>
        <w:tabs>
          <w:tab w:val="left" w:pos="260"/>
        </w:tabs>
        <w:spacing w:before="0" w:after="0"/>
        <w:ind w:left="240"/>
        <w:jc w:val="left"/>
      </w:pPr>
      <w:r>
        <w:t xml:space="preserve">znehodnocení částku odpovídající rozdílu mezi jejich pojistnou hodnotou v době bezprostředně před vznikem pojistné události a obvyklou </w:t>
      </w:r>
      <w:r>
        <w:t>cenou po znehodnocení,</w:t>
      </w:r>
    </w:p>
    <w:p w:rsidR="00DF44D2" w:rsidRDefault="009E032E">
      <w:pPr>
        <w:pStyle w:val="Zkladntext20"/>
        <w:numPr>
          <w:ilvl w:val="0"/>
          <w:numId w:val="19"/>
        </w:numPr>
        <w:shd w:val="clear" w:color="auto" w:fill="auto"/>
        <w:tabs>
          <w:tab w:val="left" w:pos="246"/>
        </w:tabs>
        <w:spacing w:before="0" w:after="0"/>
        <w:ind w:left="240"/>
        <w:jc w:val="left"/>
      </w:pPr>
      <w:r>
        <w:t>zničení nebo odcizení částku odpovídající přiměřeným nákladům na jejich nové vyrobení nebo pořízení sníženou o cenu využitelných zbytků. Pojistitel vyplatí nižší z uvedených částek.</w:t>
      </w:r>
    </w:p>
    <w:p w:rsidR="00DF44D2" w:rsidRDefault="009E032E">
      <w:pPr>
        <w:pStyle w:val="Zkladntext20"/>
        <w:shd w:val="clear" w:color="auto" w:fill="auto"/>
        <w:spacing w:before="0"/>
        <w:ind w:firstLine="0"/>
        <w:jc w:val="left"/>
      </w:pPr>
      <w:r>
        <w:t xml:space="preserve">Plnění pojistitele stanovené podle odst. 5) tohoto </w:t>
      </w:r>
      <w:r>
        <w:t>článku nepřevýší částku, kterou by oprávněná osoba obdržela při prodeji zásob nebo cenných věcí v době bezprostředně před vznikem pojistné události.</w:t>
      </w:r>
    </w:p>
    <w:p w:rsidR="00DF44D2" w:rsidRDefault="009E032E">
      <w:pPr>
        <w:pStyle w:val="Zkladntext20"/>
        <w:numPr>
          <w:ilvl w:val="0"/>
          <w:numId w:val="16"/>
        </w:numPr>
        <w:shd w:val="clear" w:color="auto" w:fill="auto"/>
        <w:tabs>
          <w:tab w:val="left" w:pos="274"/>
        </w:tabs>
        <w:spacing w:before="0"/>
        <w:ind w:firstLine="0"/>
        <w:jc w:val="left"/>
      </w:pPr>
      <w:r>
        <w:t>Vznikla-li pojistná událost na ceninách, vyplatí pojistitel částku odpovídající přiměřeným nákladům na jeji</w:t>
      </w:r>
      <w:r>
        <w:t>ch pořízení, nejvýše však částku, kterou by oprávněná osoba obdržela při jejich prodeji v době bezprostředně před vznikem pojistné události.</w:t>
      </w:r>
    </w:p>
    <w:p w:rsidR="00DF44D2" w:rsidRDefault="009E032E">
      <w:pPr>
        <w:pStyle w:val="Zkladntext20"/>
        <w:numPr>
          <w:ilvl w:val="0"/>
          <w:numId w:val="16"/>
        </w:numPr>
        <w:shd w:val="clear" w:color="auto" w:fill="auto"/>
        <w:tabs>
          <w:tab w:val="left" w:pos="270"/>
        </w:tabs>
        <w:spacing w:before="0"/>
        <w:ind w:firstLine="0"/>
        <w:jc w:val="left"/>
      </w:pPr>
      <w:r>
        <w:t>Pokud byly poškozeny, zničeny nebo odcizeny pojištěné vkladní a šekové knížky, platební karty a jiné obdobné dokume</w:t>
      </w:r>
      <w:r>
        <w:t>nty a cenné papíry, vyplatí pojistitel částku potřebnou na jejich umoření jestliže byly uvedené věci zneužity, vyplatí pojistitel částku, o kterou se majetek oprávněné osoby tímto zneužitím snížil. Pojistitel však neuhradí ušlé úroky a ostatní ušlé výnosy.</w:t>
      </w:r>
    </w:p>
    <w:p w:rsidR="00DF44D2" w:rsidRDefault="009E032E">
      <w:pPr>
        <w:pStyle w:val="Zkladntext20"/>
        <w:numPr>
          <w:ilvl w:val="0"/>
          <w:numId w:val="16"/>
        </w:numPr>
        <w:shd w:val="clear" w:color="auto" w:fill="auto"/>
        <w:tabs>
          <w:tab w:val="left" w:pos="274"/>
        </w:tabs>
        <w:spacing w:before="0" w:after="0"/>
        <w:ind w:firstLine="0"/>
        <w:jc w:val="left"/>
      </w:pPr>
      <w:r>
        <w:t>Vznikla-li pojistná událost na věcech zvláštní hodnoty, vyplatí pojistitel v případě:</w:t>
      </w:r>
    </w:p>
    <w:p w:rsidR="00DF44D2" w:rsidRDefault="009E032E">
      <w:pPr>
        <w:pStyle w:val="Zkladntext20"/>
        <w:numPr>
          <w:ilvl w:val="0"/>
          <w:numId w:val="20"/>
        </w:numPr>
        <w:shd w:val="clear" w:color="auto" w:fill="auto"/>
        <w:tabs>
          <w:tab w:val="left" w:pos="255"/>
        </w:tabs>
        <w:spacing w:before="0" w:after="0"/>
        <w:ind w:left="240"/>
        <w:jc w:val="left"/>
      </w:pPr>
      <w:r>
        <w:lastRenderedPageBreak/>
        <w:t>poškození částku odpovídající přiměřeným nákladům na jejich uvedení do původního stavu,</w:t>
      </w:r>
    </w:p>
    <w:p w:rsidR="00DF44D2" w:rsidRDefault="009E032E">
      <w:pPr>
        <w:pStyle w:val="Zkladntext20"/>
        <w:numPr>
          <w:ilvl w:val="0"/>
          <w:numId w:val="20"/>
        </w:numPr>
        <w:shd w:val="clear" w:color="auto" w:fill="auto"/>
        <w:tabs>
          <w:tab w:val="left" w:pos="260"/>
        </w:tabs>
        <w:spacing w:before="0" w:after="0"/>
        <w:ind w:left="240"/>
        <w:jc w:val="left"/>
      </w:pPr>
      <w:r>
        <w:t>znehodnocení částku odpovídající rozdílu mezi obvyklou cenou v době bezprostředně</w:t>
      </w:r>
      <w:r>
        <w:t xml:space="preserve"> před vznikem pojistné události a obvyklou cenou po pojistné události,</w:t>
      </w:r>
    </w:p>
    <w:p w:rsidR="00DF44D2" w:rsidRDefault="009E032E">
      <w:pPr>
        <w:pStyle w:val="Zkladntext20"/>
        <w:numPr>
          <w:ilvl w:val="0"/>
          <w:numId w:val="20"/>
        </w:numPr>
        <w:shd w:val="clear" w:color="auto" w:fill="auto"/>
        <w:tabs>
          <w:tab w:val="left" w:pos="260"/>
        </w:tabs>
        <w:spacing w:before="0" w:after="0"/>
        <w:ind w:left="240"/>
        <w:jc w:val="left"/>
      </w:pPr>
      <w:r>
        <w:t>zničení nebo odcizení částku odpovídající obvyklé ceně věci v době bezprostředně před vznikem pojistné událostí</w:t>
      </w:r>
    </w:p>
    <w:p w:rsidR="00DF44D2" w:rsidRDefault="009E032E">
      <w:pPr>
        <w:pStyle w:val="Zkladntext20"/>
        <w:shd w:val="clear" w:color="auto" w:fill="auto"/>
        <w:spacing w:before="0"/>
        <w:ind w:firstLine="0"/>
        <w:jc w:val="left"/>
      </w:pPr>
      <w:r>
        <w:t>Plnění pojistitele stanovené podle odst. 8) písm. a) tohoto článku však n</w:t>
      </w:r>
      <w:r>
        <w:t>epřevýší částku vypočtenou podle odst. 8) písm. c) tohoto článku.</w:t>
      </w:r>
    </w:p>
    <w:p w:rsidR="00DF44D2" w:rsidRDefault="009E032E">
      <w:pPr>
        <w:pStyle w:val="Zkladntext20"/>
        <w:numPr>
          <w:ilvl w:val="0"/>
          <w:numId w:val="16"/>
        </w:numPr>
        <w:shd w:val="clear" w:color="auto" w:fill="auto"/>
        <w:tabs>
          <w:tab w:val="left" w:pos="279"/>
        </w:tabs>
        <w:spacing w:before="0" w:after="0"/>
        <w:ind w:firstLine="0"/>
        <w:jc w:val="left"/>
      </w:pPr>
      <w:r>
        <w:t xml:space="preserve">Pokud byly poškozeny, zničeny nebo odcizeny pojištěné písemnosti, vyplatí pojistitel částku odpovídající přiměřeným nákladům na jejich opravu nebo znovupořízení, jestliže je oprávněná osoba </w:t>
      </w:r>
      <w:r>
        <w:t>vynaložila.</w:t>
      </w:r>
    </w:p>
    <w:p w:rsidR="00DF44D2" w:rsidRDefault="009E032E">
      <w:pPr>
        <w:pStyle w:val="Zkladntext20"/>
        <w:shd w:val="clear" w:color="auto" w:fill="auto"/>
        <w:spacing w:before="0" w:after="260"/>
        <w:ind w:firstLine="0"/>
        <w:jc w:val="left"/>
      </w:pPr>
      <w:r>
        <w:t>Od této částky se odečte cena využitelných zbytků. Pokud oprávněná osoba výše uvedené náklady nevynaložila, vyplatí pojistitel částku odpovídající hodnotě materiálu.</w:t>
      </w:r>
    </w:p>
    <w:p w:rsidR="00DF44D2" w:rsidRDefault="009E032E">
      <w:pPr>
        <w:pStyle w:val="Zkladntext20"/>
        <w:numPr>
          <w:ilvl w:val="0"/>
          <w:numId w:val="16"/>
        </w:numPr>
        <w:shd w:val="clear" w:color="auto" w:fill="auto"/>
        <w:tabs>
          <w:tab w:val="left" w:pos="366"/>
        </w:tabs>
        <w:spacing w:before="0" w:after="0" w:line="140" w:lineRule="exact"/>
        <w:ind w:firstLine="0"/>
      </w:pPr>
      <w:r>
        <w:t>Vznikla-li pojistná událost na věci pojištěné na jinou cenu,</w:t>
      </w:r>
    </w:p>
    <w:p w:rsidR="00DF44D2" w:rsidRDefault="009E032E">
      <w:pPr>
        <w:pStyle w:val="Zkladntext20"/>
        <w:shd w:val="clear" w:color="auto" w:fill="auto"/>
        <w:spacing w:before="0"/>
        <w:ind w:firstLine="0"/>
        <w:jc w:val="left"/>
      </w:pPr>
      <w:r>
        <w:t>řídí se plnění po</w:t>
      </w:r>
      <w:r>
        <w:t>jistitele příslušnými ustanoveními pojistné smlouvy. Není-li ujednáno jinak, nesmí plnění pojistitele přesáhnout částku odpovídající přiměřeným nákladům na znovupořízení věci sníženou o cenu využitelných zbytků.</w:t>
      </w:r>
    </w:p>
    <w:p w:rsidR="00DF44D2" w:rsidRDefault="009E032E">
      <w:pPr>
        <w:pStyle w:val="Zkladntext20"/>
        <w:numPr>
          <w:ilvl w:val="0"/>
          <w:numId w:val="16"/>
        </w:numPr>
        <w:shd w:val="clear" w:color="auto" w:fill="auto"/>
        <w:tabs>
          <w:tab w:val="left" w:pos="370"/>
        </w:tabs>
        <w:spacing w:before="0"/>
        <w:ind w:firstLine="0"/>
        <w:jc w:val="left"/>
      </w:pPr>
      <w:r>
        <w:t>Došlo-li k poškození nebo zničení budov nebo</w:t>
      </w:r>
      <w:r>
        <w:t xml:space="preserve"> staveb, nebude brán zřetel na případnou ztrátu jejich umělecké nebo historické hodnoty.</w:t>
      </w:r>
    </w:p>
    <w:p w:rsidR="00DF44D2" w:rsidRDefault="009E032E">
      <w:pPr>
        <w:pStyle w:val="Zkladntext20"/>
        <w:numPr>
          <w:ilvl w:val="0"/>
          <w:numId w:val="16"/>
        </w:numPr>
        <w:shd w:val="clear" w:color="auto" w:fill="auto"/>
        <w:tabs>
          <w:tab w:val="left" w:pos="375"/>
        </w:tabs>
        <w:spacing w:before="0"/>
        <w:ind w:firstLine="0"/>
        <w:jc w:val="left"/>
      </w:pPr>
      <w:r>
        <w:t xml:space="preserve">Došlo-li k poškození, zničení nebo k odcizení pojištěných věcí tvořících celek (např. soubor, sbírka), nebude brán zřetel na znehodnocení celku, ale pouze na </w:t>
      </w:r>
      <w:r>
        <w:t>poškození, zničení nebo odcizení jednotlivých pojištěných věcí.</w:t>
      </w:r>
    </w:p>
    <w:p w:rsidR="00DF44D2" w:rsidRDefault="009E032E">
      <w:pPr>
        <w:pStyle w:val="Zkladntext20"/>
        <w:numPr>
          <w:ilvl w:val="0"/>
          <w:numId w:val="16"/>
        </w:numPr>
        <w:shd w:val="clear" w:color="auto" w:fill="auto"/>
        <w:tabs>
          <w:tab w:val="left" w:pos="375"/>
        </w:tabs>
        <w:spacing w:before="0" w:after="0"/>
        <w:ind w:firstLine="0"/>
        <w:jc w:val="left"/>
      </w:pPr>
      <w:r>
        <w:t>Došlo-li ke krádeži, při které pachatel prokazatelně překonal překážky chránící pojištěnou věc před odcizením, a odcizené pojištěné věci byly v době vzniku pojistné události umístěny ve výlohá</w:t>
      </w:r>
      <w:r>
        <w:t>ch provozovny, poskytne pojistitel plnění maximálně do výše 10 % z horní hranice pojistného plnění za pojištěné věci. Pojištění se však nevztahuje na věci uvedené v článku I. odst. 2), pokud byly umístěny ve výlohách</w:t>
      </w:r>
    </w:p>
    <w:p w:rsidR="00DF44D2" w:rsidRDefault="009E032E">
      <w:pPr>
        <w:pStyle w:val="Zkladntext20"/>
        <w:shd w:val="clear" w:color="auto" w:fill="auto"/>
        <w:spacing w:before="0" w:after="0" w:line="140" w:lineRule="exact"/>
        <w:ind w:firstLine="0"/>
      </w:pPr>
      <w:r>
        <w:t>v mimopracovní době provozovny.</w:t>
      </w:r>
    </w:p>
    <w:p w:rsidR="00DF44D2" w:rsidRDefault="009E032E">
      <w:pPr>
        <w:pStyle w:val="Nadpis30"/>
        <w:keepNext/>
        <w:keepLines/>
        <w:shd w:val="clear" w:color="auto" w:fill="auto"/>
        <w:spacing w:after="64" w:line="140" w:lineRule="exact"/>
        <w:ind w:firstLine="0"/>
      </w:pPr>
      <w:bookmarkStart w:id="11" w:name="bookmark10"/>
      <w:r>
        <w:t xml:space="preserve">Článek </w:t>
      </w:r>
      <w:r>
        <w:t>IX.</w:t>
      </w:r>
      <w:bookmarkEnd w:id="11"/>
    </w:p>
    <w:p w:rsidR="00DF44D2" w:rsidRDefault="009E032E">
      <w:pPr>
        <w:pStyle w:val="Zkladntext40"/>
        <w:shd w:val="clear" w:color="auto" w:fill="auto"/>
        <w:spacing w:before="0" w:after="118" w:line="140" w:lineRule="exact"/>
        <w:ind w:firstLine="0"/>
      </w:pPr>
      <w:r>
        <w:t>Výklad pojmů</w:t>
      </w:r>
    </w:p>
    <w:p w:rsidR="00DF44D2" w:rsidRDefault="009E032E">
      <w:pPr>
        <w:pStyle w:val="Zkladntext20"/>
        <w:shd w:val="clear" w:color="auto" w:fill="auto"/>
        <w:spacing w:before="0"/>
        <w:ind w:firstLine="0"/>
        <w:jc w:val="left"/>
      </w:pPr>
      <w:r>
        <w:t xml:space="preserve">Pojmy </w:t>
      </w:r>
      <w:r>
        <w:rPr>
          <w:rStyle w:val="Zkladntext2Tun"/>
        </w:rPr>
        <w:t xml:space="preserve">„odcizení", „vandalismus", „posel" </w:t>
      </w:r>
      <w:r>
        <w:t>se používají v pojistných smlouvách pro souhrnné označení skupin pojistných nebezpečí.</w:t>
      </w:r>
    </w:p>
    <w:p w:rsidR="00DF44D2" w:rsidRDefault="009E032E">
      <w:pPr>
        <w:pStyle w:val="Zkladntext20"/>
        <w:shd w:val="clear" w:color="auto" w:fill="auto"/>
        <w:spacing w:before="0"/>
        <w:ind w:firstLine="0"/>
        <w:jc w:val="left"/>
      </w:pPr>
      <w:r>
        <w:t>Pro účely pojištění podle těchto zvláštních pojistných podmínek platí tento výklad pojmů:</w:t>
      </w:r>
    </w:p>
    <w:p w:rsidR="00DF44D2" w:rsidRDefault="009E032E">
      <w:pPr>
        <w:pStyle w:val="Zkladntext20"/>
        <w:numPr>
          <w:ilvl w:val="0"/>
          <w:numId w:val="21"/>
        </w:numPr>
        <w:shd w:val="clear" w:color="auto" w:fill="auto"/>
        <w:tabs>
          <w:tab w:val="left" w:pos="260"/>
        </w:tabs>
        <w:spacing w:before="0" w:after="0"/>
        <w:ind w:firstLine="0"/>
        <w:jc w:val="left"/>
      </w:pPr>
      <w:r>
        <w:t xml:space="preserve">Za </w:t>
      </w:r>
      <w:r>
        <w:rPr>
          <w:rStyle w:val="Zkladntext2Tun"/>
        </w:rPr>
        <w:t xml:space="preserve">budovy </w:t>
      </w:r>
      <w:r>
        <w:t>se považují</w:t>
      </w:r>
      <w:r>
        <w:t xml:space="preserve"> objekty nemovitého charakteru, které jsou převážně uzavřeny obvodovými stěnami a střešními konstrukcemi</w:t>
      </w:r>
    </w:p>
    <w:p w:rsidR="00DF44D2" w:rsidRDefault="009E032E">
      <w:pPr>
        <w:pStyle w:val="Zkladntext20"/>
        <w:shd w:val="clear" w:color="auto" w:fill="auto"/>
        <w:spacing w:before="0"/>
        <w:ind w:firstLine="0"/>
        <w:jc w:val="left"/>
      </w:pPr>
      <w:r>
        <w:t>a které jsou určeny k tomu, aby chránily lidi nebo věci před působením vnějších vlivů.</w:t>
      </w:r>
    </w:p>
    <w:p w:rsidR="00DF44D2" w:rsidRDefault="009E032E">
      <w:pPr>
        <w:pStyle w:val="Zkladntext20"/>
        <w:numPr>
          <w:ilvl w:val="0"/>
          <w:numId w:val="21"/>
        </w:numPr>
        <w:shd w:val="clear" w:color="auto" w:fill="auto"/>
        <w:tabs>
          <w:tab w:val="left" w:pos="270"/>
        </w:tabs>
        <w:spacing w:before="0" w:after="260"/>
        <w:ind w:firstLine="0"/>
        <w:jc w:val="left"/>
      </w:pPr>
      <w:r>
        <w:t xml:space="preserve">Za </w:t>
      </w:r>
      <w:r>
        <w:rPr>
          <w:rStyle w:val="Zkladntext2Tun"/>
        </w:rPr>
        <w:t xml:space="preserve">cenné věd </w:t>
      </w:r>
      <w:r>
        <w:t xml:space="preserve">se považují drahé kovy, perly a drahokamy a </w:t>
      </w:r>
      <w:r>
        <w:t>předměty z nich vyrobené.</w:t>
      </w:r>
    </w:p>
    <w:p w:rsidR="00DF44D2" w:rsidRDefault="009E032E">
      <w:pPr>
        <w:pStyle w:val="Zkladntext20"/>
        <w:numPr>
          <w:ilvl w:val="0"/>
          <w:numId w:val="21"/>
        </w:numPr>
        <w:shd w:val="clear" w:color="auto" w:fill="auto"/>
        <w:tabs>
          <w:tab w:val="left" w:pos="270"/>
        </w:tabs>
        <w:spacing w:before="0" w:after="83" w:line="140" w:lineRule="exact"/>
        <w:ind w:firstLine="0"/>
      </w:pPr>
      <w:r>
        <w:t xml:space="preserve">Za </w:t>
      </w:r>
      <w:r>
        <w:rPr>
          <w:rStyle w:val="Zkladntext2Tun"/>
        </w:rPr>
        <w:t xml:space="preserve">cennosti </w:t>
      </w:r>
      <w:r>
        <w:t>se považují:</w:t>
      </w:r>
    </w:p>
    <w:p w:rsidR="00DF44D2" w:rsidRDefault="009E032E">
      <w:pPr>
        <w:pStyle w:val="Zkladntext20"/>
        <w:numPr>
          <w:ilvl w:val="0"/>
          <w:numId w:val="22"/>
        </w:numPr>
        <w:shd w:val="clear" w:color="auto" w:fill="auto"/>
        <w:tabs>
          <w:tab w:val="left" w:pos="255"/>
        </w:tabs>
        <w:spacing w:before="0" w:after="3" w:line="140" w:lineRule="exact"/>
        <w:ind w:firstLine="0"/>
      </w:pPr>
      <w:r>
        <w:t>peníze, tj. platné tuzemské i cizozemské bankovky a mince,</w:t>
      </w:r>
    </w:p>
    <w:p w:rsidR="00DF44D2" w:rsidRDefault="009E032E">
      <w:pPr>
        <w:pStyle w:val="Zkladntext20"/>
        <w:numPr>
          <w:ilvl w:val="0"/>
          <w:numId w:val="22"/>
        </w:numPr>
        <w:shd w:val="clear" w:color="auto" w:fill="auto"/>
        <w:tabs>
          <w:tab w:val="left" w:pos="260"/>
        </w:tabs>
        <w:spacing w:before="0" w:after="0"/>
        <w:ind w:left="240"/>
        <w:jc w:val="left"/>
      </w:pPr>
      <w:r>
        <w:t>ceniny, tj. poštovní známky, kolky, losy, jízdenky a kupony MHD, dobíječi kupony do mobilních telefonů, dálniční známky, stravenky apod.,</w:t>
      </w:r>
    </w:p>
    <w:p w:rsidR="00DF44D2" w:rsidRDefault="009E032E">
      <w:pPr>
        <w:pStyle w:val="Zkladntext20"/>
        <w:numPr>
          <w:ilvl w:val="0"/>
          <w:numId w:val="22"/>
        </w:numPr>
        <w:shd w:val="clear" w:color="auto" w:fill="auto"/>
        <w:tabs>
          <w:tab w:val="left" w:pos="260"/>
        </w:tabs>
        <w:spacing w:before="0"/>
        <w:ind w:left="240"/>
        <w:jc w:val="left"/>
      </w:pPr>
      <w:r>
        <w:t xml:space="preserve">vkladní </w:t>
      </w:r>
      <w:r>
        <w:t>a šekové knížky, platební karty a jiné obdobné dokumenty, cenné papíry.</w:t>
      </w:r>
    </w:p>
    <w:p w:rsidR="00DF44D2" w:rsidRDefault="009E032E">
      <w:pPr>
        <w:pStyle w:val="Zkladntext20"/>
        <w:numPr>
          <w:ilvl w:val="0"/>
          <w:numId w:val="21"/>
        </w:numPr>
        <w:shd w:val="clear" w:color="auto" w:fill="auto"/>
        <w:tabs>
          <w:tab w:val="left" w:pos="270"/>
        </w:tabs>
        <w:spacing w:before="0" w:after="0"/>
        <w:ind w:firstLine="0"/>
        <w:jc w:val="left"/>
      </w:pPr>
      <w:r>
        <w:rPr>
          <w:rStyle w:val="Zkladntext2Tun"/>
        </w:rPr>
        <w:t xml:space="preserve">Krádeží, při které pachatel prokazatelně překonal překážky chránid pojištěnou věc před odcizením, </w:t>
      </w:r>
      <w:r>
        <w:t xml:space="preserve">se rozumí přivlastnění si pojištěné věci tak, že se jí pachatel zmocnil některým dále </w:t>
      </w:r>
      <w:r>
        <w:t>uvedeným způsobem:</w:t>
      </w:r>
    </w:p>
    <w:p w:rsidR="00DF44D2" w:rsidRDefault="009E032E">
      <w:pPr>
        <w:pStyle w:val="Zkladntext20"/>
        <w:numPr>
          <w:ilvl w:val="0"/>
          <w:numId w:val="23"/>
        </w:numPr>
        <w:shd w:val="clear" w:color="auto" w:fill="auto"/>
        <w:tabs>
          <w:tab w:val="left" w:pos="255"/>
        </w:tabs>
        <w:spacing w:before="0" w:after="0"/>
        <w:ind w:left="240"/>
        <w:jc w:val="left"/>
      </w:pPr>
      <w:r>
        <w:t>do místa, ve kterém byla věc uložena, se dostal tak, že jej prokazatelně zpřístupnil nástroji, které nejsou určeny k jeho řádnému otevírání,</w:t>
      </w:r>
    </w:p>
    <w:p w:rsidR="00DF44D2" w:rsidRDefault="009E032E">
      <w:pPr>
        <w:pStyle w:val="Zkladntext20"/>
        <w:numPr>
          <w:ilvl w:val="0"/>
          <w:numId w:val="23"/>
        </w:numPr>
        <w:shd w:val="clear" w:color="auto" w:fill="auto"/>
        <w:tabs>
          <w:tab w:val="left" w:pos="260"/>
        </w:tabs>
        <w:spacing w:before="0" w:after="0"/>
        <w:ind w:left="240"/>
        <w:jc w:val="left"/>
      </w:pPr>
      <w:r>
        <w:t>v místě, ve kterém byla věc uložena, se prokazatelně skryl a po jeho uzamčení se věci zmocnil,</w:t>
      </w:r>
    </w:p>
    <w:p w:rsidR="00DF44D2" w:rsidRDefault="009E032E">
      <w:pPr>
        <w:pStyle w:val="Zkladntext20"/>
        <w:numPr>
          <w:ilvl w:val="0"/>
          <w:numId w:val="23"/>
        </w:numPr>
        <w:shd w:val="clear" w:color="auto" w:fill="auto"/>
        <w:tabs>
          <w:tab w:val="left" w:pos="260"/>
        </w:tabs>
        <w:spacing w:before="0"/>
        <w:ind w:left="240"/>
        <w:jc w:val="left"/>
      </w:pPr>
      <w:r>
        <w:t>místo, ve kterém byla věc uložena, otevřel klíčem nebo obdobným prostředkem, jehož se neoprávněně zmocnil krádeží nebo loupeží.</w:t>
      </w:r>
    </w:p>
    <w:p w:rsidR="00DF44D2" w:rsidRDefault="009E032E">
      <w:pPr>
        <w:pStyle w:val="Nadpis30"/>
        <w:keepNext/>
        <w:keepLines/>
        <w:numPr>
          <w:ilvl w:val="0"/>
          <w:numId w:val="21"/>
        </w:numPr>
        <w:shd w:val="clear" w:color="auto" w:fill="auto"/>
        <w:tabs>
          <w:tab w:val="left" w:pos="270"/>
        </w:tabs>
        <w:spacing w:after="0" w:line="240" w:lineRule="exact"/>
        <w:ind w:firstLine="0"/>
        <w:jc w:val="both"/>
      </w:pPr>
      <w:bookmarkStart w:id="12" w:name="bookmark11"/>
      <w:r>
        <w:rPr>
          <w:rStyle w:val="Nadpis3Netun"/>
        </w:rPr>
        <w:t xml:space="preserve">V případě pojištění </w:t>
      </w:r>
      <w:r>
        <w:t>budov, ostatních staveb, stavebních součástí</w:t>
      </w:r>
      <w:bookmarkEnd w:id="12"/>
    </w:p>
    <w:p w:rsidR="00DF44D2" w:rsidRDefault="009E032E">
      <w:pPr>
        <w:pStyle w:val="Zkladntext20"/>
        <w:shd w:val="clear" w:color="auto" w:fill="auto"/>
        <w:spacing w:before="0"/>
        <w:ind w:firstLine="0"/>
        <w:jc w:val="left"/>
      </w:pPr>
      <w:r>
        <w:rPr>
          <w:rStyle w:val="Zkladntext2Tun"/>
        </w:rPr>
        <w:t xml:space="preserve">a příslušenství </w:t>
      </w:r>
      <w:r>
        <w:t xml:space="preserve">jako samostatného předmětu pojištění se </w:t>
      </w:r>
      <w:r>
        <w:rPr>
          <w:rStyle w:val="Zkladntext2Tun"/>
        </w:rPr>
        <w:t>za krád</w:t>
      </w:r>
      <w:r>
        <w:rPr>
          <w:rStyle w:val="Zkladntext2Tun"/>
        </w:rPr>
        <w:t xml:space="preserve">ež, při které pachatel prokazatelně překonal překážky chránid pojištěnou věc před odcizením, </w:t>
      </w:r>
      <w:r>
        <w:t xml:space="preserve">považují případy, kdy se pachatel zmocnil pojištěné věd překonáním jejího konstrukčního upevnění. </w:t>
      </w:r>
      <w:r>
        <w:rPr>
          <w:rStyle w:val="Zkladntext2Tun"/>
        </w:rPr>
        <w:t xml:space="preserve">Konstrukčním upevněním </w:t>
      </w:r>
      <w:r>
        <w:t>se rozumí rozebíratelné nebo nerozebíratel</w:t>
      </w:r>
      <w:r>
        <w:t>né pevné spojení pojištěné věd se stavbou. Za nerozebíratelné je považováno takové spojení, kdy pojištěnou věc nelze odcizit bez jeho destrukčního narušení. V případě rozebíratelného spojení je za dostatečné považováno pouze takové, k jehož překonání je nu</w:t>
      </w:r>
      <w:r>
        <w:t>tno použít min. ručního nářadí, pokud nejde o běžně používaná spojení, jejichž konstrukci nelze ovlivnit (např. zavěšení dveří čí oken na pantech).</w:t>
      </w:r>
    </w:p>
    <w:p w:rsidR="00DF44D2" w:rsidRDefault="009E032E">
      <w:pPr>
        <w:pStyle w:val="Zkladntext20"/>
        <w:numPr>
          <w:ilvl w:val="0"/>
          <w:numId w:val="21"/>
        </w:numPr>
        <w:shd w:val="clear" w:color="auto" w:fill="auto"/>
        <w:tabs>
          <w:tab w:val="left" w:pos="274"/>
        </w:tabs>
        <w:spacing w:before="0" w:after="260"/>
        <w:ind w:firstLine="0"/>
        <w:jc w:val="left"/>
      </w:pPr>
      <w:r>
        <w:rPr>
          <w:rStyle w:val="Zkladntext2Tun"/>
        </w:rPr>
        <w:t xml:space="preserve">Loupeží </w:t>
      </w:r>
      <w:r>
        <w:t>se rozumí přivlastnění si věd tak, že pachatel použil proti pojistníkovi, pojištěnému uvedenému v po</w:t>
      </w:r>
      <w:r>
        <w:t>jistné smlouvě, jejich zaměstnaná nebo jiné osobě pověřené pojistníkem nebo pojištěným uvedeným v pojistné smlouvě násilí nebo pohrůžky bezprostředního násilí.</w:t>
      </w:r>
    </w:p>
    <w:p w:rsidR="00DF44D2" w:rsidRDefault="009E032E">
      <w:pPr>
        <w:pStyle w:val="Zkladntext20"/>
        <w:numPr>
          <w:ilvl w:val="0"/>
          <w:numId w:val="21"/>
        </w:numPr>
        <w:shd w:val="clear" w:color="auto" w:fill="auto"/>
        <w:tabs>
          <w:tab w:val="left" w:pos="270"/>
        </w:tabs>
        <w:spacing w:before="0" w:after="123" w:line="140" w:lineRule="exact"/>
        <w:ind w:firstLine="0"/>
      </w:pPr>
      <w:r>
        <w:t xml:space="preserve">Za </w:t>
      </w:r>
      <w:r>
        <w:rPr>
          <w:rStyle w:val="Zkladntext2Tun"/>
        </w:rPr>
        <w:t xml:space="preserve">movité věd </w:t>
      </w:r>
      <w:r>
        <w:t>se považují zásoby a ostatní věci movité.</w:t>
      </w:r>
    </w:p>
    <w:p w:rsidR="00DF44D2" w:rsidRDefault="009E032E">
      <w:pPr>
        <w:pStyle w:val="Zkladntext20"/>
        <w:numPr>
          <w:ilvl w:val="0"/>
          <w:numId w:val="21"/>
        </w:numPr>
        <w:shd w:val="clear" w:color="auto" w:fill="auto"/>
        <w:tabs>
          <w:tab w:val="left" w:pos="279"/>
        </w:tabs>
        <w:spacing w:before="0" w:after="0"/>
        <w:ind w:firstLine="0"/>
        <w:jc w:val="left"/>
      </w:pPr>
      <w:r>
        <w:t xml:space="preserve">Za </w:t>
      </w:r>
      <w:r>
        <w:rPr>
          <w:rStyle w:val="Zkladntext2Tun"/>
        </w:rPr>
        <w:t xml:space="preserve">nemovité věd </w:t>
      </w:r>
      <w:r>
        <w:t xml:space="preserve">se považují budovy a </w:t>
      </w:r>
      <w:r>
        <w:t>ostatní stavby včetně stavebních součástí a příslušenství.</w:t>
      </w:r>
      <w:r>
        <w:br w:type="page"/>
      </w:r>
    </w:p>
    <w:p w:rsidR="00DF44D2" w:rsidRDefault="009E032E">
      <w:pPr>
        <w:pStyle w:val="Zkladntext20"/>
        <w:numPr>
          <w:ilvl w:val="0"/>
          <w:numId w:val="21"/>
        </w:numPr>
        <w:shd w:val="clear" w:color="auto" w:fill="auto"/>
        <w:tabs>
          <w:tab w:val="left" w:pos="274"/>
        </w:tabs>
        <w:spacing w:before="0"/>
        <w:ind w:firstLine="0"/>
        <w:jc w:val="left"/>
      </w:pPr>
      <w:r>
        <w:lastRenderedPageBreak/>
        <w:t xml:space="preserve">Za </w:t>
      </w:r>
      <w:r>
        <w:rPr>
          <w:rStyle w:val="Zkladntext2Tun"/>
        </w:rPr>
        <w:t xml:space="preserve">ostatní věci movité </w:t>
      </w:r>
      <w:r>
        <w:t>se nepovažují cennosti, cenné věcí, věcí zvláštní hodnoty a písemnosti.</w:t>
      </w:r>
    </w:p>
    <w:p w:rsidR="00DF44D2" w:rsidRDefault="009E032E">
      <w:pPr>
        <w:pStyle w:val="Zkladntext20"/>
        <w:numPr>
          <w:ilvl w:val="0"/>
          <w:numId w:val="21"/>
        </w:numPr>
        <w:shd w:val="clear" w:color="auto" w:fill="auto"/>
        <w:tabs>
          <w:tab w:val="left" w:pos="366"/>
        </w:tabs>
        <w:spacing w:before="0"/>
        <w:ind w:firstLine="0"/>
        <w:jc w:val="left"/>
      </w:pPr>
      <w:r>
        <w:rPr>
          <w:rStyle w:val="Zkladntext2Tun"/>
        </w:rPr>
        <w:t xml:space="preserve">Neoprávněným užíváním pojištěné věci třetí osobou </w:t>
      </w:r>
      <w:r>
        <w:t xml:space="preserve">se rozumí neoprávněné zmocnění se pojištěné věcí v </w:t>
      </w:r>
      <w:r>
        <w:t>úmyslu ji přechodně užívat.</w:t>
      </w:r>
    </w:p>
    <w:p w:rsidR="00DF44D2" w:rsidRDefault="009E032E">
      <w:pPr>
        <w:pStyle w:val="Zkladntext20"/>
        <w:numPr>
          <w:ilvl w:val="0"/>
          <w:numId w:val="21"/>
        </w:numPr>
        <w:shd w:val="clear" w:color="auto" w:fill="auto"/>
        <w:tabs>
          <w:tab w:val="left" w:pos="370"/>
        </w:tabs>
        <w:spacing w:before="0" w:after="260"/>
        <w:ind w:firstLine="0"/>
        <w:jc w:val="left"/>
      </w:pPr>
      <w:r>
        <w:rPr>
          <w:rStyle w:val="Zkladntext2Tun"/>
        </w:rPr>
        <w:t xml:space="preserve">Osobou pověřenou přepravou peněz nebo cenin </w:t>
      </w:r>
      <w:r>
        <w:t>může být pouze zaměstnanec pojistníka nebo pojištěného uvedeného v pojistné smlouvě starší 21 let, způsobilý k právním úkonům, bezúhonný, spolehlivý, fyzicky zdatný, který není pod vli</w:t>
      </w:r>
      <w:r>
        <w:t>vem alkoholu či jiných psychotropních nebo omamných látek.</w:t>
      </w:r>
    </w:p>
    <w:p w:rsidR="00DF44D2" w:rsidRDefault="009E032E">
      <w:pPr>
        <w:pStyle w:val="Zkladntext20"/>
        <w:numPr>
          <w:ilvl w:val="0"/>
          <w:numId w:val="21"/>
        </w:numPr>
        <w:shd w:val="clear" w:color="auto" w:fill="auto"/>
        <w:tabs>
          <w:tab w:val="left" w:pos="366"/>
        </w:tabs>
        <w:spacing w:before="0" w:after="314" w:line="140" w:lineRule="exact"/>
        <w:ind w:firstLine="0"/>
      </w:pPr>
      <w:r>
        <w:t xml:space="preserve">Za </w:t>
      </w:r>
      <w:r>
        <w:rPr>
          <w:rStyle w:val="Zkladntext2Tun"/>
        </w:rPr>
        <w:t xml:space="preserve">pachatele </w:t>
      </w:r>
      <w:r>
        <w:t>je považován zjištěný i nezjištěný pachatel.</w:t>
      </w:r>
    </w:p>
    <w:p w:rsidR="00DF44D2" w:rsidRDefault="009E032E">
      <w:pPr>
        <w:pStyle w:val="Zkladntext20"/>
        <w:numPr>
          <w:ilvl w:val="0"/>
          <w:numId w:val="21"/>
        </w:numPr>
        <w:shd w:val="clear" w:color="auto" w:fill="auto"/>
        <w:tabs>
          <w:tab w:val="left" w:pos="366"/>
        </w:tabs>
        <w:spacing w:before="0" w:after="0" w:line="140" w:lineRule="exact"/>
        <w:ind w:firstLine="0"/>
      </w:pPr>
      <w:r>
        <w:rPr>
          <w:rStyle w:val="Zkladntext2Tun"/>
        </w:rPr>
        <w:t xml:space="preserve">Písemnostmi </w:t>
      </w:r>
      <w:r>
        <w:t>se rozumí:</w:t>
      </w:r>
    </w:p>
    <w:p w:rsidR="00DF44D2" w:rsidRDefault="009E032E">
      <w:pPr>
        <w:pStyle w:val="Zkladntext20"/>
        <w:numPr>
          <w:ilvl w:val="0"/>
          <w:numId w:val="24"/>
        </w:numPr>
        <w:shd w:val="clear" w:color="auto" w:fill="auto"/>
        <w:tabs>
          <w:tab w:val="left" w:pos="255"/>
        </w:tabs>
        <w:spacing w:before="0" w:after="0"/>
        <w:ind w:left="240"/>
        <w:jc w:val="left"/>
      </w:pPr>
      <w:r>
        <w:t>písemnosti, plány, obchodní knihy a obdobná dokumentace, kartotéky, výkresy,</w:t>
      </w:r>
    </w:p>
    <w:p w:rsidR="00DF44D2" w:rsidRDefault="009E032E">
      <w:pPr>
        <w:pStyle w:val="Zkladntext20"/>
        <w:numPr>
          <w:ilvl w:val="0"/>
          <w:numId w:val="24"/>
        </w:numPr>
        <w:shd w:val="clear" w:color="auto" w:fill="auto"/>
        <w:tabs>
          <w:tab w:val="left" w:pos="260"/>
        </w:tabs>
        <w:spacing w:before="0"/>
        <w:ind w:left="240"/>
        <w:jc w:val="left"/>
      </w:pPr>
      <w:r>
        <w:t xml:space="preserve">nosiče dat a záznamy na nich uložené, </w:t>
      </w:r>
      <w:r>
        <w:t>užívané pro vlastní potřebu pojistníka nebo pojištěného uvedeného v pojistné smlouvě.</w:t>
      </w:r>
    </w:p>
    <w:p w:rsidR="00DF44D2" w:rsidRDefault="009E032E">
      <w:pPr>
        <w:pStyle w:val="Zkladntext20"/>
        <w:numPr>
          <w:ilvl w:val="0"/>
          <w:numId w:val="21"/>
        </w:numPr>
        <w:shd w:val="clear" w:color="auto" w:fill="auto"/>
        <w:tabs>
          <w:tab w:val="left" w:pos="366"/>
        </w:tabs>
        <w:spacing w:before="0"/>
        <w:ind w:firstLine="0"/>
        <w:jc w:val="left"/>
      </w:pPr>
      <w:r>
        <w:rPr>
          <w:rStyle w:val="Zkladntext2Tun"/>
        </w:rPr>
        <w:t xml:space="preserve">Podvodem </w:t>
      </w:r>
      <w:r>
        <w:t>se rozumí obohacení sebe nebo jiného ke škodě cizího majetku tím, že pachatel uvede někoho v omyl, zamlčí podstatné skutečnosti nebo něčího omylu využije.</w:t>
      </w:r>
    </w:p>
    <w:p w:rsidR="00DF44D2" w:rsidRDefault="009E032E">
      <w:pPr>
        <w:pStyle w:val="Zkladntext20"/>
        <w:numPr>
          <w:ilvl w:val="0"/>
          <w:numId w:val="21"/>
        </w:numPr>
        <w:shd w:val="clear" w:color="auto" w:fill="auto"/>
        <w:tabs>
          <w:tab w:val="left" w:pos="370"/>
        </w:tabs>
        <w:spacing w:before="0" w:after="260"/>
        <w:ind w:firstLine="0"/>
        <w:jc w:val="left"/>
      </w:pPr>
      <w:r>
        <w:rPr>
          <w:rStyle w:val="Zkladntext2Tun"/>
        </w:rPr>
        <w:t>Poškoz</w:t>
      </w:r>
      <w:r>
        <w:rPr>
          <w:rStyle w:val="Zkladntext2Tun"/>
        </w:rPr>
        <w:t xml:space="preserve">ením věci </w:t>
      </w:r>
      <w:r>
        <w:t>se rozumí takové poškození, které lze odstranit opravou, přičemž náklady na tuto opravu nepřevýší částku odpovídající nákladům na znovupořízení stejné nebo srovnatelné věci.</w:t>
      </w:r>
    </w:p>
    <w:p w:rsidR="00DF44D2" w:rsidRDefault="009E032E">
      <w:pPr>
        <w:pStyle w:val="Zkladntext20"/>
        <w:numPr>
          <w:ilvl w:val="0"/>
          <w:numId w:val="21"/>
        </w:numPr>
        <w:shd w:val="clear" w:color="auto" w:fill="auto"/>
        <w:tabs>
          <w:tab w:val="left" w:pos="366"/>
        </w:tabs>
        <w:spacing w:before="0" w:after="0" w:line="140" w:lineRule="exact"/>
        <w:ind w:firstLine="0"/>
      </w:pPr>
      <w:r>
        <w:rPr>
          <w:rStyle w:val="Zkladntext2Tun"/>
        </w:rPr>
        <w:t xml:space="preserve">Přiměřenými náklady </w:t>
      </w:r>
      <w:r>
        <w:t>se rozumí náklady, které jsou obvyklé</w:t>
      </w:r>
    </w:p>
    <w:p w:rsidR="00DF44D2" w:rsidRDefault="009E032E">
      <w:pPr>
        <w:pStyle w:val="Zkladntext20"/>
        <w:shd w:val="clear" w:color="auto" w:fill="auto"/>
        <w:spacing w:before="0"/>
        <w:ind w:firstLine="0"/>
        <w:jc w:val="left"/>
      </w:pPr>
      <w:r>
        <w:t xml:space="preserve">v době vzniku </w:t>
      </w:r>
      <w:r>
        <w:t>pojistné události v daném místě. Za přiměřené náklady se nepovažují příplatky za práci přesčas, expresní příplatky, příplatky za letecké dodávky apod.</w:t>
      </w:r>
    </w:p>
    <w:p w:rsidR="00DF44D2" w:rsidRDefault="009E032E">
      <w:pPr>
        <w:pStyle w:val="Zkladntext20"/>
        <w:numPr>
          <w:ilvl w:val="0"/>
          <w:numId w:val="21"/>
        </w:numPr>
        <w:shd w:val="clear" w:color="auto" w:fill="auto"/>
        <w:tabs>
          <w:tab w:val="left" w:pos="366"/>
        </w:tabs>
        <w:spacing w:before="0" w:after="0"/>
        <w:ind w:firstLine="0"/>
        <w:jc w:val="left"/>
      </w:pPr>
      <w:r>
        <w:t xml:space="preserve">Za </w:t>
      </w:r>
      <w:r>
        <w:rPr>
          <w:rStyle w:val="Zkladntext2Tun"/>
        </w:rPr>
        <w:t xml:space="preserve">příslušenství budovy nebo stavby </w:t>
      </w:r>
      <w:r>
        <w:t xml:space="preserve">se považují věci, které jsou určeny k tomu, aby byly s budovou nebo </w:t>
      </w:r>
      <w:r>
        <w:t>stavbou trvale užívány,</w:t>
      </w:r>
    </w:p>
    <w:p w:rsidR="00DF44D2" w:rsidRDefault="009E032E">
      <w:pPr>
        <w:pStyle w:val="Zkladntext20"/>
        <w:shd w:val="clear" w:color="auto" w:fill="auto"/>
        <w:spacing w:before="0" w:after="0"/>
        <w:ind w:firstLine="0"/>
        <w:jc w:val="left"/>
      </w:pPr>
      <w:r>
        <w:t>a jsou zpravidla uvnitř nebo vně k budově nebo stavbě odmontovatelně připojeny (např. dřevěné obklady stěn, antény, EZS, EPS).</w:t>
      </w:r>
    </w:p>
    <w:p w:rsidR="00DF44D2" w:rsidRDefault="009E032E">
      <w:pPr>
        <w:pStyle w:val="Zkladntext20"/>
        <w:shd w:val="clear" w:color="auto" w:fill="auto"/>
        <w:spacing w:before="0"/>
        <w:ind w:firstLine="0"/>
        <w:jc w:val="left"/>
      </w:pPr>
      <w:r>
        <w:t>Za příslušenství budovy se nepovažují venkovní přípojky, komunikace, zpevněné plochy, studny, septiky a j</w:t>
      </w:r>
      <w:r>
        <w:t>iné stavby či zařízení vně budovy.</w:t>
      </w:r>
    </w:p>
    <w:p w:rsidR="00DF44D2" w:rsidRDefault="009E032E">
      <w:pPr>
        <w:pStyle w:val="Zkladntext20"/>
        <w:numPr>
          <w:ilvl w:val="0"/>
          <w:numId w:val="21"/>
        </w:numPr>
        <w:shd w:val="clear" w:color="auto" w:fill="auto"/>
        <w:tabs>
          <w:tab w:val="left" w:pos="366"/>
        </w:tabs>
        <w:spacing w:before="0"/>
        <w:ind w:firstLine="0"/>
        <w:jc w:val="left"/>
      </w:pPr>
      <w:r>
        <w:t xml:space="preserve">Za </w:t>
      </w:r>
      <w:r>
        <w:rPr>
          <w:rStyle w:val="Zkladntext2Tun"/>
        </w:rPr>
        <w:t xml:space="preserve">skla výloh </w:t>
      </w:r>
      <w:r>
        <w:t>jsou považována jakákoli skla o tloušťce 5 mm a více, s plochou větší než 3 m</w:t>
      </w:r>
      <w:r>
        <w:rPr>
          <w:vertAlign w:val="superscript"/>
        </w:rPr>
        <w:t>2</w:t>
      </w:r>
      <w:r>
        <w:t>.</w:t>
      </w:r>
    </w:p>
    <w:p w:rsidR="00DF44D2" w:rsidRDefault="009E032E">
      <w:pPr>
        <w:pStyle w:val="Zkladntext20"/>
        <w:numPr>
          <w:ilvl w:val="0"/>
          <w:numId w:val="21"/>
        </w:numPr>
        <w:shd w:val="clear" w:color="auto" w:fill="auto"/>
        <w:tabs>
          <w:tab w:val="left" w:pos="370"/>
        </w:tabs>
        <w:spacing w:before="0"/>
        <w:ind w:firstLine="0"/>
        <w:jc w:val="left"/>
      </w:pPr>
      <w:r>
        <w:rPr>
          <w:rStyle w:val="Zkladntext2Tun"/>
        </w:rPr>
        <w:t xml:space="preserve">Soubor věcí </w:t>
      </w:r>
      <w:r>
        <w:t>tvoří jednotlivé věci, které mají stejný nebo podobný charakter nebo jsou určeny ke stejnému účelu.</w:t>
      </w:r>
    </w:p>
    <w:p w:rsidR="00DF44D2" w:rsidRDefault="009E032E">
      <w:pPr>
        <w:pStyle w:val="Zkladntext20"/>
        <w:numPr>
          <w:ilvl w:val="0"/>
          <w:numId w:val="21"/>
        </w:numPr>
        <w:shd w:val="clear" w:color="auto" w:fill="auto"/>
        <w:tabs>
          <w:tab w:val="left" w:pos="375"/>
        </w:tabs>
        <w:spacing w:before="0" w:after="260"/>
        <w:ind w:firstLine="0"/>
        <w:jc w:val="left"/>
      </w:pPr>
      <w:r>
        <w:rPr>
          <w:rStyle w:val="Zkladntext2Tun"/>
        </w:rPr>
        <w:t xml:space="preserve">Stavba </w:t>
      </w:r>
      <w:r>
        <w:t>je obecn</w:t>
      </w:r>
      <w:r>
        <w:t>ě širší technický pojem než budova. Za ostatní stavby se považují objekty nemovitého charakteru, které se od budov odlišují mj. tím, že jsou zpravidla nezastřešené (např. oplocení, zpevněné plochy, komunikace, inženýrské sítě, mosty).</w:t>
      </w:r>
    </w:p>
    <w:p w:rsidR="00DF44D2" w:rsidRDefault="009E032E">
      <w:pPr>
        <w:pStyle w:val="Nadpis30"/>
        <w:keepNext/>
        <w:keepLines/>
        <w:numPr>
          <w:ilvl w:val="0"/>
          <w:numId w:val="21"/>
        </w:numPr>
        <w:shd w:val="clear" w:color="auto" w:fill="auto"/>
        <w:tabs>
          <w:tab w:val="left" w:pos="375"/>
        </w:tabs>
        <w:spacing w:after="0" w:line="140" w:lineRule="exact"/>
        <w:ind w:firstLine="0"/>
        <w:jc w:val="both"/>
      </w:pPr>
      <w:bookmarkStart w:id="13" w:name="bookmark12"/>
      <w:r>
        <w:rPr>
          <w:rStyle w:val="Nadpis3Netun"/>
        </w:rPr>
        <w:t xml:space="preserve">Za </w:t>
      </w:r>
      <w:r>
        <w:t xml:space="preserve">stavební součásti </w:t>
      </w:r>
      <w:r>
        <w:t xml:space="preserve">budovy nebo stavby </w:t>
      </w:r>
      <w:r>
        <w:rPr>
          <w:rStyle w:val="Nadpis3Netun"/>
        </w:rPr>
        <w:t>se považují věci, které</w:t>
      </w:r>
      <w:bookmarkEnd w:id="13"/>
    </w:p>
    <w:p w:rsidR="00DF44D2" w:rsidRDefault="009E032E">
      <w:pPr>
        <w:pStyle w:val="Zkladntext20"/>
        <w:shd w:val="clear" w:color="auto" w:fill="auto"/>
        <w:spacing w:before="0"/>
        <w:ind w:firstLine="0"/>
        <w:jc w:val="left"/>
      </w:pPr>
      <w:r>
        <w:t xml:space="preserve">k ní podle své povahy patří a nemohou být odděleny, aniž se tím budova nebo stavba znehodnotí. Zpravidla jde o věci, které jsou k budově nebo stavbě pevně připojeny (např. okna, dveře, příčky, obklady, instalace, </w:t>
      </w:r>
      <w:r>
        <w:t>podlahy, malby stěn, tapety).</w:t>
      </w:r>
    </w:p>
    <w:p w:rsidR="00DF44D2" w:rsidRDefault="009E032E">
      <w:pPr>
        <w:pStyle w:val="Zkladntext20"/>
        <w:numPr>
          <w:ilvl w:val="0"/>
          <w:numId w:val="21"/>
        </w:numPr>
        <w:shd w:val="clear" w:color="auto" w:fill="auto"/>
        <w:tabs>
          <w:tab w:val="left" w:pos="380"/>
        </w:tabs>
        <w:spacing w:before="0" w:after="0"/>
        <w:ind w:firstLine="0"/>
        <w:jc w:val="left"/>
      </w:pPr>
      <w:r>
        <w:t xml:space="preserve">Za </w:t>
      </w:r>
      <w:r>
        <w:rPr>
          <w:rStyle w:val="Zkladntext2Tun"/>
        </w:rPr>
        <w:t xml:space="preserve">stavební součásti a příslušenství pojišťované jako samostatný předmět pojištění </w:t>
      </w:r>
      <w:r>
        <w:t xml:space="preserve">se považují stavební součásti a příslušenství budovy zřízené pojistníkem nebo pojištěným uvedeným v pojistné smlouvě na vlastní náklad v cizí </w:t>
      </w:r>
      <w:r>
        <w:t>budově.</w:t>
      </w:r>
    </w:p>
    <w:p w:rsidR="00DF44D2" w:rsidRDefault="009E032E">
      <w:pPr>
        <w:pStyle w:val="Zkladntext20"/>
        <w:numPr>
          <w:ilvl w:val="0"/>
          <w:numId w:val="21"/>
        </w:numPr>
        <w:shd w:val="clear" w:color="auto" w:fill="auto"/>
        <w:tabs>
          <w:tab w:val="left" w:pos="356"/>
        </w:tabs>
        <w:spacing w:before="0" w:after="0"/>
        <w:ind w:firstLine="0"/>
        <w:jc w:val="left"/>
      </w:pPr>
      <w:r>
        <w:br w:type="column"/>
      </w:r>
      <w:r>
        <w:rPr>
          <w:rStyle w:val="Zkladntext2Tun"/>
        </w:rPr>
        <w:t xml:space="preserve">Užíváním věci </w:t>
      </w:r>
      <w:r>
        <w:t>se rozumí stav, kdy pojistník nebo pojištěný uvedený v pojistné smlouvě mají movitou věc (nikoli nemovitou) po právu</w:t>
      </w:r>
    </w:p>
    <w:p w:rsidR="00DF44D2" w:rsidRDefault="009E032E">
      <w:pPr>
        <w:pStyle w:val="Zkladntext20"/>
        <w:shd w:val="clear" w:color="auto" w:fill="auto"/>
        <w:spacing w:before="0"/>
        <w:ind w:firstLine="0"/>
        <w:jc w:val="left"/>
      </w:pPr>
      <w:r>
        <w:t>ve své moci a jsou oprávněni využívat její užitné vlastnosti.</w:t>
      </w:r>
    </w:p>
    <w:p w:rsidR="00DF44D2" w:rsidRDefault="009E032E">
      <w:pPr>
        <w:pStyle w:val="Zkladntext20"/>
        <w:numPr>
          <w:ilvl w:val="0"/>
          <w:numId w:val="21"/>
        </w:numPr>
        <w:shd w:val="clear" w:color="auto" w:fill="auto"/>
        <w:tabs>
          <w:tab w:val="left" w:pos="351"/>
        </w:tabs>
        <w:spacing w:before="0"/>
        <w:ind w:firstLine="0"/>
        <w:jc w:val="left"/>
      </w:pPr>
      <w:r>
        <w:t xml:space="preserve">Za </w:t>
      </w:r>
      <w:r>
        <w:rPr>
          <w:rStyle w:val="Zkladntext2Tun"/>
        </w:rPr>
        <w:t xml:space="preserve">vandalismus </w:t>
      </w:r>
      <w:r>
        <w:t>jsou považovány škody na věcí, způsoben</w:t>
      </w:r>
      <w:r>
        <w:t>é úmyslným jednáním pachatele, za podmínky, že tato událost byla šetřena policií bez ohledu na to, zda byl pachatel zjištěn, nebo nezjištěn.</w:t>
      </w:r>
    </w:p>
    <w:p w:rsidR="00DF44D2" w:rsidRDefault="009E032E">
      <w:pPr>
        <w:pStyle w:val="Nadpis30"/>
        <w:keepNext/>
        <w:keepLines/>
        <w:numPr>
          <w:ilvl w:val="0"/>
          <w:numId w:val="21"/>
        </w:numPr>
        <w:shd w:val="clear" w:color="auto" w:fill="auto"/>
        <w:tabs>
          <w:tab w:val="left" w:pos="351"/>
        </w:tabs>
        <w:spacing w:after="0" w:line="240" w:lineRule="exact"/>
        <w:ind w:firstLine="0"/>
        <w:jc w:val="both"/>
      </w:pPr>
      <w:bookmarkStart w:id="14" w:name="bookmark13"/>
      <w:r>
        <w:rPr>
          <w:rStyle w:val="Nadpis3Netun"/>
        </w:rPr>
        <w:t xml:space="preserve">Za </w:t>
      </w:r>
      <w:r>
        <w:t xml:space="preserve">věcí zvláštní hodnoty </w:t>
      </w:r>
      <w:r>
        <w:rPr>
          <w:rStyle w:val="Nadpis3Netun"/>
        </w:rPr>
        <w:t>se považují:</w:t>
      </w:r>
      <w:bookmarkEnd w:id="14"/>
    </w:p>
    <w:p w:rsidR="00DF44D2" w:rsidRDefault="009E032E">
      <w:pPr>
        <w:pStyle w:val="Zkladntext20"/>
        <w:numPr>
          <w:ilvl w:val="0"/>
          <w:numId w:val="25"/>
        </w:numPr>
        <w:shd w:val="clear" w:color="auto" w:fill="auto"/>
        <w:tabs>
          <w:tab w:val="left" w:pos="255"/>
        </w:tabs>
        <w:spacing w:before="0" w:after="0"/>
        <w:ind w:left="240"/>
        <w:jc w:val="left"/>
      </w:pPr>
      <w:r>
        <w:t>věci umělecké hodnoty (obrazy, grafická a sochařská díla, výrobky ze skla, ke</w:t>
      </w:r>
      <w:r>
        <w:t>ramiky a porcelánu, ručně vázané koberce, gobelíny apod), jejichž hodnota není dána pouze výrobními náklady, ale i uměleckou kvalitou a autorem díla,</w:t>
      </w:r>
    </w:p>
    <w:p w:rsidR="00DF44D2" w:rsidRDefault="009E032E">
      <w:pPr>
        <w:pStyle w:val="Zkladntext20"/>
        <w:numPr>
          <w:ilvl w:val="0"/>
          <w:numId w:val="25"/>
        </w:numPr>
        <w:shd w:val="clear" w:color="auto" w:fill="auto"/>
        <w:tabs>
          <w:tab w:val="left" w:pos="260"/>
        </w:tabs>
        <w:spacing w:before="0" w:after="0"/>
        <w:ind w:left="240"/>
        <w:jc w:val="left"/>
      </w:pPr>
      <w:r>
        <w:t xml:space="preserve">věci historické hodnoty, tj. věd, jejichž hodnota je dána tím, že mají vztah k historii, historické osobě </w:t>
      </w:r>
      <w:r>
        <w:t>či události apod.,</w:t>
      </w:r>
    </w:p>
    <w:p w:rsidR="00DF44D2" w:rsidRDefault="009E032E">
      <w:pPr>
        <w:pStyle w:val="Zkladntext20"/>
        <w:numPr>
          <w:ilvl w:val="0"/>
          <w:numId w:val="25"/>
        </w:numPr>
        <w:shd w:val="clear" w:color="auto" w:fill="auto"/>
        <w:tabs>
          <w:tab w:val="left" w:pos="260"/>
        </w:tabs>
        <w:spacing w:before="0" w:after="0"/>
        <w:ind w:left="240"/>
        <w:jc w:val="left"/>
      </w:pPr>
      <w:r>
        <w:t>starožitnosti, tj. věd zpravidla starší než 100 let, které mají taktéž uměleckou hodnotu, případně charakter unikátu,</w:t>
      </w:r>
    </w:p>
    <w:p w:rsidR="00DF44D2" w:rsidRDefault="009E032E">
      <w:pPr>
        <w:pStyle w:val="Zkladntext20"/>
        <w:numPr>
          <w:ilvl w:val="0"/>
          <w:numId w:val="25"/>
        </w:numPr>
        <w:shd w:val="clear" w:color="auto" w:fill="auto"/>
        <w:tabs>
          <w:tab w:val="left" w:pos="270"/>
        </w:tabs>
        <w:spacing w:before="0"/>
        <w:ind w:firstLine="0"/>
      </w:pPr>
      <w:r>
        <w:t>sbírky.</w:t>
      </w:r>
    </w:p>
    <w:p w:rsidR="00DF44D2" w:rsidRDefault="009E032E">
      <w:pPr>
        <w:pStyle w:val="Zkladntext20"/>
        <w:numPr>
          <w:ilvl w:val="0"/>
          <w:numId w:val="21"/>
        </w:numPr>
        <w:shd w:val="clear" w:color="auto" w:fill="auto"/>
        <w:tabs>
          <w:tab w:val="left" w:pos="366"/>
        </w:tabs>
        <w:spacing w:before="0" w:after="0"/>
        <w:ind w:firstLine="0"/>
        <w:jc w:val="left"/>
      </w:pPr>
      <w:r>
        <w:rPr>
          <w:rStyle w:val="Zkladntext2Tun"/>
        </w:rPr>
        <w:t xml:space="preserve">Zábrannými prostředky </w:t>
      </w:r>
      <w:r>
        <w:t>se rozumí prvky mechanických zábranných prostředků (zámky, mříže, rolety apod.) a elektri</w:t>
      </w:r>
      <w:r>
        <w:t>cké zabezpečovarí signalizace (čidla, snímače, hlásiče apod), schránky a trezory včetně jejich uzamykacích systémů, bezpečnostní zavazadla pro přepravu cenností a jiné technické prostředky zabezpečujírí místo pojištění nebo pojištěnou věc proti odcizení, p</w:t>
      </w:r>
      <w:r>
        <w:t>oškození či zničení.</w:t>
      </w:r>
    </w:p>
    <w:p w:rsidR="00DF44D2" w:rsidRDefault="009E032E">
      <w:pPr>
        <w:pStyle w:val="Zkladntext20"/>
        <w:shd w:val="clear" w:color="auto" w:fill="auto"/>
        <w:spacing w:before="0"/>
        <w:ind w:firstLine="0"/>
        <w:jc w:val="left"/>
      </w:pPr>
      <w:r>
        <w:t>Za zábranný prostředek se nepovažují vozidla, kterými je pojištěná věc přepravována.</w:t>
      </w:r>
    </w:p>
    <w:p w:rsidR="00DF44D2" w:rsidRDefault="009E032E">
      <w:pPr>
        <w:pStyle w:val="Zkladntext20"/>
        <w:numPr>
          <w:ilvl w:val="0"/>
          <w:numId w:val="21"/>
        </w:numPr>
        <w:shd w:val="clear" w:color="auto" w:fill="auto"/>
        <w:tabs>
          <w:tab w:val="left" w:pos="361"/>
        </w:tabs>
        <w:spacing w:before="0" w:after="0"/>
        <w:ind w:firstLine="0"/>
        <w:jc w:val="left"/>
      </w:pPr>
      <w:r>
        <w:rPr>
          <w:rStyle w:val="Zkladntext2Tun"/>
        </w:rPr>
        <w:t xml:space="preserve">Zásobami </w:t>
      </w:r>
      <w:r>
        <w:t>se rozumí materiál, zboží, nedokončená výroba (kromě nedokončené stavební výroby), polotovary, dokončené výrobky.</w:t>
      </w:r>
    </w:p>
    <w:p w:rsidR="00DF44D2" w:rsidRDefault="009E032E">
      <w:pPr>
        <w:pStyle w:val="Zkladntext20"/>
        <w:shd w:val="clear" w:color="auto" w:fill="auto"/>
        <w:spacing w:before="0"/>
        <w:ind w:firstLine="0"/>
        <w:jc w:val="left"/>
      </w:pPr>
      <w:r>
        <w:t>Za zásoby se nepovažují ciz</w:t>
      </w:r>
      <w:r>
        <w:t>í věd, cennosti, cenné věd, věd zvláštní hodnoty a písemnosti.</w:t>
      </w:r>
    </w:p>
    <w:p w:rsidR="00DF44D2" w:rsidRDefault="009E032E">
      <w:pPr>
        <w:pStyle w:val="Zkladntext20"/>
        <w:numPr>
          <w:ilvl w:val="0"/>
          <w:numId w:val="21"/>
        </w:numPr>
        <w:shd w:val="clear" w:color="auto" w:fill="auto"/>
        <w:tabs>
          <w:tab w:val="left" w:pos="361"/>
        </w:tabs>
        <w:spacing w:before="0"/>
        <w:ind w:firstLine="0"/>
        <w:jc w:val="left"/>
      </w:pPr>
      <w:r>
        <w:rPr>
          <w:rStyle w:val="Zkladntext2Tun"/>
        </w:rPr>
        <w:t xml:space="preserve">Zatajením věd </w:t>
      </w:r>
      <w:r>
        <w:t>se rozumí přivlastnění si věci, která se dostala do moci pachatele nálezem, omylem nebo jinak bez svolení pojistníka nebo pojištěného uvedeného v pojistné smlouvě.</w:t>
      </w:r>
    </w:p>
    <w:p w:rsidR="00DF44D2" w:rsidRDefault="009E032E">
      <w:pPr>
        <w:pStyle w:val="Zkladntext20"/>
        <w:numPr>
          <w:ilvl w:val="0"/>
          <w:numId w:val="21"/>
        </w:numPr>
        <w:shd w:val="clear" w:color="auto" w:fill="auto"/>
        <w:tabs>
          <w:tab w:val="left" w:pos="361"/>
        </w:tabs>
        <w:spacing w:before="0"/>
        <w:ind w:firstLine="0"/>
      </w:pPr>
      <w:r>
        <w:rPr>
          <w:rStyle w:val="Zkladntext2Tun"/>
        </w:rPr>
        <w:t xml:space="preserve">Znehodnocením věd </w:t>
      </w:r>
      <w:r>
        <w:t>se rozumí takové poškození, které není možné odstranit opravou, přičemž věc lze i nadále používat k původnímu nebo podobnému účelu. Znehodnocením věd se sníží její hodnota.</w:t>
      </w:r>
    </w:p>
    <w:p w:rsidR="00DF44D2" w:rsidRDefault="009E032E">
      <w:pPr>
        <w:pStyle w:val="Zkladntext20"/>
        <w:numPr>
          <w:ilvl w:val="0"/>
          <w:numId w:val="21"/>
        </w:numPr>
        <w:shd w:val="clear" w:color="auto" w:fill="auto"/>
        <w:tabs>
          <w:tab w:val="left" w:pos="375"/>
        </w:tabs>
        <w:spacing w:before="0" w:after="260"/>
        <w:ind w:firstLine="0"/>
        <w:jc w:val="left"/>
      </w:pPr>
      <w:r>
        <w:rPr>
          <w:rStyle w:val="Zkladntext2Tun"/>
        </w:rPr>
        <w:t xml:space="preserve">Zničením věd </w:t>
      </w:r>
      <w:r>
        <w:t>se rozumí takové poškození, které není možné odstran</w:t>
      </w:r>
      <w:r>
        <w:t>it opravou, přičemž věc již nelze dále používat k původnímu nebo podobnému účelu. Za zničení bude považováno i takové poškození věd, které lze sice odstranit opravou, ale náklady na tuto opravu by přesáhly částku odpovídající nákladům na znovupořízení dané</w:t>
      </w:r>
      <w:r>
        <w:t xml:space="preserve"> věd</w:t>
      </w:r>
    </w:p>
    <w:p w:rsidR="00DF44D2" w:rsidRDefault="009E032E">
      <w:pPr>
        <w:pStyle w:val="Zkladntext20"/>
        <w:numPr>
          <w:ilvl w:val="0"/>
          <w:numId w:val="21"/>
        </w:numPr>
        <w:shd w:val="clear" w:color="auto" w:fill="auto"/>
        <w:tabs>
          <w:tab w:val="left" w:pos="370"/>
        </w:tabs>
        <w:spacing w:before="0" w:after="243" w:line="140" w:lineRule="exact"/>
        <w:ind w:firstLine="0"/>
      </w:pPr>
      <w:r>
        <w:rPr>
          <w:rStyle w:val="Zkladntext2Tun"/>
        </w:rPr>
        <w:t xml:space="preserve">Zpronevěrou </w:t>
      </w:r>
      <w:r>
        <w:t>se rozumí přivlastnění si svěřené pojištěné věci.</w:t>
      </w:r>
    </w:p>
    <w:p w:rsidR="00DF44D2" w:rsidRDefault="009E032E">
      <w:pPr>
        <w:pStyle w:val="Zkladntext20"/>
        <w:numPr>
          <w:ilvl w:val="0"/>
          <w:numId w:val="21"/>
        </w:numPr>
        <w:shd w:val="clear" w:color="auto" w:fill="auto"/>
        <w:tabs>
          <w:tab w:val="left" w:pos="370"/>
        </w:tabs>
        <w:spacing w:before="0" w:after="260"/>
        <w:ind w:firstLine="0"/>
        <w:jc w:val="left"/>
      </w:pPr>
      <w:r>
        <w:rPr>
          <w:rStyle w:val="Zkladntext2Tun"/>
        </w:rPr>
        <w:t xml:space="preserve">Ztrátou věd </w:t>
      </w:r>
      <w:r>
        <w:t>se rozumí stav, kdy oprávněná osoba pozbyla nezávisle na své vůli možnost s věd disponovat.</w:t>
      </w:r>
    </w:p>
    <w:p w:rsidR="00DF44D2" w:rsidRDefault="009E032E">
      <w:pPr>
        <w:pStyle w:val="Nadpis30"/>
        <w:keepNext/>
        <w:keepLines/>
        <w:shd w:val="clear" w:color="auto" w:fill="auto"/>
        <w:spacing w:after="54" w:line="140" w:lineRule="exact"/>
        <w:ind w:firstLine="0"/>
        <w:jc w:val="both"/>
      </w:pPr>
      <w:bookmarkStart w:id="15" w:name="bookmark14"/>
      <w:r>
        <w:t>Článek X.</w:t>
      </w:r>
      <w:bookmarkEnd w:id="15"/>
    </w:p>
    <w:p w:rsidR="00DF44D2" w:rsidRDefault="009E032E">
      <w:pPr>
        <w:pStyle w:val="Nadpis30"/>
        <w:keepNext/>
        <w:keepLines/>
        <w:shd w:val="clear" w:color="auto" w:fill="auto"/>
        <w:spacing w:after="304" w:line="140" w:lineRule="exact"/>
        <w:ind w:firstLine="0"/>
        <w:jc w:val="both"/>
      </w:pPr>
      <w:bookmarkStart w:id="16" w:name="bookmark15"/>
      <w:r>
        <w:t>Závěrečné ustanovení</w:t>
      </w:r>
      <w:bookmarkEnd w:id="16"/>
    </w:p>
    <w:p w:rsidR="00DF44D2" w:rsidRDefault="009E032E">
      <w:pPr>
        <w:pStyle w:val="Zkladntext20"/>
        <w:shd w:val="clear" w:color="auto" w:fill="auto"/>
        <w:spacing w:before="0" w:after="0" w:line="140" w:lineRule="exact"/>
        <w:ind w:firstLine="0"/>
        <w:sectPr w:rsidR="00DF44D2">
          <w:type w:val="continuous"/>
          <w:pgSz w:w="11900" w:h="16840"/>
          <w:pgMar w:top="1004" w:right="946" w:bottom="529" w:left="926" w:header="0" w:footer="3" w:gutter="0"/>
          <w:cols w:num="2" w:space="341"/>
          <w:noEndnote/>
          <w:docGrid w:linePitch="360"/>
        </w:sectPr>
      </w:pPr>
      <w:r>
        <w:t xml:space="preserve">Tyto zvláštní pojistné </w:t>
      </w:r>
      <w:r>
        <w:t>podmínky nabývají účinnosti dnem 1. ledna 2005.</w:t>
      </w:r>
    </w:p>
    <w:p w:rsidR="00DF44D2" w:rsidRDefault="00DF44D2">
      <w:pPr>
        <w:spacing w:line="240" w:lineRule="exact"/>
        <w:rPr>
          <w:sz w:val="19"/>
          <w:szCs w:val="19"/>
        </w:rPr>
      </w:pPr>
    </w:p>
    <w:p w:rsidR="00DF44D2" w:rsidRDefault="00DF44D2">
      <w:pPr>
        <w:spacing w:before="11" w:after="11" w:line="240" w:lineRule="exact"/>
        <w:rPr>
          <w:sz w:val="19"/>
          <w:szCs w:val="19"/>
        </w:rPr>
      </w:pPr>
    </w:p>
    <w:p w:rsidR="00DF44D2" w:rsidRDefault="00DF44D2">
      <w:pPr>
        <w:rPr>
          <w:sz w:val="2"/>
          <w:szCs w:val="2"/>
        </w:rPr>
        <w:sectPr w:rsidR="00DF44D2">
          <w:type w:val="continuous"/>
          <w:pgSz w:w="11900" w:h="16840"/>
          <w:pgMar w:top="1008" w:right="0" w:bottom="523" w:left="0" w:header="0" w:footer="3" w:gutter="0"/>
          <w:cols w:space="720"/>
          <w:noEndnote/>
          <w:docGrid w:linePitch="360"/>
        </w:sectPr>
      </w:pPr>
    </w:p>
    <w:p w:rsidR="00DF44D2" w:rsidRDefault="00F37D96">
      <w:pPr>
        <w:pStyle w:val="Zkladntext50"/>
        <w:shd w:val="clear" w:color="auto" w:fill="auto"/>
        <w:spacing w:line="100" w:lineRule="exact"/>
      </w:pPr>
      <w:r>
        <w:rPr>
          <w:noProof/>
          <w:lang w:bidi="ar-SA"/>
        </w:rPr>
        <mc:AlternateContent>
          <mc:Choice Requires="wps">
            <w:drawing>
              <wp:anchor distT="0" distB="0" distL="63500" distR="63500" simplePos="0" relativeHeight="251657728" behindDoc="1" locked="0" layoutInCell="1" allowOverlap="1">
                <wp:simplePos x="0" y="0"/>
                <wp:positionH relativeFrom="margin">
                  <wp:posOffset>6052820</wp:posOffset>
                </wp:positionH>
                <wp:positionV relativeFrom="paragraph">
                  <wp:posOffset>-31115</wp:posOffset>
                </wp:positionV>
                <wp:extent cx="307975" cy="88900"/>
                <wp:effectExtent l="635" t="3810" r="0" b="254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D2" w:rsidRDefault="009E032E">
                            <w:pPr>
                              <w:pStyle w:val="Zkladntext6"/>
                              <w:shd w:val="clear" w:color="auto" w:fill="auto"/>
                              <w:spacing w:line="140" w:lineRule="exact"/>
                            </w:pPr>
                            <w:r>
                              <w:t>1V2009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6pt;margin-top:-2.45pt;width:24.25pt;height: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5JeqwIAAKc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" filled="f" stroked="f">
                <v:textbox style="mso-fit-shape-to-text:t" inset="0,0,0,0">
                  <w:txbxContent>
                    <w:p w:rsidR="00DF44D2" w:rsidRDefault="009E032E">
                      <w:pPr>
                        <w:pStyle w:val="Zkladntext6"/>
                        <w:shd w:val="clear" w:color="auto" w:fill="auto"/>
                        <w:spacing w:line="140" w:lineRule="exact"/>
                      </w:pPr>
                      <w:r>
                        <w:t>1V2009</w:t>
                      </w:r>
                    </w:p>
                  </w:txbxContent>
                </v:textbox>
                <w10:wrap type="square" side="left" anchorx="margin"/>
              </v:shape>
            </w:pict>
          </mc:Fallback>
        </mc:AlternateContent>
      </w:r>
      <w:r w:rsidR="009E032E">
        <w:t>K-Vp-503-A</w:t>
      </w:r>
    </w:p>
    <w:sectPr w:rsidR="00DF44D2">
      <w:type w:val="continuous"/>
      <w:pgSz w:w="11900" w:h="16840"/>
      <w:pgMar w:top="1008" w:right="939" w:bottom="523" w:left="9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2E" w:rsidRDefault="009E032E">
      <w:r>
        <w:separator/>
      </w:r>
    </w:p>
  </w:endnote>
  <w:endnote w:type="continuationSeparator" w:id="0">
    <w:p w:rsidR="009E032E" w:rsidRDefault="009E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2E" w:rsidRDefault="009E032E">
      <w:r>
        <w:separator/>
      </w:r>
    </w:p>
  </w:footnote>
  <w:footnote w:type="continuationSeparator" w:id="0">
    <w:p w:rsidR="009E032E" w:rsidRDefault="009E032E">
      <w:r>
        <w:continuationSeparator/>
      </w:r>
    </w:p>
  </w:footnote>
  <w:footnote w:id="1">
    <w:p w:rsidR="00DF44D2" w:rsidRDefault="009E032E">
      <w:pPr>
        <w:pStyle w:val="Poznmkapodarou0"/>
        <w:shd w:val="clear" w:color="auto" w:fill="auto"/>
        <w:tabs>
          <w:tab w:val="left" w:pos="197"/>
        </w:tabs>
        <w:ind w:firstLine="0"/>
      </w:pPr>
      <w:r>
        <w:footnoteRef/>
      </w:r>
      <w:r>
        <w:tab/>
        <w:t>Základní pojištění pro případ odcizení se vztahuje na:</w:t>
      </w:r>
    </w:p>
    <w:p w:rsidR="00DF44D2" w:rsidRDefault="009E032E">
      <w:pPr>
        <w:pStyle w:val="Poznmkapodarou0"/>
        <w:numPr>
          <w:ilvl w:val="0"/>
          <w:numId w:val="1"/>
        </w:numPr>
        <w:shd w:val="clear" w:color="auto" w:fill="auto"/>
        <w:tabs>
          <w:tab w:val="left" w:pos="206"/>
        </w:tabs>
        <w:ind w:left="240"/>
        <w:jc w:val="left"/>
      </w:pPr>
      <w:r>
        <w:t xml:space="preserve">krádež, při které pachatel </w:t>
      </w:r>
      <w:r>
        <w:t>prokazatelně překonal překážky chránící pojištěnou věc před odcizením,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DA1"/>
    <w:multiLevelType w:val="multilevel"/>
    <w:tmpl w:val="38047D9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E26C9"/>
    <w:multiLevelType w:val="multilevel"/>
    <w:tmpl w:val="42B6A9A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34A94"/>
    <w:multiLevelType w:val="multilevel"/>
    <w:tmpl w:val="C62654F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31C49"/>
    <w:multiLevelType w:val="multilevel"/>
    <w:tmpl w:val="85DCC15A"/>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E4113"/>
    <w:multiLevelType w:val="multilevel"/>
    <w:tmpl w:val="8E502E94"/>
    <w:lvl w:ilvl="0">
      <w:start w:val="2"/>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C18E5"/>
    <w:multiLevelType w:val="multilevel"/>
    <w:tmpl w:val="81CE63C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423D9"/>
    <w:multiLevelType w:val="multilevel"/>
    <w:tmpl w:val="FD761DD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50FA8"/>
    <w:multiLevelType w:val="multilevel"/>
    <w:tmpl w:val="93DA77A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D55BA"/>
    <w:multiLevelType w:val="multilevel"/>
    <w:tmpl w:val="30C8C08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D0111"/>
    <w:multiLevelType w:val="multilevel"/>
    <w:tmpl w:val="1A1ACA4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CD"/>
    <w:multiLevelType w:val="multilevel"/>
    <w:tmpl w:val="E05E2F2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93380"/>
    <w:multiLevelType w:val="multilevel"/>
    <w:tmpl w:val="E96C686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D37489"/>
    <w:multiLevelType w:val="multilevel"/>
    <w:tmpl w:val="117AD92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E3259"/>
    <w:multiLevelType w:val="multilevel"/>
    <w:tmpl w:val="83B8A2B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F2680"/>
    <w:multiLevelType w:val="multilevel"/>
    <w:tmpl w:val="7A4EA16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2A6754"/>
    <w:multiLevelType w:val="multilevel"/>
    <w:tmpl w:val="8EBC665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C3536"/>
    <w:multiLevelType w:val="multilevel"/>
    <w:tmpl w:val="0B4A88F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3B2E15"/>
    <w:multiLevelType w:val="multilevel"/>
    <w:tmpl w:val="3AE280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D7764"/>
    <w:multiLevelType w:val="multilevel"/>
    <w:tmpl w:val="1E84098A"/>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8C19B6"/>
    <w:multiLevelType w:val="multilevel"/>
    <w:tmpl w:val="2886E64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812AA7"/>
    <w:multiLevelType w:val="multilevel"/>
    <w:tmpl w:val="13949D6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033A17"/>
    <w:multiLevelType w:val="multilevel"/>
    <w:tmpl w:val="6680AC9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B01293"/>
    <w:multiLevelType w:val="multilevel"/>
    <w:tmpl w:val="65784A1C"/>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87F72"/>
    <w:multiLevelType w:val="multilevel"/>
    <w:tmpl w:val="11C6270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5949CA"/>
    <w:multiLevelType w:val="multilevel"/>
    <w:tmpl w:val="1132E8C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22"/>
  </w:num>
  <w:num w:numId="4">
    <w:abstractNumId w:val="14"/>
  </w:num>
  <w:num w:numId="5">
    <w:abstractNumId w:val="15"/>
  </w:num>
  <w:num w:numId="6">
    <w:abstractNumId w:val="4"/>
  </w:num>
  <w:num w:numId="7">
    <w:abstractNumId w:val="8"/>
  </w:num>
  <w:num w:numId="8">
    <w:abstractNumId w:val="16"/>
  </w:num>
  <w:num w:numId="9">
    <w:abstractNumId w:val="24"/>
  </w:num>
  <w:num w:numId="10">
    <w:abstractNumId w:val="3"/>
  </w:num>
  <w:num w:numId="11">
    <w:abstractNumId w:val="2"/>
  </w:num>
  <w:num w:numId="12">
    <w:abstractNumId w:val="9"/>
  </w:num>
  <w:num w:numId="13">
    <w:abstractNumId w:val="12"/>
  </w:num>
  <w:num w:numId="14">
    <w:abstractNumId w:val="10"/>
  </w:num>
  <w:num w:numId="15">
    <w:abstractNumId w:val="1"/>
  </w:num>
  <w:num w:numId="16">
    <w:abstractNumId w:val="23"/>
  </w:num>
  <w:num w:numId="17">
    <w:abstractNumId w:val="6"/>
  </w:num>
  <w:num w:numId="18">
    <w:abstractNumId w:val="0"/>
  </w:num>
  <w:num w:numId="19">
    <w:abstractNumId w:val="20"/>
  </w:num>
  <w:num w:numId="20">
    <w:abstractNumId w:val="5"/>
  </w:num>
  <w:num w:numId="21">
    <w:abstractNumId w:val="17"/>
  </w:num>
  <w:num w:numId="22">
    <w:abstractNumId w:val="21"/>
  </w:num>
  <w:num w:numId="23">
    <w:abstractNumId w:val="19"/>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D2"/>
    <w:rsid w:val="009E032E"/>
    <w:rsid w:val="00DF44D2"/>
    <w:rsid w:val="00F3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63FC7-4FDA-4E64-BF21-1D80ED6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oznmkapodarou">
    <w:name w:val="Poznámka pod čarou_"/>
    <w:basedOn w:val="DefaultParagraphFont"/>
    <w:link w:val="Poznmkapodarou0"/>
    <w:rPr>
      <w:rFonts w:ascii="Trebuchet MS" w:eastAsia="Trebuchet MS" w:hAnsi="Trebuchet MS" w:cs="Trebuchet MS"/>
      <w:b w:val="0"/>
      <w:bCs w:val="0"/>
      <w:i w:val="0"/>
      <w:iCs w:val="0"/>
      <w:smallCaps w:val="0"/>
      <w:strike w:val="0"/>
      <w:sz w:val="14"/>
      <w:szCs w:val="14"/>
      <w:u w:val="none"/>
    </w:rPr>
  </w:style>
  <w:style w:type="character" w:customStyle="1" w:styleId="Nadpis2">
    <w:name w:val="Nadpis #2_"/>
    <w:basedOn w:val="DefaultParagraphFont"/>
    <w:link w:val="Nadpis20"/>
    <w:rPr>
      <w:rFonts w:ascii="Trebuchet MS" w:eastAsia="Trebuchet MS" w:hAnsi="Trebuchet MS" w:cs="Trebuchet MS"/>
      <w:b/>
      <w:bCs/>
      <w:i w:val="0"/>
      <w:iCs w:val="0"/>
      <w:smallCaps w:val="0"/>
      <w:strike w:val="0"/>
      <w:spacing w:val="-10"/>
      <w:sz w:val="34"/>
      <w:szCs w:val="34"/>
      <w:u w:val="none"/>
    </w:rPr>
  </w:style>
  <w:style w:type="character" w:customStyle="1" w:styleId="Nadpis21">
    <w:name w:val="Nadpis #2"/>
    <w:basedOn w:val="Nadpis2"/>
    <w:rPr>
      <w:rFonts w:ascii="Trebuchet MS" w:eastAsia="Trebuchet MS" w:hAnsi="Trebuchet MS" w:cs="Trebuchet MS"/>
      <w:b/>
      <w:bCs/>
      <w:i w:val="0"/>
      <w:iCs w:val="0"/>
      <w:smallCaps w:val="0"/>
      <w:strike w:val="0"/>
      <w:color w:val="000000"/>
      <w:spacing w:val="-10"/>
      <w:w w:val="100"/>
      <w:position w:val="0"/>
      <w:sz w:val="34"/>
      <w:szCs w:val="34"/>
      <w:u w:val="single"/>
      <w:lang w:val="cs-CZ" w:eastAsia="cs-CZ" w:bidi="cs-CZ"/>
    </w:rPr>
  </w:style>
  <w:style w:type="character" w:customStyle="1" w:styleId="Zkladntext3">
    <w:name w:val="Základní text (3)_"/>
    <w:basedOn w:val="DefaultParagraphFont"/>
    <w:link w:val="Zkladntext30"/>
    <w:rPr>
      <w:rFonts w:ascii="Trebuchet MS" w:eastAsia="Trebuchet MS" w:hAnsi="Trebuchet MS" w:cs="Trebuchet MS"/>
      <w:b/>
      <w:bCs/>
      <w:i w:val="0"/>
      <w:iCs w:val="0"/>
      <w:smallCaps w:val="0"/>
      <w:strike w:val="0"/>
      <w:sz w:val="19"/>
      <w:szCs w:val="19"/>
      <w:u w:val="none"/>
      <w:lang w:val="en-US" w:eastAsia="en-US" w:bidi="en-US"/>
    </w:rPr>
  </w:style>
  <w:style w:type="character" w:customStyle="1" w:styleId="Zkladntext3Malpsmena">
    <w:name w:val="Základní text (3) + Malá písmena"/>
    <w:basedOn w:val="Zkladntext3"/>
    <w:rPr>
      <w:rFonts w:ascii="Trebuchet MS" w:eastAsia="Trebuchet MS" w:hAnsi="Trebuchet MS" w:cs="Trebuchet MS"/>
      <w:b/>
      <w:bCs/>
      <w:i w:val="0"/>
      <w:iCs w:val="0"/>
      <w:smallCaps/>
      <w:strike w:val="0"/>
      <w:color w:val="000000"/>
      <w:spacing w:val="0"/>
      <w:w w:val="100"/>
      <w:position w:val="0"/>
      <w:sz w:val="19"/>
      <w:szCs w:val="19"/>
      <w:u w:val="none"/>
      <w:lang w:val="en-US" w:eastAsia="en-US" w:bidi="en-US"/>
    </w:rPr>
  </w:style>
  <w:style w:type="character" w:customStyle="1" w:styleId="Zkladntext312pt">
    <w:name w:val="Základní text (3) + 12 pt"/>
    <w:basedOn w:val="Zkladntext3"/>
    <w:rPr>
      <w:rFonts w:ascii="Trebuchet MS" w:eastAsia="Trebuchet MS" w:hAnsi="Trebuchet MS" w:cs="Trebuchet MS"/>
      <w:b/>
      <w:bCs/>
      <w:i w:val="0"/>
      <w:iCs w:val="0"/>
      <w:smallCaps w:val="0"/>
      <w:strike w:val="0"/>
      <w:color w:val="000000"/>
      <w:spacing w:val="0"/>
      <w:w w:val="100"/>
      <w:position w:val="0"/>
      <w:sz w:val="24"/>
      <w:szCs w:val="24"/>
      <w:u w:val="none"/>
      <w:lang w:val="en-US" w:eastAsia="en-US" w:bidi="en-US"/>
    </w:rPr>
  </w:style>
  <w:style w:type="character" w:customStyle="1" w:styleId="Nadpis1">
    <w:name w:val="Nadpis #1_"/>
    <w:basedOn w:val="DefaultParagraphFont"/>
    <w:link w:val="Nadpis10"/>
    <w:rPr>
      <w:rFonts w:ascii="Trebuchet MS" w:eastAsia="Trebuchet MS" w:hAnsi="Trebuchet MS" w:cs="Trebuchet MS"/>
      <w:b/>
      <w:bCs/>
      <w:i w:val="0"/>
      <w:iCs w:val="0"/>
      <w:smallCaps w:val="0"/>
      <w:strike w:val="0"/>
      <w:sz w:val="50"/>
      <w:szCs w:val="50"/>
      <w:u w:val="none"/>
    </w:rPr>
  </w:style>
  <w:style w:type="character" w:customStyle="1" w:styleId="Nadpis11">
    <w:name w:val="Nadpis #1"/>
    <w:basedOn w:val="Nadpis1"/>
    <w:rPr>
      <w:rFonts w:ascii="Trebuchet MS" w:eastAsia="Trebuchet MS" w:hAnsi="Trebuchet MS" w:cs="Trebuchet MS"/>
      <w:b/>
      <w:bCs/>
      <w:i w:val="0"/>
      <w:iCs w:val="0"/>
      <w:smallCaps w:val="0"/>
      <w:strike w:val="0"/>
      <w:color w:val="000000"/>
      <w:spacing w:val="0"/>
      <w:w w:val="100"/>
      <w:position w:val="0"/>
      <w:sz w:val="50"/>
      <w:szCs w:val="50"/>
      <w:u w:val="none"/>
      <w:lang w:val="cs-CZ" w:eastAsia="cs-CZ" w:bidi="cs-CZ"/>
    </w:rPr>
  </w:style>
  <w:style w:type="character" w:customStyle="1" w:styleId="Nadpis3">
    <w:name w:val="Nadpis #3_"/>
    <w:basedOn w:val="DefaultParagraphFont"/>
    <w:link w:val="Nadpis30"/>
    <w:rPr>
      <w:rFonts w:ascii="Trebuchet MS" w:eastAsia="Trebuchet MS" w:hAnsi="Trebuchet MS" w:cs="Trebuchet MS"/>
      <w:b/>
      <w:bCs/>
      <w:i w:val="0"/>
      <w:iCs w:val="0"/>
      <w:smallCaps w:val="0"/>
      <w:strike w:val="0"/>
      <w:spacing w:val="0"/>
      <w:sz w:val="14"/>
      <w:szCs w:val="14"/>
      <w:u w:val="none"/>
    </w:rPr>
  </w:style>
  <w:style w:type="character" w:customStyle="1" w:styleId="Zkladntext4">
    <w:name w:val="Základní text (4)_"/>
    <w:basedOn w:val="DefaultParagraphFont"/>
    <w:link w:val="Zkladntext40"/>
    <w:rPr>
      <w:rFonts w:ascii="Trebuchet MS" w:eastAsia="Trebuchet MS" w:hAnsi="Trebuchet MS" w:cs="Trebuchet MS"/>
      <w:b/>
      <w:bCs/>
      <w:i w:val="0"/>
      <w:iCs w:val="0"/>
      <w:smallCaps w:val="0"/>
      <w:strike w:val="0"/>
      <w:spacing w:val="0"/>
      <w:sz w:val="14"/>
      <w:szCs w:val="14"/>
      <w:u w:val="none"/>
    </w:rPr>
  </w:style>
  <w:style w:type="character" w:customStyle="1" w:styleId="Zkladntext2">
    <w:name w:val="Základní text (2)_"/>
    <w:basedOn w:val="DefaultParagraphFont"/>
    <w:link w:val="Zkladntext20"/>
    <w:rPr>
      <w:rFonts w:ascii="Trebuchet MS" w:eastAsia="Trebuchet MS" w:hAnsi="Trebuchet MS" w:cs="Trebuchet MS"/>
      <w:b w:val="0"/>
      <w:bCs w:val="0"/>
      <w:i w:val="0"/>
      <w:iCs w:val="0"/>
      <w:smallCaps w:val="0"/>
      <w:strike w:val="0"/>
      <w:sz w:val="14"/>
      <w:szCs w:val="14"/>
      <w:u w:val="none"/>
    </w:rPr>
  </w:style>
  <w:style w:type="character" w:customStyle="1" w:styleId="Zkladntext2Tun">
    <w:name w:val="Základní text (2) + Tučné"/>
    <w:basedOn w:val="Zkladntext2"/>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4Netun">
    <w:name w:val="Základní text (4) + Ne tučné"/>
    <w:basedOn w:val="Zkladntext4"/>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Nadpis3Netun">
    <w:name w:val="Nadpis #3 + Ne tučné"/>
    <w:basedOn w:val="Nadpis3"/>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6Exact">
    <w:name w:val="Základní text (6) Exact"/>
    <w:basedOn w:val="DefaultParagraphFont"/>
    <w:link w:val="Zkladntext6"/>
    <w:rPr>
      <w:rFonts w:ascii="Calibri" w:eastAsia="Calibri" w:hAnsi="Calibri" w:cs="Calibri"/>
      <w:b w:val="0"/>
      <w:bCs w:val="0"/>
      <w:i w:val="0"/>
      <w:iCs w:val="0"/>
      <w:smallCaps w:val="0"/>
      <w:strike w:val="0"/>
      <w:sz w:val="14"/>
      <w:szCs w:val="14"/>
      <w:u w:val="none"/>
    </w:rPr>
  </w:style>
  <w:style w:type="character" w:customStyle="1" w:styleId="Zkladntext5">
    <w:name w:val="Základní text (5)_"/>
    <w:basedOn w:val="DefaultParagraphFont"/>
    <w:link w:val="Zkladntext50"/>
    <w:rPr>
      <w:rFonts w:ascii="Trebuchet MS" w:eastAsia="Trebuchet MS" w:hAnsi="Trebuchet MS" w:cs="Trebuchet MS"/>
      <w:b w:val="0"/>
      <w:bCs w:val="0"/>
      <w:i w:val="0"/>
      <w:iCs w:val="0"/>
      <w:smallCaps w:val="0"/>
      <w:strike w:val="0"/>
      <w:sz w:val="10"/>
      <w:szCs w:val="10"/>
      <w:u w:val="none"/>
    </w:rPr>
  </w:style>
  <w:style w:type="paragraph" w:customStyle="1" w:styleId="Poznmkapodarou0">
    <w:name w:val="Poznámka pod čarou"/>
    <w:basedOn w:val="Normal"/>
    <w:link w:val="Poznmkapodarou"/>
    <w:pPr>
      <w:shd w:val="clear" w:color="auto" w:fill="FFFFFF"/>
      <w:spacing w:line="240" w:lineRule="exact"/>
      <w:ind w:hanging="240"/>
      <w:jc w:val="both"/>
    </w:pPr>
    <w:rPr>
      <w:rFonts w:ascii="Trebuchet MS" w:eastAsia="Trebuchet MS" w:hAnsi="Trebuchet MS" w:cs="Trebuchet MS"/>
      <w:sz w:val="14"/>
      <w:szCs w:val="14"/>
    </w:rPr>
  </w:style>
  <w:style w:type="paragraph" w:customStyle="1" w:styleId="Nadpis20">
    <w:name w:val="Nadpis #2"/>
    <w:basedOn w:val="Normal"/>
    <w:link w:val="Nadpis2"/>
    <w:pPr>
      <w:shd w:val="clear" w:color="auto" w:fill="FFFFFF"/>
      <w:spacing w:line="0" w:lineRule="atLeast"/>
      <w:outlineLvl w:val="1"/>
    </w:pPr>
    <w:rPr>
      <w:rFonts w:ascii="Trebuchet MS" w:eastAsia="Trebuchet MS" w:hAnsi="Trebuchet MS" w:cs="Trebuchet MS"/>
      <w:b/>
      <w:bCs/>
      <w:spacing w:val="-10"/>
      <w:sz w:val="34"/>
      <w:szCs w:val="34"/>
    </w:rPr>
  </w:style>
  <w:style w:type="paragraph" w:customStyle="1" w:styleId="Zkladntext30">
    <w:name w:val="Základní text (3)"/>
    <w:basedOn w:val="Normal"/>
    <w:link w:val="Zkladntext3"/>
    <w:pPr>
      <w:shd w:val="clear" w:color="auto" w:fill="FFFFFF"/>
      <w:spacing w:after="840" w:line="0" w:lineRule="atLeast"/>
      <w:jc w:val="both"/>
    </w:pPr>
    <w:rPr>
      <w:rFonts w:ascii="Trebuchet MS" w:eastAsia="Trebuchet MS" w:hAnsi="Trebuchet MS" w:cs="Trebuchet MS"/>
      <w:b/>
      <w:bCs/>
      <w:sz w:val="19"/>
      <w:szCs w:val="19"/>
      <w:lang w:val="en-US" w:eastAsia="en-US" w:bidi="en-US"/>
    </w:rPr>
  </w:style>
  <w:style w:type="paragraph" w:customStyle="1" w:styleId="Nadpis10">
    <w:name w:val="Nadpis #1"/>
    <w:basedOn w:val="Normal"/>
    <w:link w:val="Nadpis1"/>
    <w:pPr>
      <w:shd w:val="clear" w:color="auto" w:fill="FFFFFF"/>
      <w:spacing w:before="840" w:line="653" w:lineRule="exact"/>
      <w:outlineLvl w:val="0"/>
    </w:pPr>
    <w:rPr>
      <w:rFonts w:ascii="Trebuchet MS" w:eastAsia="Trebuchet MS" w:hAnsi="Trebuchet MS" w:cs="Trebuchet MS"/>
      <w:b/>
      <w:bCs/>
      <w:sz w:val="50"/>
      <w:szCs w:val="50"/>
    </w:rPr>
  </w:style>
  <w:style w:type="paragraph" w:customStyle="1" w:styleId="Nadpis30">
    <w:name w:val="Nadpis #3"/>
    <w:basedOn w:val="Normal"/>
    <w:link w:val="Nadpis3"/>
    <w:pPr>
      <w:shd w:val="clear" w:color="auto" w:fill="FFFFFF"/>
      <w:spacing w:after="60" w:line="0" w:lineRule="atLeast"/>
      <w:ind w:hanging="240"/>
      <w:outlineLvl w:val="2"/>
    </w:pPr>
    <w:rPr>
      <w:rFonts w:ascii="Trebuchet MS" w:eastAsia="Trebuchet MS" w:hAnsi="Trebuchet MS" w:cs="Trebuchet MS"/>
      <w:b/>
      <w:bCs/>
      <w:sz w:val="14"/>
      <w:szCs w:val="14"/>
    </w:rPr>
  </w:style>
  <w:style w:type="paragraph" w:customStyle="1" w:styleId="Zkladntext40">
    <w:name w:val="Základní text (4)"/>
    <w:basedOn w:val="Normal"/>
    <w:link w:val="Zkladntext4"/>
    <w:pPr>
      <w:shd w:val="clear" w:color="auto" w:fill="FFFFFF"/>
      <w:spacing w:before="60" w:after="300" w:line="0" w:lineRule="atLeast"/>
      <w:ind w:hanging="240"/>
    </w:pPr>
    <w:rPr>
      <w:rFonts w:ascii="Trebuchet MS" w:eastAsia="Trebuchet MS" w:hAnsi="Trebuchet MS" w:cs="Trebuchet MS"/>
      <w:b/>
      <w:bCs/>
      <w:sz w:val="14"/>
      <w:szCs w:val="14"/>
    </w:rPr>
  </w:style>
  <w:style w:type="paragraph" w:customStyle="1" w:styleId="Zkladntext20">
    <w:name w:val="Základní text (2)"/>
    <w:basedOn w:val="Normal"/>
    <w:link w:val="Zkladntext2"/>
    <w:pPr>
      <w:shd w:val="clear" w:color="auto" w:fill="FFFFFF"/>
      <w:spacing w:before="300" w:after="180" w:line="240" w:lineRule="exact"/>
      <w:ind w:hanging="240"/>
      <w:jc w:val="both"/>
    </w:pPr>
    <w:rPr>
      <w:rFonts w:ascii="Trebuchet MS" w:eastAsia="Trebuchet MS" w:hAnsi="Trebuchet MS" w:cs="Trebuchet MS"/>
      <w:sz w:val="14"/>
      <w:szCs w:val="14"/>
    </w:rPr>
  </w:style>
  <w:style w:type="paragraph" w:customStyle="1" w:styleId="Zkladntext6">
    <w:name w:val="Základní text (6)"/>
    <w:basedOn w:val="Normal"/>
    <w:link w:val="Zkladntext6Exact"/>
    <w:pPr>
      <w:shd w:val="clear" w:color="auto" w:fill="FFFFFF"/>
      <w:spacing w:line="0" w:lineRule="atLeast"/>
    </w:pPr>
    <w:rPr>
      <w:rFonts w:ascii="Calibri" w:eastAsia="Calibri" w:hAnsi="Calibri" w:cs="Calibri"/>
      <w:sz w:val="14"/>
      <w:szCs w:val="14"/>
    </w:rPr>
  </w:style>
  <w:style w:type="paragraph" w:customStyle="1" w:styleId="Zkladntext50">
    <w:name w:val="Základní text (5)"/>
    <w:basedOn w:val="Normal"/>
    <w:link w:val="Zkladntext5"/>
    <w:pPr>
      <w:shd w:val="clear" w:color="auto" w:fill="FFFFFF"/>
      <w:spacing w:line="0" w:lineRule="atLeast"/>
    </w:pPr>
    <w:rPr>
      <w:rFonts w:ascii="Trebuchet MS" w:eastAsia="Trebuchet MS" w:hAnsi="Trebuchet MS" w:cs="Trebuchet M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2847</Words>
  <Characters>16802</Characters>
  <Application>Microsoft Office Word</Application>
  <DocSecurity>0</DocSecurity>
  <Lines>140</Lines>
  <Paragraphs>39</Paragraphs>
  <ScaleCrop>false</ScaleCrop>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Vp-503.indd</dc:title>
  <dc:subject/>
  <dc:creator>XXX</dc:creator>
  <cp:keywords/>
  <cp:lastModifiedBy>XXX</cp:lastModifiedBy>
  <cp:revision>1</cp:revision>
  <dcterms:created xsi:type="dcterms:W3CDTF">2017-07-19T12:16:00Z</dcterms:created>
  <dcterms:modified xsi:type="dcterms:W3CDTF">2017-07-19T12:17:00Z</dcterms:modified>
</cp:coreProperties>
</file>