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795BE3C0"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DF184E">
        <w:rPr>
          <w:rFonts w:ascii="Times New Roman" w:hAnsi="Times New Roman"/>
          <w:b/>
          <w:sz w:val="28"/>
          <w:szCs w:val="20"/>
        </w:rPr>
        <w:t xml:space="preserve"> </w:t>
      </w:r>
      <w:r w:rsidR="005A0F20">
        <w:rPr>
          <w:rFonts w:ascii="Times New Roman" w:hAnsi="Times New Roman"/>
          <w:b/>
          <w:sz w:val="28"/>
          <w:szCs w:val="20"/>
        </w:rPr>
        <w:t>6</w:t>
      </w:r>
      <w:r w:rsidR="00D15727">
        <w:rPr>
          <w:rFonts w:ascii="Times New Roman" w:hAnsi="Times New Roman"/>
          <w:b/>
          <w:sz w:val="28"/>
          <w:szCs w:val="20"/>
        </w:rPr>
        <w:t>9</w:t>
      </w:r>
      <w:r w:rsidR="00010FD2" w:rsidRPr="00AE18D8">
        <w:rPr>
          <w:rFonts w:ascii="Times New Roman" w:hAnsi="Times New Roman"/>
          <w:b/>
          <w:sz w:val="28"/>
          <w:szCs w:val="20"/>
        </w:rPr>
        <w:t>/2024/VZFAF</w:t>
      </w:r>
      <w:r w:rsidR="00010FD2" w:rsidDel="00010FD2">
        <w:rPr>
          <w:rFonts w:ascii="Times New Roman" w:hAnsi="Times New Roman"/>
          <w:b/>
          <w:sz w:val="28"/>
          <w:szCs w:val="20"/>
        </w:rPr>
        <w:t xml:space="preserve"> </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r w:rsidRPr="00283AB7">
        <w:rPr>
          <w:rFonts w:ascii="Times New Roman" w:hAnsi="Times New Roman"/>
          <w:b/>
          <w:i/>
          <w:sz w:val="22"/>
          <w:szCs w:val="20"/>
        </w:rPr>
        <w:t>ObčZ</w:t>
      </w:r>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„FaF UK“)</w:t>
      </w:r>
    </w:p>
    <w:p w14:paraId="5C1CD7B3" w14:textId="51EC8BB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010FD2">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r w:rsidRPr="00E47F46">
        <w:rPr>
          <w:rFonts w:ascii="Times New Roman" w:hAnsi="Times New Roman"/>
          <w:sz w:val="22"/>
          <w:szCs w:val="22"/>
        </w:rPr>
        <w:t>č.ú. 153149586/0300</w:t>
      </w:r>
    </w:p>
    <w:p w14:paraId="7AFB2F58" w14:textId="77777777" w:rsidR="00831483" w:rsidRPr="00E47F46" w:rsidRDefault="00BF3551" w:rsidP="00831483">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831483" w:rsidRPr="003241BD">
        <w:rPr>
          <w:rFonts w:ascii="Times New Roman" w:hAnsi="Times New Roman"/>
          <w:sz w:val="22"/>
          <w:szCs w:val="22"/>
        </w:rPr>
        <w:t>doc. PharmDr. Jaroslavem Rohem, Ph.D.,</w:t>
      </w:r>
      <w:r w:rsidR="00831483" w:rsidRPr="003241BD">
        <w:rPr>
          <w:rFonts w:ascii="Times New Roman" w:eastAsia="Arial" w:hAnsi="Times New Roman"/>
          <w:color w:val="000000"/>
          <w:sz w:val="22"/>
          <w:szCs w:val="22"/>
        </w:rPr>
        <w:t xml:space="preserve"> děkanem FaF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756F0A3D" w:rsidR="00F06AD4" w:rsidRPr="004E64EE" w:rsidRDefault="00A437A2" w:rsidP="00E47F46">
      <w:pPr>
        <w:ind w:firstLine="567"/>
        <w:jc w:val="both"/>
        <w:rPr>
          <w:rFonts w:ascii="Times New Roman" w:hAnsi="Times New Roman"/>
          <w:b/>
          <w:sz w:val="22"/>
          <w:szCs w:val="22"/>
        </w:rPr>
      </w:pPr>
      <w:bookmarkStart w:id="0" w:name="id.173fec35c5e6"/>
      <w:bookmarkEnd w:id="0"/>
      <w:r>
        <w:rPr>
          <w:rFonts w:ascii="Times New Roman" w:hAnsi="Times New Roman"/>
          <w:b/>
          <w:sz w:val="22"/>
          <w:szCs w:val="22"/>
        </w:rPr>
        <w:t>RADWAG Váhy s.r.o.</w:t>
      </w:r>
    </w:p>
    <w:p w14:paraId="6E30D86C" w14:textId="5DFB73B9"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A437A2">
        <w:rPr>
          <w:rFonts w:ascii="Times New Roman" w:hAnsi="Times New Roman"/>
          <w:b/>
          <w:sz w:val="22"/>
          <w:szCs w:val="22"/>
        </w:rPr>
        <w:t>Lidická 55, Šumperk 787 01</w:t>
      </w:r>
    </w:p>
    <w:p w14:paraId="62EB8FC2" w14:textId="63E39F67"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A437A2">
        <w:rPr>
          <w:rFonts w:ascii="Times New Roman" w:hAnsi="Times New Roman"/>
          <w:b/>
          <w:sz w:val="22"/>
          <w:szCs w:val="22"/>
        </w:rPr>
        <w:t>03606007</w:t>
      </w:r>
    </w:p>
    <w:p w14:paraId="01F6EE4E" w14:textId="3D27DBCA"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A437A2">
        <w:rPr>
          <w:rFonts w:ascii="Times New Roman" w:hAnsi="Times New Roman"/>
          <w:b/>
          <w:sz w:val="22"/>
          <w:szCs w:val="22"/>
        </w:rPr>
        <w:t>CZ03606007</w:t>
      </w:r>
    </w:p>
    <w:p w14:paraId="2F3894DD" w14:textId="7ED3F1E1" w:rsidR="00A437A2" w:rsidRPr="00A437A2" w:rsidRDefault="00E47F46" w:rsidP="00A437A2">
      <w:pPr>
        <w:ind w:firstLine="567"/>
        <w:jc w:val="both"/>
        <w:rPr>
          <w:rFonts w:ascii="Times New Roman" w:hAnsi="Times New Roman"/>
          <w:b/>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A437A2" w:rsidRPr="00A437A2">
        <w:rPr>
          <w:rFonts w:ascii="Times New Roman" w:hAnsi="Times New Roman"/>
          <w:b/>
          <w:sz w:val="22"/>
          <w:szCs w:val="22"/>
        </w:rPr>
        <w:t>u7vs5w5</w:t>
      </w:r>
    </w:p>
    <w:p w14:paraId="7CFA6A9A" w14:textId="5545A9E6"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A437A2">
        <w:rPr>
          <w:rFonts w:ascii="Times New Roman" w:hAnsi="Times New Roman"/>
          <w:b/>
          <w:sz w:val="22"/>
          <w:szCs w:val="22"/>
        </w:rPr>
        <w:t>Česká spořitelna a.s.</w:t>
      </w:r>
    </w:p>
    <w:p w14:paraId="2DD89FBD" w14:textId="078E733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č. ú.:</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A437A2" w:rsidRPr="00A437A2">
        <w:rPr>
          <w:rFonts w:ascii="Times New Roman" w:hAnsi="Times New Roman"/>
          <w:b/>
          <w:sz w:val="22"/>
          <w:szCs w:val="22"/>
        </w:rPr>
        <w:t>3810303349/0800</w:t>
      </w:r>
    </w:p>
    <w:p w14:paraId="6A74F0FF" w14:textId="3CA20DF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612CD4">
        <w:rPr>
          <w:rFonts w:ascii="Times New Roman" w:hAnsi="Times New Roman"/>
          <w:b/>
          <w:sz w:val="22"/>
          <w:szCs w:val="22"/>
        </w:rPr>
        <w:t>XXX</w:t>
      </w:r>
    </w:p>
    <w:p w14:paraId="1D3CF82D" w14:textId="2BEEAD14" w:rsidR="00A437A2" w:rsidRPr="00A437A2" w:rsidRDefault="00E47F46" w:rsidP="00A437A2">
      <w:pPr>
        <w:ind w:firstLine="567"/>
        <w:jc w:val="both"/>
        <w:rPr>
          <w:rFonts w:ascii="Times New Roman" w:hAnsi="Times New Roman"/>
          <w:b/>
          <w:sz w:val="22"/>
          <w:szCs w:val="22"/>
          <w:highlight w:val="yellow"/>
        </w:rPr>
      </w:pPr>
      <w:r w:rsidRPr="004E64EE">
        <w:rPr>
          <w:rFonts w:ascii="Times New Roman" w:eastAsia="Arial" w:hAnsi="Times New Roman"/>
          <w:color w:val="000000"/>
          <w:sz w:val="22"/>
          <w:szCs w:val="22"/>
        </w:rPr>
        <w:t>zapsaný(á) v obchodním rejstříku vedeném</w:t>
      </w:r>
      <w:r w:rsidR="00A437A2" w:rsidRPr="00A437A2">
        <w:rPr>
          <w:rFonts w:ascii="Times New Roman" w:hAnsi="Times New Roman"/>
          <w:b/>
          <w:sz w:val="22"/>
          <w:szCs w:val="22"/>
        </w:rPr>
        <w:t xml:space="preserve"> Krajským soudem v Ostravě, oddíl C, vložka 60650 </w:t>
      </w:r>
    </w:p>
    <w:p w14:paraId="0E765E31" w14:textId="4709A1BA" w:rsidR="00283AB7" w:rsidRPr="004E64EE" w:rsidRDefault="00E47F46" w:rsidP="00A437A2">
      <w:pPr>
        <w:ind w:firstLine="567"/>
        <w:jc w:val="both"/>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4AB92994" w14:textId="77777777" w:rsidR="00E47F46" w:rsidRPr="00433A77" w:rsidRDefault="00E47F46" w:rsidP="00283AB7">
      <w:pPr>
        <w:spacing w:after="60" w:line="276" w:lineRule="auto"/>
        <w:jc w:val="both"/>
        <w:rPr>
          <w:rFonts w:ascii="Times New Roman" w:hAnsi="Times New Roman"/>
          <w:sz w:val="22"/>
          <w:szCs w:val="22"/>
        </w:rPr>
      </w:pPr>
    </w:p>
    <w:p w14:paraId="3C7CE8B5" w14:textId="2C12019D" w:rsidR="00283AB7" w:rsidRPr="00433A77" w:rsidRDefault="00E24F7D" w:rsidP="002E47D0">
      <w:pPr>
        <w:jc w:val="both"/>
        <w:rPr>
          <w:rFonts w:ascii="Times New Roman" w:hAnsi="Times New Roman"/>
          <w:sz w:val="22"/>
          <w:szCs w:val="22"/>
        </w:rPr>
      </w:pPr>
      <w:r w:rsidRPr="00433A77">
        <w:rPr>
          <w:rFonts w:ascii="Times New Roman" w:hAnsi="Times New Roman"/>
          <w:sz w:val="22"/>
          <w:szCs w:val="22"/>
        </w:rPr>
        <w:t xml:space="preserve">uzavírají na základě výsledku veřejné </w:t>
      </w:r>
      <w:r w:rsidRPr="00D15727">
        <w:rPr>
          <w:rFonts w:ascii="Times New Roman" w:hAnsi="Times New Roman"/>
          <w:sz w:val="22"/>
          <w:szCs w:val="22"/>
        </w:rPr>
        <w:t>zakázky s</w:t>
      </w:r>
      <w:r w:rsidR="006A20AC" w:rsidRPr="00D15727">
        <w:rPr>
          <w:rFonts w:ascii="Times New Roman" w:hAnsi="Times New Roman"/>
          <w:sz w:val="22"/>
          <w:szCs w:val="22"/>
        </w:rPr>
        <w:t> </w:t>
      </w:r>
      <w:r w:rsidRPr="00D15727">
        <w:rPr>
          <w:rFonts w:ascii="Times New Roman" w:hAnsi="Times New Roman"/>
          <w:sz w:val="22"/>
          <w:szCs w:val="22"/>
        </w:rPr>
        <w:t>názvem</w:t>
      </w:r>
      <w:r w:rsidR="006A20AC" w:rsidRPr="00D15727">
        <w:rPr>
          <w:rFonts w:ascii="Times New Roman" w:hAnsi="Times New Roman"/>
          <w:sz w:val="22"/>
          <w:szCs w:val="22"/>
        </w:rPr>
        <w:t xml:space="preserve">: </w:t>
      </w:r>
      <w:bookmarkStart w:id="1" w:name="_Hlk163057461"/>
      <w:r w:rsidR="00D15727" w:rsidRPr="00D15727">
        <w:rPr>
          <w:rFonts w:ascii="Times New Roman" w:hAnsi="Times New Roman"/>
          <w:b/>
          <w:bCs/>
          <w:sz w:val="22"/>
          <w:szCs w:val="22"/>
        </w:rPr>
        <w:t xml:space="preserve">FAF UK – dodávka </w:t>
      </w:r>
      <w:bookmarkEnd w:id="1"/>
      <w:r w:rsidR="00D15727" w:rsidRPr="00D15727">
        <w:rPr>
          <w:rFonts w:ascii="Times New Roman" w:hAnsi="Times New Roman"/>
          <w:b/>
          <w:bCs/>
          <w:sz w:val="22"/>
          <w:szCs w:val="22"/>
        </w:rPr>
        <w:t>analytických vah na 5 desetinných míst</w:t>
      </w:r>
      <w:r w:rsidR="00D15727" w:rsidRPr="00D15727">
        <w:rPr>
          <w:rFonts w:ascii="Times New Roman" w:hAnsi="Times New Roman"/>
          <w:sz w:val="22"/>
          <w:szCs w:val="22"/>
        </w:rPr>
        <w:t xml:space="preserve"> </w:t>
      </w:r>
      <w:r w:rsidR="00010FD2" w:rsidRPr="00D15727">
        <w:rPr>
          <w:rFonts w:ascii="Times New Roman" w:hAnsi="Times New Roman"/>
          <w:sz w:val="22"/>
          <w:szCs w:val="22"/>
        </w:rPr>
        <w:t>(dále jen „</w:t>
      </w:r>
      <w:r w:rsidR="009F4F0A" w:rsidRPr="00D15727">
        <w:rPr>
          <w:rFonts w:ascii="Times New Roman" w:hAnsi="Times New Roman"/>
          <w:sz w:val="22"/>
          <w:szCs w:val="22"/>
        </w:rPr>
        <w:t>z</w:t>
      </w:r>
      <w:r w:rsidR="00010FD2" w:rsidRPr="00D15727">
        <w:rPr>
          <w:rFonts w:ascii="Times New Roman" w:hAnsi="Times New Roman"/>
          <w:sz w:val="22"/>
          <w:szCs w:val="22"/>
        </w:rPr>
        <w:t>adávací řízení“</w:t>
      </w:r>
      <w:r w:rsidR="009F4F0A" w:rsidRPr="00D15727">
        <w:rPr>
          <w:rFonts w:ascii="Times New Roman" w:hAnsi="Times New Roman"/>
          <w:sz w:val="22"/>
          <w:szCs w:val="22"/>
        </w:rPr>
        <w:t xml:space="preserve"> nebo „veřejná zakázka“</w:t>
      </w:r>
      <w:r w:rsidR="00010FD2" w:rsidRPr="00D15727">
        <w:rPr>
          <w:rFonts w:ascii="Times New Roman" w:hAnsi="Times New Roman"/>
          <w:sz w:val="22"/>
          <w:szCs w:val="22"/>
        </w:rPr>
        <w:t xml:space="preserve">) </w:t>
      </w:r>
      <w:r w:rsidR="00732588" w:rsidRPr="00D15727">
        <w:rPr>
          <w:rFonts w:ascii="Times New Roman" w:hAnsi="Times New Roman"/>
          <w:sz w:val="22"/>
          <w:szCs w:val="22"/>
        </w:rPr>
        <w:t>v</w:t>
      </w:r>
      <w:r w:rsidR="00283AB7" w:rsidRPr="00D15727">
        <w:rPr>
          <w:rFonts w:ascii="Times New Roman" w:hAnsi="Times New Roman"/>
          <w:sz w:val="22"/>
          <w:szCs w:val="22"/>
        </w:rPr>
        <w:t xml:space="preserve"> režim</w:t>
      </w:r>
      <w:r w:rsidR="00732588" w:rsidRPr="00D15727">
        <w:rPr>
          <w:rFonts w:ascii="Times New Roman" w:hAnsi="Times New Roman"/>
          <w:sz w:val="22"/>
          <w:szCs w:val="22"/>
        </w:rPr>
        <w:t>u</w:t>
      </w:r>
      <w:r w:rsidR="00283AB7" w:rsidRPr="00D15727">
        <w:rPr>
          <w:rFonts w:ascii="Times New Roman" w:hAnsi="Times New Roman"/>
          <w:sz w:val="22"/>
          <w:szCs w:val="22"/>
        </w:rPr>
        <w:t xml:space="preserve"> zákona č. 134/2016 Sb., o zadávání veřejných zakázek</w:t>
      </w:r>
      <w:r w:rsidR="00283AB7" w:rsidRPr="00AF26EE">
        <w:rPr>
          <w:rFonts w:ascii="Times New Roman" w:hAnsi="Times New Roman"/>
          <w:sz w:val="22"/>
          <w:szCs w:val="22"/>
        </w:rPr>
        <w:t>, v platném znění (dále jen „</w:t>
      </w:r>
      <w:r w:rsidR="00283AB7" w:rsidRPr="00AF26EE">
        <w:rPr>
          <w:rFonts w:ascii="Times New Roman" w:hAnsi="Times New Roman"/>
          <w:b/>
          <w:sz w:val="22"/>
          <w:szCs w:val="22"/>
        </w:rPr>
        <w:t>ZZVZ</w:t>
      </w:r>
      <w:r w:rsidR="00AC6AB0" w:rsidRPr="00AF26EE">
        <w:rPr>
          <w:rFonts w:ascii="Times New Roman" w:hAnsi="Times New Roman"/>
          <w:sz w:val="22"/>
          <w:szCs w:val="22"/>
        </w:rPr>
        <w:t xml:space="preserve">“), </w:t>
      </w:r>
      <w:r w:rsidR="00A94B74" w:rsidRPr="00AF26EE">
        <w:rPr>
          <w:rFonts w:ascii="Times New Roman" w:hAnsi="Times New Roman"/>
          <w:sz w:val="22"/>
          <w:szCs w:val="22"/>
        </w:rPr>
        <w:t>v rámci </w:t>
      </w:r>
      <w:r w:rsidR="00433A77" w:rsidRPr="00AF26EE">
        <w:rPr>
          <w:rFonts w:ascii="Times New Roman" w:hAnsi="Times New Roman"/>
          <w:sz w:val="22"/>
          <w:szCs w:val="22"/>
        </w:rPr>
        <w:t xml:space="preserve">projektu s názvem </w:t>
      </w:r>
      <w:r w:rsidR="00AF26EE" w:rsidRPr="00AF26EE">
        <w:rPr>
          <w:rFonts w:ascii="Times New Roman" w:hAnsi="Times New Roman"/>
          <w:b/>
          <w:bCs/>
          <w:sz w:val="22"/>
          <w:szCs w:val="22"/>
        </w:rPr>
        <w:t>Zelené dovednosti na UK, reg. č. NPO_UK_MSMT-2114/2024-4, financovaného z Národního plánu obnovy</w:t>
      </w:r>
      <w:r w:rsidR="006A20AC" w:rsidRPr="00AF26EE">
        <w:rPr>
          <w:rFonts w:ascii="Times New Roman" w:hAnsi="Times New Roman"/>
          <w:b/>
          <w:bCs/>
          <w:sz w:val="22"/>
          <w:szCs w:val="22"/>
        </w:rPr>
        <w:t>,</w:t>
      </w:r>
      <w:r w:rsidR="006A20AC" w:rsidRPr="00AF26EE">
        <w:rPr>
          <w:rFonts w:ascii="Times New Roman" w:hAnsi="Times New Roman"/>
          <w:sz w:val="22"/>
          <w:szCs w:val="22"/>
        </w:rPr>
        <w:t xml:space="preserve"> </w:t>
      </w:r>
      <w:r w:rsidR="001A4066" w:rsidRPr="00AF26EE">
        <w:rPr>
          <w:rFonts w:ascii="Times New Roman" w:hAnsi="Times New Roman"/>
          <w:sz w:val="22"/>
          <w:szCs w:val="22"/>
        </w:rPr>
        <w:t>smlouvu</w:t>
      </w:r>
      <w:r w:rsidR="001A4066" w:rsidRPr="00433A77">
        <w:rPr>
          <w:rFonts w:ascii="Times New Roman" w:hAnsi="Times New Roman"/>
          <w:sz w:val="22"/>
          <w:szCs w:val="22"/>
        </w:rPr>
        <w:t xml:space="preserve"> následujícího znění.</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395A4803" w14:textId="77777777" w:rsidR="00AB015B" w:rsidRDefault="00AB015B" w:rsidP="00AB015B">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Pr="00AE7B52">
        <w:rPr>
          <w:rFonts w:ascii="Times New Roman" w:hAnsi="Times New Roman"/>
          <w:sz w:val="22"/>
          <w:szCs w:val="22"/>
        </w:rPr>
        <w:t>Prodávající se zavazuje dodat kupujícímu nov</w:t>
      </w:r>
      <w:r>
        <w:rPr>
          <w:rFonts w:ascii="Times New Roman" w:hAnsi="Times New Roman"/>
          <w:sz w:val="22"/>
          <w:szCs w:val="22"/>
        </w:rPr>
        <w:t>é</w:t>
      </w:r>
      <w:r w:rsidRPr="00AE7B52">
        <w:rPr>
          <w:rFonts w:ascii="Times New Roman" w:hAnsi="Times New Roman"/>
          <w:sz w:val="22"/>
          <w:szCs w:val="22"/>
        </w:rPr>
        <w:t>, nepoužit</w:t>
      </w:r>
      <w:r>
        <w:rPr>
          <w:rFonts w:ascii="Times New Roman" w:hAnsi="Times New Roman"/>
          <w:sz w:val="22"/>
          <w:szCs w:val="22"/>
        </w:rPr>
        <w:t>é</w:t>
      </w:r>
      <w:r w:rsidRPr="00AE7B52">
        <w:rPr>
          <w:rFonts w:ascii="Times New Roman" w:hAnsi="Times New Roman"/>
          <w:sz w:val="22"/>
          <w:szCs w:val="22"/>
        </w:rPr>
        <w:t xml:space="preserve"> a plně </w:t>
      </w:r>
      <w:r>
        <w:rPr>
          <w:rFonts w:ascii="Times New Roman" w:hAnsi="Times New Roman"/>
          <w:sz w:val="22"/>
          <w:szCs w:val="22"/>
        </w:rPr>
        <w:t>funkční</w:t>
      </w:r>
      <w:r>
        <w:rPr>
          <w:rFonts w:ascii="Times New Roman" w:hAnsi="Times New Roman"/>
          <w:b/>
          <w:sz w:val="22"/>
          <w:szCs w:val="22"/>
        </w:rPr>
        <w:t xml:space="preserve"> </w:t>
      </w:r>
      <w:r w:rsidRPr="00721869">
        <w:rPr>
          <w:rFonts w:ascii="Times New Roman" w:hAnsi="Times New Roman"/>
          <w:bCs/>
          <w:sz w:val="22"/>
          <w:szCs w:val="22"/>
        </w:rPr>
        <w:t>laboratorní přístroj</w:t>
      </w:r>
      <w:r>
        <w:rPr>
          <w:rFonts w:ascii="Times New Roman" w:hAnsi="Times New Roman"/>
          <w:bCs/>
          <w:sz w:val="22"/>
          <w:szCs w:val="22"/>
        </w:rPr>
        <w:t>e</w:t>
      </w:r>
      <w:r w:rsidRPr="00AE7B52">
        <w:rPr>
          <w:rFonts w:ascii="Times New Roman" w:hAnsi="Times New Roman"/>
          <w:sz w:val="22"/>
          <w:szCs w:val="22"/>
        </w:rPr>
        <w:t xml:space="preserve"> tak, jak je kvalitativně i kvantitativně specifikován</w:t>
      </w:r>
      <w:r>
        <w:rPr>
          <w:rFonts w:ascii="Times New Roman" w:hAnsi="Times New Roman"/>
          <w:sz w:val="22"/>
          <w:szCs w:val="22"/>
        </w:rPr>
        <w:t>o</w:t>
      </w:r>
      <w:r w:rsidRPr="00AE7B52">
        <w:rPr>
          <w:rFonts w:ascii="Times New Roman" w:hAnsi="Times New Roman"/>
          <w:sz w:val="22"/>
          <w:szCs w:val="22"/>
        </w:rPr>
        <w:t xml:space="preserve"> v příloze č. 1 (Specifikace předmětu plnění) této smlouvy, včetně všech nezbytných dokladů potřebných k používání </w:t>
      </w:r>
      <w:r w:rsidRPr="00DA5327">
        <w:rPr>
          <w:rFonts w:ascii="Times New Roman" w:hAnsi="Times New Roman"/>
          <w:bCs/>
          <w:sz w:val="22"/>
          <w:szCs w:val="22"/>
        </w:rPr>
        <w:t>laboratorní</w:t>
      </w:r>
      <w:r>
        <w:rPr>
          <w:rFonts w:ascii="Times New Roman" w:hAnsi="Times New Roman"/>
          <w:bCs/>
          <w:sz w:val="22"/>
          <w:szCs w:val="22"/>
        </w:rPr>
        <w:t xml:space="preserve">ch přístrojů </w:t>
      </w:r>
      <w:r w:rsidRPr="00AE7B52">
        <w:rPr>
          <w:rFonts w:ascii="Times New Roman" w:hAnsi="Times New Roman"/>
          <w:sz w:val="22"/>
          <w:szCs w:val="22"/>
        </w:rPr>
        <w:t>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57897707" w14:textId="77777777" w:rsidR="00AB015B" w:rsidRDefault="00AB015B" w:rsidP="00AB015B">
      <w:pPr>
        <w:pStyle w:val="Nadpis2"/>
        <w:rPr>
          <w:rFonts w:ascii="Times New Roman" w:hAnsi="Times New Roman"/>
        </w:rPr>
      </w:pPr>
      <w:r>
        <w:rPr>
          <w:rFonts w:ascii="Times New Roman" w:hAnsi="Times New Roman"/>
        </w:rPr>
        <w:t>2.2</w:t>
      </w:r>
      <w:r>
        <w:rPr>
          <w:rFonts w:ascii="Times New Roman" w:hAnsi="Times New Roman"/>
        </w:rPr>
        <w:tab/>
      </w:r>
      <w:r>
        <w:rPr>
          <w:rFonts w:ascii="Times New Roman" w:hAnsi="Times New Roman"/>
        </w:rPr>
        <w:tab/>
        <w:t>Součástí plnění Prodávajícího je také:</w:t>
      </w:r>
    </w:p>
    <w:p w14:paraId="4FA81C83" w14:textId="77777777" w:rsidR="00AB015B" w:rsidRDefault="00AB015B" w:rsidP="00AB015B">
      <w:pPr>
        <w:pStyle w:val="Odrazka2"/>
        <w:numPr>
          <w:ilvl w:val="2"/>
          <w:numId w:val="5"/>
        </w:numPr>
        <w:ind w:left="1276"/>
        <w:rPr>
          <w:rFonts w:ascii="Times New Roman" w:hAnsi="Times New Roman"/>
        </w:rPr>
      </w:pPr>
      <w:r>
        <w:rPr>
          <w:rFonts w:ascii="Times New Roman" w:hAnsi="Times New Roman"/>
        </w:rPr>
        <w:t>doprava přístroje do místa plnění, jeho vybalení a kontrola,</w:t>
      </w:r>
    </w:p>
    <w:p w14:paraId="7F5AA6AD"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připojení přístroje k instalačním rozvodům v místě plnění (pakliže je to k provozu přístroje nezbytné) včetně jeho uvedení do provozu a seřízení,</w:t>
      </w:r>
    </w:p>
    <w:p w14:paraId="53B939ED"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demonstrace provozu přístroje a ověření parametrů požadovaných Kupujícím.</w:t>
      </w:r>
    </w:p>
    <w:p w14:paraId="03F01557"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 xml:space="preserve">zpracování a předání instrukcí a návodů k obsluze a údržbě přístroje v českém nebo anglickém jazyce Kupujícímu, a to elektronicky a v tištěné podobě, </w:t>
      </w:r>
    </w:p>
    <w:p w14:paraId="2C6F4EB9" w14:textId="70DDA95C"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 xml:space="preserve">provedení zaškolení osob určených Kupujícím k obsluze přístroje v českém jazyce v rozsahu </w:t>
      </w:r>
      <w:r w:rsidRPr="002678D8">
        <w:rPr>
          <w:rFonts w:ascii="Times New Roman" w:hAnsi="Times New Roman"/>
          <w:b/>
          <w:bCs/>
        </w:rPr>
        <w:t xml:space="preserve">1 školení trvajícího min. </w:t>
      </w:r>
      <w:r w:rsidR="00F07837">
        <w:rPr>
          <w:rFonts w:ascii="Times New Roman" w:hAnsi="Times New Roman"/>
          <w:b/>
          <w:bCs/>
        </w:rPr>
        <w:t>1</w:t>
      </w:r>
      <w:r w:rsidRPr="002678D8">
        <w:rPr>
          <w:rFonts w:ascii="Times New Roman" w:hAnsi="Times New Roman"/>
          <w:b/>
          <w:bCs/>
        </w:rPr>
        <w:t xml:space="preserve"> hodin</w:t>
      </w:r>
      <w:r w:rsidR="00F07837">
        <w:rPr>
          <w:rFonts w:ascii="Times New Roman" w:hAnsi="Times New Roman"/>
          <w:b/>
          <w:bCs/>
        </w:rPr>
        <w:t>u</w:t>
      </w:r>
      <w:r>
        <w:rPr>
          <w:rFonts w:ascii="Times New Roman" w:hAnsi="Times New Roman"/>
        </w:rPr>
        <w:t>, a to v sídle Farmaceutické fakulty UK v Hradci Králové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w:t>
      </w:r>
    </w:p>
    <w:p w14:paraId="452BD7D0"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předání prohlášení o shodě dodaného přístroje se schválenými standardy,</w:t>
      </w:r>
    </w:p>
    <w:p w14:paraId="3E0320C7"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poskytnutí oprávnění k výkonu práva užít software (licenci) tam, kde je to pro řádné užívání předmětu plnění nezbytné či tak Prodávající požaduje dle Smlouvy,</w:t>
      </w:r>
    </w:p>
    <w:p w14:paraId="190D4072"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vypracování seznamu dodaných položek pro účely kontroly,</w:t>
      </w:r>
    </w:p>
    <w:p w14:paraId="2C6E1A33" w14:textId="77777777" w:rsidR="00AB015B" w:rsidRDefault="00AB015B" w:rsidP="00AB015B">
      <w:pPr>
        <w:pStyle w:val="Odrazka2"/>
        <w:numPr>
          <w:ilvl w:val="1"/>
          <w:numId w:val="6"/>
        </w:numPr>
        <w:tabs>
          <w:tab w:val="num" w:pos="1276"/>
        </w:tabs>
        <w:ind w:firstLine="57"/>
        <w:rPr>
          <w:rFonts w:ascii="Times New Roman" w:hAnsi="Times New Roman"/>
        </w:rPr>
      </w:pPr>
      <w:r>
        <w:rPr>
          <w:rFonts w:ascii="Times New Roman" w:hAnsi="Times New Roman"/>
        </w:rPr>
        <w:t>odvoz a ekologická likvidace nepotřebných obalů a dalších materiálů použitých Prodávajícím při plnění Smlouvy,</w:t>
      </w:r>
    </w:p>
    <w:p w14:paraId="16EFE6A1" w14:textId="77777777" w:rsidR="00AB015B" w:rsidRDefault="00AB015B" w:rsidP="00AB015B">
      <w:pPr>
        <w:pStyle w:val="Odrazka2"/>
        <w:numPr>
          <w:ilvl w:val="1"/>
          <w:numId w:val="6"/>
        </w:numPr>
        <w:tabs>
          <w:tab w:val="left" w:pos="1843"/>
          <w:tab w:val="left" w:pos="1985"/>
        </w:tabs>
        <w:ind w:firstLine="57"/>
        <w:rPr>
          <w:rFonts w:ascii="Times New Roman" w:hAnsi="Times New Roman"/>
        </w:rPr>
      </w:pPr>
      <w:r>
        <w:rPr>
          <w:rFonts w:ascii="Times New Roman" w:hAnsi="Times New Roman"/>
        </w:rPr>
        <w:t>záruční servis Prodávajícím, a to ve lhůtách uvedených v čl. VI. této smlouvy,</w:t>
      </w:r>
    </w:p>
    <w:p w14:paraId="0C6F68A3" w14:textId="77777777" w:rsidR="00AB015B" w:rsidRDefault="00AB015B" w:rsidP="00AB015B">
      <w:pPr>
        <w:pStyle w:val="Odrazka2"/>
        <w:numPr>
          <w:ilvl w:val="1"/>
          <w:numId w:val="6"/>
        </w:numPr>
        <w:tabs>
          <w:tab w:val="num" w:pos="1276"/>
          <w:tab w:val="left" w:pos="1843"/>
          <w:tab w:val="left" w:pos="1985"/>
        </w:tabs>
        <w:ind w:firstLine="57"/>
        <w:rPr>
          <w:rFonts w:ascii="Times New Roman" w:hAnsi="Times New Roman"/>
        </w:rPr>
      </w:pPr>
      <w:r>
        <w:rPr>
          <w:rFonts w:ascii="Times New Roman" w:hAnsi="Times New Roman"/>
        </w:rPr>
        <w:t xml:space="preserve">závazek zajištění servisních prohlídek, </w:t>
      </w:r>
    </w:p>
    <w:p w14:paraId="290DE6E5" w14:textId="77777777" w:rsidR="00AB015B" w:rsidRDefault="00AB015B" w:rsidP="00AB015B">
      <w:pPr>
        <w:pStyle w:val="Odrazka2"/>
        <w:numPr>
          <w:ilvl w:val="1"/>
          <w:numId w:val="6"/>
        </w:numPr>
        <w:tabs>
          <w:tab w:val="num" w:pos="1276"/>
          <w:tab w:val="left" w:pos="1843"/>
          <w:tab w:val="left" w:pos="1985"/>
        </w:tabs>
        <w:ind w:firstLine="57"/>
        <w:rPr>
          <w:rFonts w:ascii="Times New Roman" w:hAnsi="Times New Roman"/>
        </w:rPr>
      </w:pPr>
      <w:r>
        <w:rPr>
          <w:rFonts w:ascii="Times New Roman" w:hAnsi="Times New Roman"/>
        </w:rPr>
        <w:t>závazek poskytování telefonické a internetové technické podpory.</w:t>
      </w:r>
    </w:p>
    <w:p w14:paraId="155FA314" w14:textId="77777777" w:rsidR="00AB015B" w:rsidRPr="00283AB7" w:rsidRDefault="00AB015B" w:rsidP="00AB015B">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p>
    <w:p w14:paraId="10FFFF79" w14:textId="77777777" w:rsidR="00AB015B" w:rsidRPr="00283AB7" w:rsidRDefault="00AB015B" w:rsidP="00AB015B">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w:t>
      </w:r>
      <w:r>
        <w:rPr>
          <w:rFonts w:ascii="Times New Roman" w:hAnsi="Times New Roman"/>
          <w:sz w:val="22"/>
          <w:szCs w:val="22"/>
        </w:rPr>
        <w:t>3</w:t>
      </w:r>
      <w:r>
        <w:rPr>
          <w:rFonts w:ascii="Times New Roman" w:hAnsi="Times New Roman"/>
          <w:sz w:val="22"/>
          <w:szCs w:val="22"/>
        </w:rPr>
        <w:tab/>
      </w:r>
      <w:r w:rsidRPr="00283AB7">
        <w:rPr>
          <w:rFonts w:ascii="Times New Roman" w:hAnsi="Times New Roman"/>
          <w:sz w:val="22"/>
          <w:szCs w:val="22"/>
        </w:rPr>
        <w:t>Kupující se zavazuje zboží řádně a včas dodané prodávajícím převzít a zaplatit za něj sjednanou kupní cenu způsobem a v termínu sjednaném touto smlouvou.</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1D544EEC"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 xml:space="preserve">ve lhůtě </w:t>
      </w:r>
      <w:r w:rsidR="00752811">
        <w:rPr>
          <w:rFonts w:ascii="Times New Roman" w:hAnsi="Times New Roman"/>
          <w:b/>
          <w:sz w:val="22"/>
          <w:szCs w:val="22"/>
        </w:rPr>
        <w:t xml:space="preserve">do </w:t>
      </w:r>
      <w:r w:rsidR="00AB015B">
        <w:rPr>
          <w:rFonts w:ascii="Times New Roman" w:hAnsi="Times New Roman"/>
          <w:b/>
          <w:sz w:val="22"/>
          <w:szCs w:val="22"/>
        </w:rPr>
        <w:t>5</w:t>
      </w:r>
      <w:r w:rsidR="00752811">
        <w:rPr>
          <w:rFonts w:ascii="Times New Roman" w:hAnsi="Times New Roman"/>
          <w:b/>
          <w:sz w:val="22"/>
          <w:szCs w:val="22"/>
        </w:rPr>
        <w:t xml:space="preserve"> týdnů</w:t>
      </w:r>
      <w:r w:rsidRPr="00283AB7">
        <w:rPr>
          <w:rFonts w:ascii="Times New Roman" w:hAnsi="Times New Roman"/>
          <w:sz w:val="22"/>
          <w:szCs w:val="22"/>
        </w:rPr>
        <w:t xml:space="preserve"> ode dne </w:t>
      </w:r>
      <w:r w:rsidR="00752811">
        <w:rPr>
          <w:rFonts w:ascii="Times New Roman" w:hAnsi="Times New Roman"/>
          <w:sz w:val="22"/>
          <w:szCs w:val="22"/>
        </w:rPr>
        <w:t>nabytí účinnosti</w:t>
      </w:r>
      <w:r w:rsidR="001A3152">
        <w:rPr>
          <w:rFonts w:ascii="Times New Roman" w:hAnsi="Times New Roman"/>
          <w:sz w:val="22"/>
          <w:szCs w:val="22"/>
        </w:rPr>
        <w:t xml:space="preserve"> </w:t>
      </w:r>
      <w:r w:rsidRPr="00283AB7">
        <w:rPr>
          <w:rFonts w:ascii="Times New Roman" w:hAnsi="Times New Roman"/>
          <w:sz w:val="22"/>
          <w:szCs w:val="22"/>
        </w:rPr>
        <w:t>této smlouvy</w:t>
      </w:r>
      <w:r w:rsidR="001A3152" w:rsidRPr="00283AB7">
        <w:rPr>
          <w:rFonts w:ascii="Times New Roman" w:hAnsi="Times New Roman"/>
          <w:sz w:val="22"/>
          <w:szCs w:val="22"/>
        </w:rPr>
        <w:t>.</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w:t>
      </w:r>
      <w:r w:rsidR="00127E88">
        <w:rPr>
          <w:rFonts w:ascii="Times New Roman" w:hAnsi="Times New Roman"/>
          <w:sz w:val="22"/>
          <w:szCs w:val="22"/>
        </w:rPr>
        <w:t>1</w:t>
      </w:r>
      <w:r w:rsidRPr="00283AB7">
        <w:rPr>
          <w:rFonts w:ascii="Times New Roman" w:hAnsi="Times New Roman"/>
          <w:sz w:val="22"/>
          <w:szCs w:val="22"/>
        </w:rPr>
        <w:t xml:space="preserve">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938133E" w:rsidR="009F0199" w:rsidRPr="00283AB7" w:rsidRDefault="009F0199" w:rsidP="00433A7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 xml:space="preserve">Farmaceutická </w:t>
      </w:r>
      <w:r w:rsidR="00F435D4" w:rsidRPr="00661C7B">
        <w:rPr>
          <w:rFonts w:ascii="Times New Roman" w:hAnsi="Times New Roman"/>
          <w:sz w:val="22"/>
          <w:szCs w:val="22"/>
        </w:rPr>
        <w:t>fakulta</w:t>
      </w:r>
      <w:r w:rsidR="004F7A0F" w:rsidRPr="00661C7B">
        <w:rPr>
          <w:rFonts w:ascii="Times New Roman" w:hAnsi="Times New Roman"/>
          <w:sz w:val="22"/>
          <w:szCs w:val="22"/>
        </w:rPr>
        <w:t>,</w:t>
      </w:r>
      <w:r w:rsidR="00F435D4" w:rsidRPr="00661C7B">
        <w:rPr>
          <w:rFonts w:ascii="Times New Roman" w:hAnsi="Times New Roman"/>
          <w:sz w:val="22"/>
          <w:szCs w:val="22"/>
        </w:rPr>
        <w:t xml:space="preserve"> </w:t>
      </w:r>
      <w:r w:rsidRPr="00661C7B">
        <w:rPr>
          <w:rFonts w:ascii="Times New Roman" w:hAnsi="Times New Roman"/>
          <w:sz w:val="22"/>
          <w:szCs w:val="22"/>
        </w:rPr>
        <w:t>na adrese</w:t>
      </w:r>
      <w:r w:rsidRPr="00283AB7">
        <w:rPr>
          <w:rFonts w:ascii="Times New Roman" w:hAnsi="Times New Roman"/>
          <w:sz w:val="22"/>
          <w:szCs w:val="22"/>
        </w:rPr>
        <w:t xml:space="preserve"> </w:t>
      </w:r>
      <w:r>
        <w:rPr>
          <w:rFonts w:ascii="Times New Roman" w:hAnsi="Times New Roman"/>
          <w:sz w:val="22"/>
          <w:szCs w:val="22"/>
        </w:rPr>
        <w:t>Akademika Heyrovského 1203/8, Hradec Králové, PSČ 500 0</w:t>
      </w:r>
      <w:r w:rsidR="00A320D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Prodávající je povinen telefonicky nebo</w:t>
      </w:r>
      <w:r w:rsidR="00433A77">
        <w:rPr>
          <w:rFonts w:ascii="Times New Roman" w:hAnsi="Times New Roman"/>
          <w:sz w:val="22"/>
          <w:szCs w:val="22"/>
        </w:rPr>
        <w:t xml:space="preserve"> </w:t>
      </w:r>
      <w:r>
        <w:rPr>
          <w:rFonts w:ascii="Times New Roman" w:hAnsi="Times New Roman"/>
          <w:sz w:val="22"/>
          <w:szCs w:val="22"/>
        </w:rPr>
        <w:t>e-mailem vyrozumět osobu oprávněnou za kupujícího o připravenosti dodat zboží, a to nejméně 2 pracovní dny předem.</w:t>
      </w:r>
    </w:p>
    <w:p w14:paraId="06329BD1" w14:textId="16343E14"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20F52">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176264A8"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A437A2" w:rsidRPr="00A437A2">
        <w:rPr>
          <w:rFonts w:ascii="Avenir Next" w:eastAsiaTheme="minorHAnsi" w:hAnsi="Avenir Next" w:cs="Avenir Next"/>
          <w:b/>
          <w:bCs/>
          <w:color w:val="000000"/>
          <w:sz w:val="20"/>
          <w:szCs w:val="20"/>
          <w:lang w:eastAsia="en-US"/>
        </w:rPr>
        <w:t xml:space="preserve"> </w:t>
      </w:r>
      <w:r w:rsidR="00A437A2" w:rsidRPr="00A437A2">
        <w:rPr>
          <w:rFonts w:ascii="Times New Roman" w:hAnsi="Times New Roman"/>
          <w:b/>
          <w:bCs/>
          <w:sz w:val="22"/>
          <w:szCs w:val="22"/>
        </w:rPr>
        <w:t>123.920</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2A2C1D1E"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A94B74">
        <w:rPr>
          <w:rFonts w:ascii="Times New Roman" w:hAnsi="Times New Roman"/>
          <w:sz w:val="22"/>
          <w:szCs w:val="22"/>
        </w:rPr>
        <w:t>,</w:t>
      </w:r>
      <w:r w:rsidR="00A94B74" w:rsidRPr="00A94B74">
        <w:rPr>
          <w:rFonts w:ascii="Times New Roman" w:hAnsi="Times New Roman"/>
          <w:sz w:val="22"/>
          <w:szCs w:val="22"/>
        </w:rPr>
        <w:t xml:space="preserve"> </w:t>
      </w:r>
      <w:r w:rsidR="00A94B74">
        <w:rPr>
          <w:rFonts w:ascii="Times New Roman" w:hAnsi="Times New Roman"/>
          <w:sz w:val="22"/>
          <w:szCs w:val="22"/>
        </w:rPr>
        <w:t>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437181B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8"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lastRenderedPageBreak/>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D669F36" w14:textId="732BA421" w:rsidR="00A320D4" w:rsidRPr="00614B02" w:rsidRDefault="00976AFC" w:rsidP="00D77717">
      <w:pPr>
        <w:spacing w:after="60" w:line="276" w:lineRule="auto"/>
        <w:ind w:left="567"/>
        <w:jc w:val="both"/>
        <w:rPr>
          <w:rFonts w:ascii="Times New Roman" w:hAnsi="Times New Roman"/>
          <w:sz w:val="22"/>
          <w:szCs w:val="22"/>
        </w:rPr>
      </w:pPr>
      <w:r w:rsidRPr="00433A77">
        <w:rPr>
          <w:rFonts w:ascii="Times New Roman" w:hAnsi="Times New Roman"/>
          <w:sz w:val="22"/>
          <w:szCs w:val="22"/>
        </w:rPr>
        <w:t xml:space="preserve">Faktura bude obsahovat také označení: </w:t>
      </w:r>
      <w:r w:rsidRPr="00433A77">
        <w:rPr>
          <w:rFonts w:ascii="Times New Roman" w:hAnsi="Times New Roman"/>
          <w:b/>
          <w:bCs/>
          <w:sz w:val="22"/>
          <w:szCs w:val="22"/>
        </w:rPr>
        <w:t>VZ:</w:t>
      </w:r>
      <w:bookmarkStart w:id="2" w:name="_Hlk114128893"/>
      <w:bookmarkStart w:id="3" w:name="_Hlk114127701"/>
      <w:r w:rsidR="00433A77" w:rsidRPr="00433A77">
        <w:rPr>
          <w:rFonts w:ascii="Times New Roman" w:hAnsi="Times New Roman"/>
          <w:b/>
          <w:bCs/>
          <w:sz w:val="22"/>
          <w:szCs w:val="22"/>
        </w:rPr>
        <w:t xml:space="preserve"> </w:t>
      </w:r>
      <w:r w:rsidR="00A320D4" w:rsidRPr="00433A77">
        <w:rPr>
          <w:rFonts w:ascii="Times New Roman" w:hAnsi="Times New Roman"/>
          <w:b/>
          <w:bCs/>
          <w:sz w:val="22"/>
          <w:szCs w:val="22"/>
        </w:rPr>
        <w:t>„</w:t>
      </w:r>
      <w:r w:rsidR="00D15727" w:rsidRPr="00D15727">
        <w:rPr>
          <w:rFonts w:ascii="Times New Roman" w:hAnsi="Times New Roman"/>
          <w:b/>
          <w:bCs/>
          <w:sz w:val="22"/>
          <w:szCs w:val="22"/>
        </w:rPr>
        <w:t>FAF UK – dodávka analytických vah na 5 desetinných míst</w:t>
      </w:r>
      <w:r w:rsidR="00A94B74" w:rsidRPr="00614B02">
        <w:rPr>
          <w:rFonts w:ascii="Times New Roman" w:hAnsi="Times New Roman"/>
          <w:b/>
          <w:bCs/>
          <w:sz w:val="22"/>
          <w:szCs w:val="22"/>
        </w:rPr>
        <w:t>“</w:t>
      </w:r>
      <w:bookmarkEnd w:id="2"/>
      <w:r w:rsidR="00A94B74" w:rsidRPr="00614B02">
        <w:rPr>
          <w:rFonts w:ascii="Times New Roman" w:hAnsi="Times New Roman"/>
          <w:sz w:val="22"/>
          <w:szCs w:val="22"/>
        </w:rPr>
        <w:t>.</w:t>
      </w:r>
      <w:bookmarkEnd w:id="3"/>
      <w:r w:rsidR="00A320D4" w:rsidRPr="00614B02">
        <w:rPr>
          <w:rFonts w:ascii="Times New Roman" w:hAnsi="Times New Roman"/>
          <w:sz w:val="22"/>
          <w:szCs w:val="22"/>
        </w:rPr>
        <w:t xml:space="preserve"> </w:t>
      </w:r>
    </w:p>
    <w:p w14:paraId="35BDB1D5" w14:textId="0B783DB8" w:rsidR="005A0F20" w:rsidRPr="00614B02" w:rsidRDefault="005A0F20" w:rsidP="005A0F20">
      <w:pPr>
        <w:spacing w:after="60" w:line="276" w:lineRule="auto"/>
        <w:ind w:left="567"/>
        <w:jc w:val="both"/>
        <w:rPr>
          <w:rFonts w:ascii="Times New Roman" w:hAnsi="Times New Roman"/>
          <w:b/>
          <w:bCs/>
          <w:sz w:val="22"/>
          <w:szCs w:val="22"/>
        </w:rPr>
      </w:pPr>
      <w:r w:rsidRPr="00614B02">
        <w:rPr>
          <w:rFonts w:ascii="Times New Roman" w:hAnsi="Times New Roman"/>
          <w:b/>
          <w:bCs/>
          <w:sz w:val="22"/>
          <w:szCs w:val="22"/>
        </w:rPr>
        <w:t xml:space="preserve">VZ je </w:t>
      </w:r>
      <w:r w:rsidR="00614B02" w:rsidRPr="00614B02">
        <w:rPr>
          <w:rFonts w:ascii="Times New Roman" w:hAnsi="Times New Roman"/>
          <w:b/>
          <w:bCs/>
          <w:sz w:val="22"/>
          <w:szCs w:val="22"/>
        </w:rPr>
        <w:t>součástí projektu</w:t>
      </w:r>
      <w:r w:rsidRPr="00614B02">
        <w:rPr>
          <w:rFonts w:ascii="Times New Roman" w:hAnsi="Times New Roman"/>
          <w:b/>
          <w:bCs/>
          <w:sz w:val="22"/>
          <w:szCs w:val="22"/>
        </w:rPr>
        <w:t> </w:t>
      </w:r>
      <w:r w:rsidR="00614B02" w:rsidRPr="00614B02">
        <w:rPr>
          <w:rFonts w:ascii="Times New Roman" w:hAnsi="Times New Roman"/>
          <w:b/>
          <w:bCs/>
          <w:sz w:val="22"/>
          <w:szCs w:val="22"/>
        </w:rPr>
        <w:t>Zelené dovednosti na UK, reg. č. NPO_UK_MSMT-2114/2024-4, financovaného z Národního plánu obnovy</w:t>
      </w:r>
      <w:r w:rsidRPr="00614B02">
        <w:rPr>
          <w:rFonts w:ascii="Times New Roman" w:hAnsi="Times New Roman"/>
          <w:b/>
          <w:bCs/>
          <w:sz w:val="22"/>
          <w:szCs w:val="22"/>
        </w:rPr>
        <w:t>.</w:t>
      </w:r>
    </w:p>
    <w:p w14:paraId="5B36758F" w14:textId="7C46732E" w:rsidR="00976AFC" w:rsidRPr="001A0E1D" w:rsidRDefault="00976AFC" w:rsidP="005A0F20">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r>
      <w:r w:rsidRPr="005A0F20">
        <w:rPr>
          <w:rFonts w:ascii="Times New Roman" w:hAnsi="Times New Roman"/>
          <w:sz w:val="22"/>
          <w:szCs w:val="22"/>
        </w:rPr>
        <w:t>Splatnost faktury se sjednává na 30 dnů</w:t>
      </w:r>
      <w:r w:rsidRPr="001A0E1D">
        <w:rPr>
          <w:rFonts w:ascii="Times New Roman" w:hAnsi="Times New Roman"/>
          <w:sz w:val="22"/>
          <w:szCs w:val="22"/>
        </w:rPr>
        <w:t xml:space="preserve">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6E995018"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13010239" w:rsidR="00976AFC"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28BEF1AA" w14:textId="77777777" w:rsidR="00CA6AA7" w:rsidRDefault="00CA6AA7" w:rsidP="00976AFC">
      <w:pPr>
        <w:spacing w:after="60" w:line="276" w:lineRule="auto"/>
        <w:ind w:left="567" w:hanging="567"/>
        <w:jc w:val="both"/>
        <w:rPr>
          <w:rFonts w:ascii="Times New Roman" w:hAnsi="Times New Roman"/>
          <w:sz w:val="22"/>
          <w:szCs w:val="22"/>
        </w:rPr>
      </w:pPr>
    </w:p>
    <w:p w14:paraId="2C69E677" w14:textId="77777777" w:rsidR="002E47D0" w:rsidRDefault="002E47D0" w:rsidP="00976AFC">
      <w:pPr>
        <w:spacing w:after="60" w:line="276" w:lineRule="auto"/>
        <w:ind w:left="567" w:hanging="567"/>
        <w:jc w:val="both"/>
        <w:rPr>
          <w:rFonts w:ascii="Times New Roman" w:hAnsi="Times New Roman"/>
          <w:sz w:val="22"/>
          <w:szCs w:val="22"/>
        </w:rPr>
      </w:pPr>
    </w:p>
    <w:p w14:paraId="28A1AA0D" w14:textId="77777777" w:rsidR="002E47D0" w:rsidRPr="00283AB7" w:rsidRDefault="002E47D0" w:rsidP="00976AFC">
      <w:pPr>
        <w:spacing w:after="60" w:line="276" w:lineRule="auto"/>
        <w:ind w:left="567" w:hanging="567"/>
        <w:jc w:val="both"/>
        <w:rPr>
          <w:rFonts w:ascii="Times New Roman" w:hAnsi="Times New Roman"/>
          <w:sz w:val="22"/>
          <w:szCs w:val="22"/>
        </w:rPr>
      </w:pP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37588A55"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A0CFB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Jméno:</w:t>
      </w:r>
      <w:r w:rsidR="00B93DB2">
        <w:rPr>
          <w:rFonts w:ascii="Times New Roman" w:hAnsi="Times New Roman"/>
          <w:sz w:val="22"/>
          <w:szCs w:val="22"/>
        </w:rPr>
        <w:t xml:space="preserve"> </w:t>
      </w:r>
      <w:r w:rsidR="00612CD4">
        <w:rPr>
          <w:rFonts w:ascii="Times New Roman" w:hAnsi="Times New Roman"/>
          <w:b/>
          <w:bCs/>
          <w:sz w:val="22"/>
          <w:szCs w:val="22"/>
        </w:rPr>
        <w:t>XXX</w:t>
      </w:r>
      <w:r>
        <w:rPr>
          <w:rFonts w:ascii="Times New Roman" w:hAnsi="Times New Roman"/>
          <w:b/>
          <w:sz w:val="22"/>
          <w:szCs w:val="22"/>
        </w:rPr>
        <w:t xml:space="preserve"> </w:t>
      </w:r>
      <w:r w:rsidR="00283AB7" w:rsidRPr="0004486A">
        <w:rPr>
          <w:rFonts w:ascii="Times New Roman" w:hAnsi="Times New Roman"/>
          <w:sz w:val="22"/>
          <w:szCs w:val="22"/>
        </w:rPr>
        <w:t>email</w:t>
      </w:r>
      <w:r w:rsidR="00283AB7" w:rsidRPr="00B93DB2">
        <w:rPr>
          <w:rFonts w:ascii="Times New Roman" w:hAnsi="Times New Roman"/>
          <w:sz w:val="22"/>
          <w:szCs w:val="22"/>
        </w:rPr>
        <w:t>:</w:t>
      </w:r>
      <w:r w:rsidRPr="00B93DB2">
        <w:rPr>
          <w:rFonts w:ascii="Times New Roman" w:hAnsi="Times New Roman"/>
          <w:b/>
          <w:sz w:val="22"/>
          <w:szCs w:val="22"/>
        </w:rPr>
        <w:t xml:space="preserve"> </w:t>
      </w:r>
      <w:r w:rsidR="00612CD4">
        <w:rPr>
          <w:rFonts w:ascii="Times New Roman" w:hAnsi="Times New Roman"/>
          <w:b/>
          <w:sz w:val="22"/>
          <w:szCs w:val="22"/>
        </w:rPr>
        <w:t>XXX</w:t>
      </w:r>
      <w:r w:rsidRPr="00B93DB2">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612CD4">
        <w:rPr>
          <w:rFonts w:ascii="Times New Roman" w:hAnsi="Times New Roman"/>
          <w:sz w:val="22"/>
          <w:szCs w:val="22"/>
        </w:rPr>
        <w:t>XXX</w:t>
      </w:r>
    </w:p>
    <w:p w14:paraId="1A861E58" w14:textId="02A6D8B0" w:rsidR="00283AB7"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4" w:name="_Ref275511911"/>
      <w:r w:rsidR="00F85526">
        <w:rPr>
          <w:rFonts w:ascii="Times New Roman" w:hAnsi="Times New Roman"/>
          <w:sz w:val="22"/>
          <w:szCs w:val="22"/>
        </w:rPr>
        <w:t>Osob</w:t>
      </w:r>
      <w:r w:rsidR="00DF184E">
        <w:rPr>
          <w:rFonts w:ascii="Times New Roman" w:hAnsi="Times New Roman"/>
          <w:sz w:val="22"/>
          <w:szCs w:val="22"/>
        </w:rPr>
        <w:t xml:space="preserve">ou </w:t>
      </w:r>
      <w:r w:rsidR="00F85526">
        <w:rPr>
          <w:rFonts w:ascii="Times New Roman" w:hAnsi="Times New Roman"/>
          <w:sz w:val="22"/>
          <w:szCs w:val="22"/>
        </w:rPr>
        <w:t>oprávněn</w:t>
      </w:r>
      <w:r w:rsidR="00DF184E">
        <w:rPr>
          <w:rFonts w:ascii="Times New Roman" w:hAnsi="Times New Roman"/>
          <w:sz w:val="22"/>
          <w:szCs w:val="22"/>
        </w:rPr>
        <w:t>ou</w:t>
      </w:r>
      <w:r w:rsidR="00F85526">
        <w:rPr>
          <w:rFonts w:ascii="Times New Roman" w:hAnsi="Times New Roman"/>
          <w:sz w:val="22"/>
          <w:szCs w:val="22"/>
        </w:rPr>
        <w:t xml:space="preserve"> za kupujícího k převzetí zboží j</w:t>
      </w:r>
      <w:r w:rsidR="00DF184E">
        <w:rPr>
          <w:rFonts w:ascii="Times New Roman" w:hAnsi="Times New Roman"/>
          <w:sz w:val="22"/>
          <w:szCs w:val="22"/>
        </w:rPr>
        <w:t>e:</w:t>
      </w:r>
    </w:p>
    <w:p w14:paraId="563C9C58" w14:textId="363ABD6D" w:rsidR="00DF184E" w:rsidRPr="00433A77" w:rsidRDefault="00DF184E" w:rsidP="00F85526">
      <w:pPr>
        <w:spacing w:after="60" w:line="276" w:lineRule="auto"/>
        <w:ind w:left="567" w:hanging="567"/>
        <w:jc w:val="both"/>
        <w:rPr>
          <w:rFonts w:ascii="Times New Roman" w:hAnsi="Times New Roman"/>
          <w:b/>
          <w:bCs/>
          <w:sz w:val="22"/>
          <w:szCs w:val="22"/>
        </w:rPr>
      </w:pPr>
      <w:r>
        <w:rPr>
          <w:rFonts w:ascii="Times New Roman" w:hAnsi="Times New Roman"/>
          <w:sz w:val="22"/>
          <w:szCs w:val="22"/>
        </w:rPr>
        <w:tab/>
      </w:r>
      <w:r w:rsidR="00433A77" w:rsidRPr="00433A77">
        <w:rPr>
          <w:rFonts w:ascii="Times New Roman" w:hAnsi="Times New Roman"/>
          <w:b/>
          <w:bCs/>
          <w:sz w:val="22"/>
          <w:szCs w:val="22"/>
          <w:shd w:val="clear" w:color="auto" w:fill="FFFFFF"/>
        </w:rPr>
        <w:t>prof. Ing. Lucie Cahlíková, Ph.D.</w:t>
      </w:r>
      <w:r w:rsidRPr="00433A77">
        <w:rPr>
          <w:rFonts w:ascii="Times New Roman" w:hAnsi="Times New Roman"/>
          <w:b/>
          <w:bCs/>
          <w:sz w:val="22"/>
          <w:szCs w:val="22"/>
        </w:rPr>
        <w:t>; e-mail</w:t>
      </w:r>
      <w:r w:rsidR="00612CD4">
        <w:rPr>
          <w:rFonts w:ascii="Times New Roman" w:hAnsi="Times New Roman"/>
          <w:b/>
          <w:bCs/>
          <w:sz w:val="22"/>
          <w:szCs w:val="22"/>
        </w:rPr>
        <w:t>: XXX</w:t>
      </w:r>
      <w:r w:rsidR="00433A77" w:rsidRPr="00433A77">
        <w:rPr>
          <w:rFonts w:ascii="Times New Roman" w:hAnsi="Times New Roman"/>
          <w:sz w:val="22"/>
          <w:szCs w:val="22"/>
        </w:rPr>
        <w:t xml:space="preserve">; </w:t>
      </w:r>
      <w:r w:rsidRPr="00433A77">
        <w:rPr>
          <w:rFonts w:ascii="Times New Roman" w:hAnsi="Times New Roman"/>
          <w:sz w:val="22"/>
          <w:szCs w:val="22"/>
        </w:rPr>
        <w:t>tel:</w:t>
      </w:r>
      <w:r w:rsidRPr="00433A77">
        <w:rPr>
          <w:rFonts w:ascii="Times New Roman" w:hAnsi="Times New Roman"/>
          <w:b/>
          <w:bCs/>
          <w:sz w:val="22"/>
          <w:szCs w:val="22"/>
        </w:rPr>
        <w:t xml:space="preserve"> </w:t>
      </w:r>
      <w:r w:rsidR="00612CD4">
        <w:rPr>
          <w:rFonts w:ascii="Times New Roman" w:hAnsi="Times New Roman"/>
          <w:b/>
          <w:bCs/>
          <w:sz w:val="22"/>
          <w:szCs w:val="22"/>
        </w:rPr>
        <w:t>XXX</w:t>
      </w:r>
      <w:r w:rsidR="00721869" w:rsidRPr="00433A77">
        <w:rPr>
          <w:rFonts w:ascii="Times New Roman" w:hAnsi="Times New Roman"/>
          <w:b/>
          <w:bCs/>
          <w:sz w:val="22"/>
          <w:szCs w:val="22"/>
        </w:rPr>
        <w:t>.</w:t>
      </w:r>
    </w:p>
    <w:p w14:paraId="2646E0E6" w14:textId="25FCA74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w:t>
      </w:r>
      <w:r w:rsidR="00DF184E">
        <w:rPr>
          <w:rFonts w:ascii="Times New Roman" w:hAnsi="Times New Roman"/>
          <w:sz w:val="22"/>
          <w:szCs w:val="22"/>
        </w:rPr>
        <w:t> </w:t>
      </w:r>
      <w:r w:rsidR="00DF184E" w:rsidRPr="00DF184E">
        <w:rPr>
          <w:rFonts w:ascii="Times New Roman" w:hAnsi="Times New Roman"/>
          <w:b/>
          <w:bCs/>
          <w:sz w:val="22"/>
          <w:szCs w:val="22"/>
        </w:rPr>
        <w:t xml:space="preserve">elektronické nebo </w:t>
      </w:r>
      <w:r w:rsidRPr="00DF184E">
        <w:rPr>
          <w:rFonts w:ascii="Times New Roman" w:hAnsi="Times New Roman"/>
          <w:b/>
          <w:bCs/>
          <w:sz w:val="22"/>
          <w:szCs w:val="22"/>
        </w:rPr>
        <w:t>písemné</w:t>
      </w:r>
      <w:r w:rsidRPr="005C38AE">
        <w:rPr>
          <w:rFonts w:ascii="Times New Roman" w:hAnsi="Times New Roman"/>
          <w:b/>
          <w:sz w:val="22"/>
          <w:szCs w:val="22"/>
        </w:rPr>
        <w:t xml:space="preserve">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4"/>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38EA7F9B" w14:textId="77777777" w:rsidR="002E47D0" w:rsidRDefault="002E47D0" w:rsidP="00283AB7">
      <w:pPr>
        <w:spacing w:after="60" w:line="276" w:lineRule="auto"/>
        <w:ind w:left="567" w:hanging="567"/>
        <w:jc w:val="both"/>
        <w:rPr>
          <w:rFonts w:ascii="Times New Roman" w:hAnsi="Times New Roman"/>
          <w:sz w:val="22"/>
          <w:szCs w:val="22"/>
        </w:rPr>
      </w:pPr>
    </w:p>
    <w:p w14:paraId="055544F4" w14:textId="33922A00" w:rsidR="00622BBB" w:rsidRDefault="00622BBB" w:rsidP="00283AB7">
      <w:pPr>
        <w:spacing w:after="60" w:line="276" w:lineRule="auto"/>
        <w:ind w:left="567" w:hanging="567"/>
        <w:jc w:val="both"/>
        <w:rPr>
          <w:rFonts w:ascii="Times New Roman" w:hAnsi="Times New Roman"/>
          <w:sz w:val="22"/>
          <w:szCs w:val="22"/>
        </w:rPr>
      </w:pPr>
    </w:p>
    <w:p w14:paraId="0962165F" w14:textId="77777777" w:rsidR="00CA6AA7" w:rsidRPr="00283AB7" w:rsidRDefault="00CA6AA7"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46FE2CD1" w:rsidR="00283AB7" w:rsidRPr="001170F6" w:rsidRDefault="00283AB7" w:rsidP="00283AB7">
      <w:pPr>
        <w:spacing w:after="60" w:line="276" w:lineRule="auto"/>
        <w:ind w:left="567" w:hanging="567"/>
        <w:jc w:val="both"/>
        <w:rPr>
          <w:rFonts w:ascii="Times New Roman" w:hAnsi="Times New Roman"/>
          <w:b/>
          <w:bCs/>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5" w:name="_Ref275512114"/>
      <w:r w:rsidR="000503ED">
        <w:rPr>
          <w:rFonts w:ascii="Times New Roman" w:hAnsi="Times New Roman"/>
          <w:sz w:val="22"/>
          <w:szCs w:val="22"/>
        </w:rPr>
        <w:t xml:space="preserve"> </w:t>
      </w:r>
      <w:r w:rsidR="00220F52" w:rsidRPr="001170F6">
        <w:rPr>
          <w:rFonts w:ascii="Times New Roman" w:hAnsi="Times New Roman"/>
          <w:b/>
          <w:bCs/>
          <w:sz w:val="22"/>
          <w:szCs w:val="22"/>
        </w:rPr>
        <w:t>Pokud je podmínkou platnosti záruky registrace na internetových stránkách výrobce, kterou má provést kupující, prodávající je povinný na to kupujícího písemně upozornit.</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5"/>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529C6710"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V případě prodlení prodávajícího s nástupem k odstranění vad nahlášených kupujícím dle odst. 6.3 tohoto článku, je prodávající povinen uhradit kupujícímu smluvní pokutu ve výši 0,</w:t>
      </w:r>
      <w:r w:rsidR="00970B3B">
        <w:rPr>
          <w:rFonts w:ascii="Times New Roman" w:hAnsi="Times New Roman"/>
          <w:sz w:val="22"/>
          <w:szCs w:val="22"/>
        </w:rPr>
        <w:t>0</w:t>
      </w:r>
      <w:r w:rsidRPr="00283AB7">
        <w:rPr>
          <w:rFonts w:ascii="Times New Roman" w:hAnsi="Times New Roman"/>
          <w:sz w:val="22"/>
          <w:szCs w:val="22"/>
        </w:rPr>
        <w:t xml:space="preserve">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6B30CCC9"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w:t>
      </w:r>
      <w:r w:rsidR="00970B3B">
        <w:rPr>
          <w:rFonts w:ascii="Times New Roman" w:hAnsi="Times New Roman"/>
          <w:sz w:val="22"/>
          <w:szCs w:val="22"/>
        </w:rPr>
        <w:t>0</w:t>
      </w:r>
      <w:r w:rsidRPr="00283AB7">
        <w:rPr>
          <w:rFonts w:ascii="Times New Roman" w:hAnsi="Times New Roman"/>
          <w:sz w:val="22"/>
          <w:szCs w:val="22"/>
        </w:rPr>
        <w:t>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1B48E9A8"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dle čl. IV. odst. 4.2 této smlouvy za každý jednotlivý případ porušení této povinnosti.</w:t>
      </w:r>
    </w:p>
    <w:p w14:paraId="6F112F46" w14:textId="409C13FF" w:rsidR="00283AB7" w:rsidRDefault="00283AB7" w:rsidP="00283AB7">
      <w:pPr>
        <w:spacing w:after="60" w:line="276" w:lineRule="auto"/>
        <w:jc w:val="center"/>
        <w:rPr>
          <w:rFonts w:ascii="Times New Roman" w:hAnsi="Times New Roman"/>
          <w:b/>
          <w:szCs w:val="22"/>
        </w:rPr>
      </w:pPr>
    </w:p>
    <w:p w14:paraId="3EB7FDD8" w14:textId="77777777" w:rsidR="00CA6AA7" w:rsidRPr="00283AB7" w:rsidRDefault="00CA6AA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 xml:space="preserve">Zaslání smlouvy do registru smluv zajistí kupující neprodleně po podpisu smlouvy. Kupující se současně zavazuje informovat druhou smluvní stranu o provedení registrace tak, že </w:t>
      </w:r>
      <w:r w:rsidRPr="00283AB7">
        <w:rPr>
          <w:rFonts w:ascii="Times New Roman" w:hAnsi="Times New Roman"/>
          <w:sz w:val="22"/>
          <w:szCs w:val="22"/>
        </w:rPr>
        <w:lastRenderedPageBreak/>
        <w:t>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r w:rsidRPr="000503ED">
        <w:rPr>
          <w:rFonts w:ascii="Times New Roman" w:hAnsi="Times New Roman"/>
          <w:sz w:val="22"/>
          <w:szCs w:val="22"/>
        </w:rPr>
        <w:t>ObčZ</w:t>
      </w:r>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34B45A1F"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w:t>
      </w:r>
      <w:r w:rsidR="009D0BE4">
        <w:rPr>
          <w:rFonts w:ascii="Times New Roman" w:hAnsi="Times New Roman"/>
          <w:sz w:val="22"/>
          <w:szCs w:val="22"/>
        </w:rPr>
        <w:t xml:space="preserve"> </w:t>
      </w:r>
      <w:r w:rsidRPr="00283AB7">
        <w:rPr>
          <w:rFonts w:ascii="Times New Roman" w:hAnsi="Times New Roman"/>
          <w:sz w:val="22"/>
          <w:szCs w:val="22"/>
        </w:rPr>
        <w:t>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ObčZ.</w:t>
      </w:r>
    </w:p>
    <w:p w14:paraId="3B53A8CB" w14:textId="185A1080" w:rsidR="00C255AA" w:rsidRDefault="00C255AA" w:rsidP="00283AB7">
      <w:pPr>
        <w:spacing w:after="60" w:line="276" w:lineRule="auto"/>
        <w:jc w:val="both"/>
        <w:rPr>
          <w:rFonts w:ascii="Times New Roman" w:hAnsi="Times New Roman"/>
          <w:sz w:val="22"/>
          <w:szCs w:val="22"/>
        </w:rPr>
      </w:pPr>
    </w:p>
    <w:p w14:paraId="5237C562" w14:textId="77777777" w:rsidR="00CA6AA7" w:rsidRDefault="00CA6AA7"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02557BFC"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Vztahy mezi smluvními stranami se řídí českým právním řádem. Ve věcech smlouvou výslovně neupravených se právní vztahy z ní vznikající a vyplývající řídí příslušnými ustanoveními ObčZ a ostatními obecně závaznými právními</w:t>
      </w:r>
      <w:r w:rsidR="00BF7B21">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7425733B" w:rsidR="00283AB7" w:rsidRPr="00B93DB2" w:rsidRDefault="00283AB7" w:rsidP="00283AB7">
      <w:pPr>
        <w:spacing w:after="60" w:line="276" w:lineRule="auto"/>
        <w:rPr>
          <w:rFonts w:ascii="Times New Roman" w:hAnsi="Times New Roman"/>
          <w:bCs/>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B93DB2" w:rsidRPr="00B93DB2">
        <w:rPr>
          <w:rFonts w:ascii="Times New Roman" w:hAnsi="Times New Roman"/>
          <w:bCs/>
          <w:sz w:val="22"/>
          <w:szCs w:val="22"/>
        </w:rPr>
        <w:t>Šumperku</w:t>
      </w:r>
      <w:r w:rsidR="0039166F" w:rsidRPr="00B93DB2">
        <w:rPr>
          <w:rFonts w:ascii="Times New Roman" w:hAnsi="Times New Roman"/>
          <w:bCs/>
          <w:sz w:val="22"/>
          <w:szCs w:val="22"/>
        </w:rPr>
        <w:t xml:space="preserve"> </w:t>
      </w:r>
      <w:r w:rsidRPr="00B93DB2">
        <w:rPr>
          <w:rFonts w:ascii="Times New Roman" w:hAnsi="Times New Roman"/>
          <w:bCs/>
          <w:sz w:val="22"/>
          <w:szCs w:val="22"/>
        </w:rPr>
        <w:t xml:space="preserve">dne </w:t>
      </w:r>
      <w:r w:rsidR="00B93DB2" w:rsidRPr="00B93DB2">
        <w:rPr>
          <w:rFonts w:ascii="Times New Roman" w:hAnsi="Times New Roman"/>
          <w:bCs/>
          <w:sz w:val="22"/>
          <w:szCs w:val="22"/>
        </w:rPr>
        <w:t>20.9.2024</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4CA780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r w:rsidR="00B93DB2">
        <w:rPr>
          <w:rFonts w:ascii="Times New Roman" w:hAnsi="Times New Roman"/>
          <w:sz w:val="22"/>
          <w:szCs w:val="22"/>
        </w:rPr>
        <w:t xml:space="preserve"> </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0111A15D"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E47D0">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15EECB39" w14:textId="5069EE30" w:rsidR="00A82241" w:rsidRPr="00B93DB2" w:rsidRDefault="00752811" w:rsidP="00A82241">
      <w:pPr>
        <w:spacing w:after="60" w:line="276" w:lineRule="auto"/>
        <w:rPr>
          <w:rFonts w:ascii="Times New Roman" w:hAnsi="Times New Roman"/>
          <w:bCs/>
          <w:i/>
          <w:sz w:val="22"/>
          <w:szCs w:val="22"/>
        </w:rPr>
      </w:pPr>
      <w:r w:rsidRPr="003241BD">
        <w:rPr>
          <w:rFonts w:ascii="Times New Roman" w:hAnsi="Times New Roman"/>
          <w:sz w:val="22"/>
          <w:szCs w:val="22"/>
        </w:rPr>
        <w:t>doc. PharmDr. Jaroslav Roh, Ph.D.,</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A60460">
        <w:rPr>
          <w:rFonts w:ascii="Times New Roman" w:hAnsi="Times New Roman"/>
          <w:bCs/>
          <w:sz w:val="22"/>
          <w:szCs w:val="22"/>
        </w:rPr>
        <w:t>Petr Babica</w:t>
      </w:r>
    </w:p>
    <w:p w14:paraId="0EA37E52" w14:textId="24610288" w:rsidR="0032625C" w:rsidRPr="00B93DB2" w:rsidRDefault="00752811" w:rsidP="00752811">
      <w:pPr>
        <w:spacing w:after="60" w:line="276" w:lineRule="auto"/>
        <w:ind w:left="708"/>
        <w:rPr>
          <w:rFonts w:ascii="Times New Roman" w:hAnsi="Times New Roman"/>
          <w:bCs/>
          <w:sz w:val="22"/>
          <w:szCs w:val="22"/>
        </w:rPr>
      </w:pPr>
      <w:r w:rsidRPr="00B93DB2">
        <w:rPr>
          <w:rFonts w:ascii="Times New Roman" w:eastAsia="Arial" w:hAnsi="Times New Roman"/>
          <w:bCs/>
          <w:color w:val="000000"/>
          <w:sz w:val="22"/>
          <w:szCs w:val="22"/>
        </w:rPr>
        <w:t xml:space="preserve">          </w:t>
      </w:r>
      <w:r w:rsidR="00A82241" w:rsidRPr="00B93DB2">
        <w:rPr>
          <w:rFonts w:ascii="Times New Roman" w:eastAsia="Arial" w:hAnsi="Times New Roman"/>
          <w:bCs/>
          <w:color w:val="000000"/>
          <w:sz w:val="22"/>
          <w:szCs w:val="22"/>
        </w:rPr>
        <w:t>děka</w:t>
      </w:r>
      <w:r w:rsidRPr="00B93DB2">
        <w:rPr>
          <w:rFonts w:ascii="Times New Roman" w:eastAsia="Arial" w:hAnsi="Times New Roman"/>
          <w:bCs/>
          <w:color w:val="000000"/>
          <w:sz w:val="22"/>
          <w:szCs w:val="22"/>
        </w:rPr>
        <w:t>n</w:t>
      </w:r>
      <w:r w:rsidRPr="00B93DB2">
        <w:rPr>
          <w:rFonts w:ascii="Times New Roman" w:eastAsia="Arial" w:hAnsi="Times New Roman"/>
          <w:bCs/>
          <w:color w:val="000000"/>
          <w:sz w:val="22"/>
          <w:szCs w:val="22"/>
        </w:rPr>
        <w:tab/>
      </w:r>
      <w:r w:rsidR="0032625C" w:rsidRPr="00B93DB2">
        <w:rPr>
          <w:rFonts w:ascii="Times New Roman" w:hAnsi="Times New Roman"/>
          <w:bCs/>
          <w:sz w:val="22"/>
          <w:szCs w:val="22"/>
        </w:rPr>
        <w:t> </w:t>
      </w:r>
      <w:r w:rsidR="00283AB7" w:rsidRPr="00B93DB2">
        <w:rPr>
          <w:rFonts w:ascii="Times New Roman" w:hAnsi="Times New Roman"/>
          <w:bCs/>
          <w:sz w:val="22"/>
          <w:szCs w:val="22"/>
        </w:rPr>
        <w:tab/>
      </w:r>
      <w:r w:rsidRPr="00B93DB2">
        <w:rPr>
          <w:rFonts w:ascii="Times New Roman" w:hAnsi="Times New Roman"/>
          <w:bCs/>
          <w:sz w:val="22"/>
          <w:szCs w:val="22"/>
        </w:rPr>
        <w:tab/>
      </w:r>
      <w:r w:rsidRPr="00B93DB2">
        <w:rPr>
          <w:rFonts w:ascii="Times New Roman" w:hAnsi="Times New Roman"/>
          <w:bCs/>
          <w:sz w:val="22"/>
          <w:szCs w:val="22"/>
        </w:rPr>
        <w:tab/>
      </w:r>
      <w:r w:rsidRPr="00B93DB2">
        <w:rPr>
          <w:rFonts w:ascii="Times New Roman" w:hAnsi="Times New Roman"/>
          <w:bCs/>
          <w:sz w:val="22"/>
          <w:szCs w:val="22"/>
        </w:rPr>
        <w:tab/>
      </w:r>
      <w:r w:rsidR="00B93DB2" w:rsidRPr="00B93DB2">
        <w:rPr>
          <w:rFonts w:ascii="Times New Roman" w:hAnsi="Times New Roman"/>
          <w:bCs/>
          <w:sz w:val="22"/>
          <w:szCs w:val="22"/>
        </w:rPr>
        <w:t xml:space="preserve">        </w:t>
      </w:r>
      <w:r w:rsidR="00A60460">
        <w:rPr>
          <w:rFonts w:ascii="Times New Roman" w:hAnsi="Times New Roman"/>
          <w:bCs/>
          <w:sz w:val="22"/>
          <w:szCs w:val="22"/>
        </w:rPr>
        <w:tab/>
        <w:t>jednatel</w:t>
      </w:r>
    </w:p>
    <w:p w14:paraId="396F95CA" w14:textId="08D2482B" w:rsidR="00B93DB2" w:rsidRDefault="00B93DB2" w:rsidP="00752811">
      <w:pPr>
        <w:spacing w:after="60" w:line="276" w:lineRule="auto"/>
        <w:ind w:left="708"/>
        <w:rPr>
          <w:rFonts w:ascii="Times New Roman" w:hAnsi="Times New Roman"/>
          <w:b/>
          <w:sz w:val="22"/>
          <w:szCs w:val="22"/>
        </w:rPr>
      </w:pPr>
    </w:p>
    <w:p w14:paraId="06274EAD" w14:textId="2D01E70A" w:rsidR="00B93DB2" w:rsidRDefault="00B93DB2" w:rsidP="00752811">
      <w:pPr>
        <w:spacing w:after="60" w:line="276" w:lineRule="auto"/>
        <w:ind w:left="708"/>
        <w:rPr>
          <w:rFonts w:ascii="Times New Roman" w:hAnsi="Times New Roman"/>
          <w:b/>
          <w:sz w:val="22"/>
          <w:szCs w:val="22"/>
        </w:rPr>
      </w:pPr>
    </w:p>
    <w:p w14:paraId="3D093A35" w14:textId="260AD959" w:rsidR="00B93DB2" w:rsidRDefault="00B93DB2" w:rsidP="00752811">
      <w:pPr>
        <w:spacing w:after="60" w:line="276" w:lineRule="auto"/>
        <w:ind w:left="708"/>
        <w:rPr>
          <w:rFonts w:ascii="Times New Roman" w:hAnsi="Times New Roman"/>
          <w:b/>
          <w:sz w:val="22"/>
          <w:szCs w:val="22"/>
        </w:rPr>
      </w:pPr>
    </w:p>
    <w:p w14:paraId="0940F9DC" w14:textId="1CBE2E30" w:rsidR="00B93DB2" w:rsidRDefault="00B93DB2" w:rsidP="00752811">
      <w:pPr>
        <w:spacing w:after="60" w:line="276" w:lineRule="auto"/>
        <w:ind w:left="708"/>
        <w:rPr>
          <w:rFonts w:ascii="Times New Roman" w:hAnsi="Times New Roman"/>
          <w:b/>
          <w:sz w:val="22"/>
          <w:szCs w:val="22"/>
        </w:rPr>
      </w:pPr>
    </w:p>
    <w:p w14:paraId="46FEA2EE" w14:textId="31BD66D8" w:rsidR="00B93DB2" w:rsidRDefault="00B93DB2" w:rsidP="00752811">
      <w:pPr>
        <w:spacing w:after="60" w:line="276" w:lineRule="auto"/>
        <w:ind w:left="708"/>
        <w:rPr>
          <w:rFonts w:ascii="Times New Roman" w:hAnsi="Times New Roman"/>
          <w:b/>
          <w:sz w:val="22"/>
          <w:szCs w:val="22"/>
        </w:rPr>
      </w:pPr>
    </w:p>
    <w:p w14:paraId="4A1F32E7" w14:textId="29F097DE" w:rsidR="00B93DB2" w:rsidRDefault="00B93DB2" w:rsidP="00752811">
      <w:pPr>
        <w:spacing w:after="60" w:line="276" w:lineRule="auto"/>
        <w:ind w:left="708"/>
        <w:rPr>
          <w:rFonts w:ascii="Times New Roman" w:hAnsi="Times New Roman"/>
          <w:b/>
          <w:sz w:val="22"/>
          <w:szCs w:val="22"/>
        </w:rPr>
      </w:pPr>
    </w:p>
    <w:p w14:paraId="0DFEF239" w14:textId="089F2EA1" w:rsidR="00B93DB2" w:rsidRDefault="00B93DB2" w:rsidP="00752811">
      <w:pPr>
        <w:spacing w:after="60" w:line="276" w:lineRule="auto"/>
        <w:ind w:left="708"/>
        <w:rPr>
          <w:rFonts w:ascii="Times New Roman" w:hAnsi="Times New Roman"/>
          <w:b/>
          <w:sz w:val="22"/>
          <w:szCs w:val="22"/>
        </w:rPr>
      </w:pPr>
    </w:p>
    <w:p w14:paraId="5DCC999F" w14:textId="0D2E5F60" w:rsidR="00B93DB2" w:rsidRDefault="00B93DB2" w:rsidP="00752811">
      <w:pPr>
        <w:spacing w:after="60" w:line="276" w:lineRule="auto"/>
        <w:ind w:left="708"/>
        <w:rPr>
          <w:rFonts w:ascii="Times New Roman" w:hAnsi="Times New Roman"/>
          <w:b/>
          <w:sz w:val="22"/>
          <w:szCs w:val="22"/>
        </w:rPr>
      </w:pPr>
    </w:p>
    <w:p w14:paraId="470DADF5" w14:textId="72D75FCD" w:rsidR="00B93DB2" w:rsidRDefault="00B93DB2" w:rsidP="00752811">
      <w:pPr>
        <w:spacing w:after="60" w:line="276" w:lineRule="auto"/>
        <w:ind w:left="708"/>
        <w:rPr>
          <w:rFonts w:ascii="Times New Roman" w:hAnsi="Times New Roman"/>
          <w:b/>
          <w:sz w:val="22"/>
          <w:szCs w:val="22"/>
        </w:rPr>
      </w:pPr>
    </w:p>
    <w:p w14:paraId="4B832678" w14:textId="0167B21F" w:rsidR="00B93DB2" w:rsidRDefault="00B93DB2" w:rsidP="00752811">
      <w:pPr>
        <w:spacing w:after="60" w:line="276" w:lineRule="auto"/>
        <w:ind w:left="708"/>
        <w:rPr>
          <w:rFonts w:ascii="Times New Roman" w:hAnsi="Times New Roman"/>
          <w:b/>
          <w:sz w:val="22"/>
          <w:szCs w:val="22"/>
        </w:rPr>
      </w:pPr>
    </w:p>
    <w:p w14:paraId="022911A7" w14:textId="7C96E498" w:rsidR="00B93DB2" w:rsidRDefault="00B93DB2" w:rsidP="00752811">
      <w:pPr>
        <w:spacing w:after="60" w:line="276" w:lineRule="auto"/>
        <w:ind w:left="708"/>
        <w:rPr>
          <w:rFonts w:ascii="Times New Roman" w:hAnsi="Times New Roman"/>
          <w:b/>
          <w:sz w:val="22"/>
          <w:szCs w:val="22"/>
        </w:rPr>
      </w:pPr>
    </w:p>
    <w:p w14:paraId="43CC9802" w14:textId="1AF06EE7" w:rsidR="00B93DB2" w:rsidRDefault="00B93DB2" w:rsidP="00752811">
      <w:pPr>
        <w:spacing w:after="60" w:line="276" w:lineRule="auto"/>
        <w:ind w:left="708"/>
        <w:rPr>
          <w:rFonts w:ascii="Times New Roman" w:hAnsi="Times New Roman"/>
          <w:b/>
          <w:sz w:val="22"/>
          <w:szCs w:val="22"/>
        </w:rPr>
      </w:pPr>
    </w:p>
    <w:p w14:paraId="14DB5628" w14:textId="3D8505E3" w:rsidR="00B93DB2" w:rsidRDefault="00B93DB2" w:rsidP="00752811">
      <w:pPr>
        <w:spacing w:after="60" w:line="276" w:lineRule="auto"/>
        <w:ind w:left="708"/>
        <w:rPr>
          <w:rFonts w:ascii="Times New Roman" w:hAnsi="Times New Roman"/>
          <w:b/>
          <w:sz w:val="22"/>
          <w:szCs w:val="22"/>
        </w:rPr>
      </w:pPr>
    </w:p>
    <w:p w14:paraId="333FA8A3" w14:textId="2C354085" w:rsidR="00B93DB2" w:rsidRDefault="00B93DB2" w:rsidP="00752811">
      <w:pPr>
        <w:spacing w:after="60" w:line="276" w:lineRule="auto"/>
        <w:ind w:left="708"/>
        <w:rPr>
          <w:rFonts w:ascii="Times New Roman" w:hAnsi="Times New Roman"/>
          <w:b/>
          <w:sz w:val="22"/>
          <w:szCs w:val="22"/>
        </w:rPr>
      </w:pPr>
    </w:p>
    <w:p w14:paraId="11F8F6DA" w14:textId="1722B615" w:rsidR="00B93DB2" w:rsidRDefault="00B93DB2" w:rsidP="00752811">
      <w:pPr>
        <w:spacing w:after="60" w:line="276" w:lineRule="auto"/>
        <w:ind w:left="708"/>
        <w:rPr>
          <w:rFonts w:ascii="Times New Roman" w:hAnsi="Times New Roman"/>
          <w:b/>
          <w:sz w:val="22"/>
          <w:szCs w:val="22"/>
        </w:rPr>
      </w:pPr>
    </w:p>
    <w:p w14:paraId="29AFEF8A" w14:textId="5D85458A" w:rsidR="00B93DB2" w:rsidRDefault="00B93DB2" w:rsidP="00752811">
      <w:pPr>
        <w:spacing w:after="60" w:line="276" w:lineRule="auto"/>
        <w:ind w:left="708"/>
        <w:rPr>
          <w:rFonts w:ascii="Times New Roman" w:hAnsi="Times New Roman"/>
          <w:b/>
          <w:sz w:val="22"/>
          <w:szCs w:val="22"/>
        </w:rPr>
      </w:pPr>
    </w:p>
    <w:p w14:paraId="5CC9B91D" w14:textId="5F854944" w:rsidR="00B93DB2" w:rsidRDefault="00B93DB2" w:rsidP="00752811">
      <w:pPr>
        <w:spacing w:after="60" w:line="276" w:lineRule="auto"/>
        <w:ind w:left="708"/>
        <w:rPr>
          <w:rFonts w:ascii="Times New Roman" w:hAnsi="Times New Roman"/>
          <w:b/>
          <w:sz w:val="22"/>
          <w:szCs w:val="22"/>
        </w:rPr>
      </w:pPr>
      <w:r>
        <w:rPr>
          <w:rFonts w:ascii="Times New Roman" w:hAnsi="Times New Roman"/>
          <w:b/>
          <w:sz w:val="22"/>
          <w:szCs w:val="22"/>
        </w:rPr>
        <w:lastRenderedPageBreak/>
        <w:t xml:space="preserve">Příloha č.1 </w:t>
      </w:r>
    </w:p>
    <w:p w14:paraId="1758964A" w14:textId="7771D390" w:rsidR="00B93DB2" w:rsidRDefault="00B93DB2" w:rsidP="00752811">
      <w:pPr>
        <w:spacing w:after="60" w:line="276" w:lineRule="auto"/>
        <w:ind w:left="708"/>
        <w:rPr>
          <w:rFonts w:ascii="Times New Roman" w:hAnsi="Times New Roman"/>
          <w:b/>
          <w:sz w:val="22"/>
          <w:szCs w:val="22"/>
        </w:rPr>
      </w:pPr>
    </w:p>
    <w:tbl>
      <w:tblPr>
        <w:tblpPr w:leftFromText="141" w:rightFromText="141" w:vertAnchor="text" w:tblpY="1"/>
        <w:tblOverlap w:val="never"/>
        <w:tblW w:w="5000" w:type="pct"/>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057"/>
      </w:tblGrid>
      <w:tr w:rsidR="00B93DB2" w:rsidRPr="003E227D" w14:paraId="049F6A98" w14:textId="77777777" w:rsidTr="004B39A6">
        <w:trPr>
          <w:trHeight w:val="288"/>
          <w:tblHeader/>
        </w:trPr>
        <w:tc>
          <w:tcPr>
            <w:tcW w:w="9057" w:type="dxa"/>
            <w:tcBorders>
              <w:top w:val="single" w:sz="8" w:space="0" w:color="00000A"/>
              <w:left w:val="single" w:sz="8" w:space="0" w:color="00000A"/>
              <w:bottom w:val="single" w:sz="4" w:space="0" w:color="00000A"/>
              <w:right w:val="single" w:sz="4" w:space="0" w:color="00000A"/>
            </w:tcBorders>
            <w:shd w:val="clear" w:color="auto" w:fill="D9D9D9" w:themeFill="background1" w:themeFillShade="D9"/>
            <w:tcMar>
              <w:left w:w="60" w:type="dxa"/>
            </w:tcMar>
            <w:vAlign w:val="center"/>
          </w:tcPr>
          <w:p w14:paraId="53307258" w14:textId="77777777" w:rsidR="00B93DB2" w:rsidRPr="003E227D" w:rsidRDefault="00B93DB2" w:rsidP="004B39A6">
            <w:pPr>
              <w:autoSpaceDE w:val="0"/>
              <w:autoSpaceDN w:val="0"/>
              <w:adjustRightInd w:val="0"/>
              <w:spacing w:before="120" w:after="0"/>
              <w:jc w:val="center"/>
              <w:rPr>
                <w:rFonts w:ascii="Times New Roman" w:hAnsi="Times New Roman"/>
                <w:b/>
                <w:szCs w:val="22"/>
              </w:rPr>
            </w:pPr>
            <w:r w:rsidRPr="003E227D">
              <w:rPr>
                <w:rFonts w:ascii="Times New Roman" w:hAnsi="Times New Roman"/>
                <w:szCs w:val="22"/>
              </w:rPr>
              <w:t>Analytické váhy na 5 desetinných míst</w:t>
            </w:r>
          </w:p>
        </w:tc>
      </w:tr>
      <w:tr w:rsidR="00B93DB2" w:rsidRPr="003E227D" w14:paraId="26226CDA" w14:textId="77777777" w:rsidTr="004B39A6">
        <w:trPr>
          <w:trHeight w:val="288"/>
          <w:tblHeader/>
        </w:trPr>
        <w:tc>
          <w:tcPr>
            <w:tcW w:w="9057" w:type="dxa"/>
            <w:tcBorders>
              <w:top w:val="single" w:sz="8" w:space="0" w:color="00000A"/>
              <w:left w:val="single" w:sz="8" w:space="0" w:color="00000A"/>
              <w:bottom w:val="single" w:sz="4" w:space="0" w:color="00000A"/>
              <w:right w:val="single" w:sz="4" w:space="0" w:color="00000A"/>
            </w:tcBorders>
            <w:shd w:val="clear" w:color="auto" w:fill="D9D9D9" w:themeFill="background1" w:themeFillShade="D9"/>
            <w:tcMar>
              <w:left w:w="60" w:type="dxa"/>
            </w:tcMar>
            <w:vAlign w:val="center"/>
          </w:tcPr>
          <w:p w14:paraId="72C90DC6" w14:textId="77777777" w:rsidR="00B93DB2" w:rsidRPr="003E227D" w:rsidRDefault="00B93DB2" w:rsidP="004B39A6">
            <w:pPr>
              <w:spacing w:after="0"/>
              <w:rPr>
                <w:rFonts w:ascii="Times New Roman" w:hAnsi="Times New Roman"/>
                <w:szCs w:val="22"/>
              </w:rPr>
            </w:pPr>
            <w:r w:rsidRPr="003E227D">
              <w:rPr>
                <w:rFonts w:ascii="Times New Roman" w:hAnsi="Times New Roman"/>
                <w:szCs w:val="22"/>
              </w:rPr>
              <w:t>Popis poptávaného zboží – Základní vlastnosti – Minimální požadavky</w:t>
            </w:r>
          </w:p>
        </w:tc>
      </w:tr>
      <w:tr w:rsidR="00B93DB2" w:rsidRPr="003E227D" w14:paraId="6272917B" w14:textId="77777777" w:rsidTr="004B39A6">
        <w:trPr>
          <w:trHeight w:val="288"/>
          <w:tblHeader/>
        </w:trPr>
        <w:tc>
          <w:tcPr>
            <w:tcW w:w="9057" w:type="dxa"/>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11B6ADDB"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Maximální váživost [Max]</w:t>
            </w:r>
            <w:r w:rsidRPr="003E227D">
              <w:rPr>
                <w:rFonts w:ascii="Times New Roman" w:hAnsi="Times New Roman" w:cs="Times New Roman"/>
              </w:rPr>
              <w:tab/>
              <w:t>≥ 50 g</w:t>
            </w:r>
          </w:p>
          <w:p w14:paraId="2838690D"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Minimální zatížení [Min]</w:t>
            </w:r>
            <w:r w:rsidRPr="003E227D">
              <w:rPr>
                <w:rFonts w:ascii="Times New Roman" w:hAnsi="Times New Roman" w:cs="Times New Roman"/>
              </w:rPr>
              <w:tab/>
              <w:t>≤ 1 mg</w:t>
            </w:r>
          </w:p>
          <w:p w14:paraId="1722DDEF"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Odečitatelnost [d] ≤0,01 mg</w:t>
            </w:r>
          </w:p>
          <w:p w14:paraId="2FA8D4DE"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Ověřitelný dílek [e] ≤1 mg</w:t>
            </w:r>
          </w:p>
          <w:p w14:paraId="7AFB2794"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Opakovatelnost standardní (5% Max) ≤ 0,006 mg</w:t>
            </w:r>
          </w:p>
          <w:p w14:paraId="102A5E4B"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Opakovatelnost standardní (Max) ≤ 0,01 mg</w:t>
            </w:r>
          </w:p>
          <w:p w14:paraId="44700ABC"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Minimální navážka dle USP ≤ 12 mg</w:t>
            </w:r>
          </w:p>
          <w:p w14:paraId="19589D93"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Minimální navážka (U=1%, k=2) ≤ 1,2 mg</w:t>
            </w:r>
          </w:p>
          <w:p w14:paraId="77A1CA9E"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Opakovatelnost přípustná (5% Max) ≤ 0,012 mg</w:t>
            </w:r>
          </w:p>
          <w:p w14:paraId="14E714C6"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Opakovatelnost přípustná (Max) ≤ 0,02 mg</w:t>
            </w:r>
          </w:p>
          <w:p w14:paraId="0014AFB3"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Linearita</w:t>
            </w:r>
            <w:r w:rsidRPr="003E227D">
              <w:rPr>
                <w:rFonts w:ascii="Times New Roman" w:hAnsi="Times New Roman" w:cs="Times New Roman"/>
              </w:rPr>
              <w:tab/>
              <w:t>≤ ±0,03 mg</w:t>
            </w:r>
          </w:p>
          <w:p w14:paraId="34A5093F"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Excentrická odchylka ≤ 0,03 mg</w:t>
            </w:r>
          </w:p>
          <w:p w14:paraId="3A60779A"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Čas stabilizace</w:t>
            </w:r>
            <w:r w:rsidRPr="003E227D">
              <w:rPr>
                <w:rFonts w:ascii="Times New Roman" w:hAnsi="Times New Roman" w:cs="Times New Roman"/>
              </w:rPr>
              <w:tab/>
              <w:t xml:space="preserve"> méně než 10s</w:t>
            </w:r>
          </w:p>
          <w:p w14:paraId="21D91B86"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Adjustace</w:t>
            </w:r>
            <w:r w:rsidRPr="003E227D">
              <w:rPr>
                <w:rFonts w:ascii="Times New Roman" w:hAnsi="Times New Roman" w:cs="Times New Roman"/>
              </w:rPr>
              <w:tab/>
              <w:t>interní (automatická)</w:t>
            </w:r>
          </w:p>
          <w:p w14:paraId="2101AF96"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Třída přesnosti (OIML)</w:t>
            </w:r>
            <w:r w:rsidRPr="003E227D">
              <w:rPr>
                <w:rFonts w:ascii="Times New Roman" w:hAnsi="Times New Roman" w:cs="Times New Roman"/>
              </w:rPr>
              <w:tab/>
              <w:t xml:space="preserve">      I</w:t>
            </w:r>
          </w:p>
          <w:p w14:paraId="58B9C10B"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Pracovní teplota</w:t>
            </w:r>
            <w:r w:rsidRPr="003E227D">
              <w:rPr>
                <w:rFonts w:ascii="Times New Roman" w:hAnsi="Times New Roman" w:cs="Times New Roman"/>
              </w:rPr>
              <w:tab/>
              <w:t>+10° ÷ +40°C</w:t>
            </w:r>
          </w:p>
          <w:p w14:paraId="692F9BA2" w14:textId="77777777" w:rsidR="00B93DB2" w:rsidRPr="003E227D" w:rsidRDefault="00B93DB2" w:rsidP="004B39A6">
            <w:pPr>
              <w:pStyle w:val="Bezmezer"/>
              <w:ind w:left="634" w:hanging="634"/>
              <w:rPr>
                <w:rFonts w:ascii="Times New Roman" w:hAnsi="Times New Roman" w:cs="Times New Roman"/>
              </w:rPr>
            </w:pPr>
            <w:r w:rsidRPr="003E227D">
              <w:rPr>
                <w:rFonts w:ascii="Times New Roman" w:hAnsi="Times New Roman" w:cs="Times New Roman"/>
              </w:rPr>
              <w:t>-</w:t>
            </w:r>
            <w:r w:rsidRPr="003E227D">
              <w:rPr>
                <w:rFonts w:ascii="Times New Roman" w:hAnsi="Times New Roman" w:cs="Times New Roman"/>
              </w:rPr>
              <w:tab/>
              <w:t>Relativní vlhkost prostředí</w:t>
            </w:r>
            <w:r w:rsidRPr="003E227D">
              <w:rPr>
                <w:rFonts w:ascii="Times New Roman" w:hAnsi="Times New Roman" w:cs="Times New Roman"/>
              </w:rPr>
              <w:tab/>
              <w:t>40% ÷ 80%</w:t>
            </w:r>
          </w:p>
        </w:tc>
      </w:tr>
      <w:tr w:rsidR="00B93DB2" w:rsidRPr="003E227D" w14:paraId="2E3F7889" w14:textId="77777777" w:rsidTr="004B39A6">
        <w:trPr>
          <w:trHeight w:val="288"/>
          <w:tblHeader/>
        </w:trPr>
        <w:tc>
          <w:tcPr>
            <w:tcW w:w="9057" w:type="dxa"/>
            <w:tcBorders>
              <w:top w:val="single" w:sz="8" w:space="0" w:color="00000A"/>
              <w:left w:val="single" w:sz="8" w:space="0" w:color="00000A"/>
              <w:bottom w:val="single" w:sz="4" w:space="0" w:color="00000A"/>
              <w:right w:val="single" w:sz="4" w:space="0" w:color="00000A"/>
            </w:tcBorders>
            <w:shd w:val="clear" w:color="auto" w:fill="D9D9D9" w:themeFill="background1" w:themeFillShade="D9"/>
            <w:tcMar>
              <w:left w:w="60" w:type="dxa"/>
            </w:tcMar>
            <w:vAlign w:val="center"/>
          </w:tcPr>
          <w:p w14:paraId="604410A5" w14:textId="77777777" w:rsidR="00B93DB2" w:rsidRPr="003E227D" w:rsidRDefault="00B93DB2" w:rsidP="004B39A6">
            <w:pPr>
              <w:spacing w:after="0"/>
              <w:rPr>
                <w:rFonts w:ascii="Times New Roman" w:hAnsi="Times New Roman"/>
                <w:b/>
                <w:szCs w:val="22"/>
              </w:rPr>
            </w:pPr>
            <w:r w:rsidRPr="003E227D">
              <w:rPr>
                <w:rFonts w:ascii="Times New Roman" w:hAnsi="Times New Roman"/>
                <w:b/>
                <w:szCs w:val="22"/>
              </w:rPr>
              <w:t>Požadavek na záruku a servis</w:t>
            </w:r>
          </w:p>
        </w:tc>
      </w:tr>
      <w:tr w:rsidR="00B93DB2" w:rsidRPr="003E227D" w14:paraId="72C936AB" w14:textId="77777777" w:rsidTr="004B39A6">
        <w:trPr>
          <w:trHeight w:val="288"/>
          <w:tblHeader/>
        </w:trPr>
        <w:tc>
          <w:tcPr>
            <w:tcW w:w="9057" w:type="dxa"/>
            <w:tcBorders>
              <w:top w:val="single" w:sz="8" w:space="0" w:color="00000A"/>
              <w:left w:val="single" w:sz="8" w:space="0" w:color="00000A"/>
              <w:bottom w:val="single" w:sz="4" w:space="0" w:color="00000A"/>
              <w:right w:val="single" w:sz="4" w:space="0" w:color="00000A"/>
            </w:tcBorders>
            <w:shd w:val="clear" w:color="auto" w:fill="FFFFFF" w:themeFill="background1"/>
            <w:tcMar>
              <w:left w:w="60" w:type="dxa"/>
            </w:tcMar>
            <w:vAlign w:val="center"/>
          </w:tcPr>
          <w:p w14:paraId="53FFFD81" w14:textId="77777777" w:rsidR="00B93DB2" w:rsidRPr="003E227D" w:rsidRDefault="00B93DB2" w:rsidP="004B39A6">
            <w:pPr>
              <w:spacing w:after="0"/>
              <w:rPr>
                <w:rFonts w:ascii="Times New Roman" w:hAnsi="Times New Roman"/>
                <w:i/>
                <w:iCs/>
                <w:color w:val="202124"/>
                <w:szCs w:val="22"/>
              </w:rPr>
            </w:pPr>
            <w:r w:rsidRPr="003E227D">
              <w:rPr>
                <w:rFonts w:ascii="Times New Roman" w:hAnsi="Times New Roman"/>
                <w:i/>
                <w:iCs/>
                <w:color w:val="202124"/>
                <w:szCs w:val="22"/>
              </w:rPr>
              <w:t>Zadavatel požaduje záruku za jakost předmětu koupě v trvání 24 měsíců, případně delší záruku, stanoví-li tak právní předpisy nebo výrobce.</w:t>
            </w:r>
          </w:p>
          <w:p w14:paraId="1EAD209F" w14:textId="77777777" w:rsidR="00B93DB2" w:rsidRPr="003E227D" w:rsidRDefault="00B93DB2" w:rsidP="004B39A6">
            <w:pPr>
              <w:spacing w:after="0"/>
              <w:rPr>
                <w:rFonts w:ascii="Times New Roman" w:hAnsi="Times New Roman"/>
                <w:i/>
                <w:color w:val="000000" w:themeColor="text1"/>
                <w:szCs w:val="22"/>
              </w:rPr>
            </w:pPr>
            <w:r w:rsidRPr="003E227D">
              <w:rPr>
                <w:rFonts w:ascii="Times New Roman" w:hAnsi="Times New Roman"/>
                <w:i/>
                <w:color w:val="000000" w:themeColor="text1"/>
                <w:szCs w:val="22"/>
              </w:rPr>
              <w:t>Podmínky záručního a pozáručního servisu jsou uvedeny v návrhu kupní smlouvy, který je nedílnou součástí zadávací dokumentace.</w:t>
            </w:r>
          </w:p>
        </w:tc>
      </w:tr>
    </w:tbl>
    <w:p w14:paraId="64CE2363" w14:textId="77777777" w:rsidR="00B93DB2" w:rsidRDefault="00B93DB2" w:rsidP="00752811">
      <w:pPr>
        <w:spacing w:after="60" w:line="276" w:lineRule="auto"/>
        <w:ind w:left="708"/>
        <w:rPr>
          <w:rFonts w:ascii="Times New Roman" w:hAnsi="Times New Roman"/>
          <w:b/>
          <w:sz w:val="22"/>
          <w:szCs w:val="22"/>
        </w:rPr>
      </w:pPr>
    </w:p>
    <w:p w14:paraId="20CD1A2C" w14:textId="2D6039F0" w:rsidR="00B93DB2" w:rsidRDefault="00B93DB2" w:rsidP="00752811">
      <w:pPr>
        <w:spacing w:after="60" w:line="276" w:lineRule="auto"/>
        <w:ind w:left="708"/>
        <w:rPr>
          <w:rFonts w:ascii="Times New Roman" w:hAnsi="Times New Roman"/>
          <w:b/>
          <w:sz w:val="22"/>
          <w:szCs w:val="22"/>
        </w:rPr>
      </w:pPr>
      <w:r>
        <w:rPr>
          <w:rFonts w:ascii="Times New Roman" w:hAnsi="Times New Roman"/>
          <w:b/>
          <w:sz w:val="22"/>
          <w:szCs w:val="22"/>
        </w:rPr>
        <w:t xml:space="preserve">Nabízená váha: </w:t>
      </w:r>
    </w:p>
    <w:tbl>
      <w:tblPr>
        <w:tblW w:w="0" w:type="auto"/>
        <w:tblCellMar>
          <w:left w:w="0" w:type="dxa"/>
          <w:right w:w="0" w:type="dxa"/>
        </w:tblCellMar>
        <w:tblLook w:val="04A0" w:firstRow="1" w:lastRow="0" w:firstColumn="1" w:lastColumn="0" w:noHBand="0" w:noVBand="1"/>
      </w:tblPr>
      <w:tblGrid>
        <w:gridCol w:w="2595"/>
        <w:gridCol w:w="4875"/>
      </w:tblGrid>
      <w:tr w:rsidR="00B93DB2" w:rsidRPr="00B93DB2" w14:paraId="2E0CDF44" w14:textId="77777777" w:rsidTr="00B93DB2">
        <w:trPr>
          <w:trHeight w:val="120"/>
        </w:trPr>
        <w:tc>
          <w:tcPr>
            <w:tcW w:w="2595" w:type="dxa"/>
            <w:tcBorders>
              <w:top w:val="single" w:sz="2" w:space="0" w:color="auto"/>
              <w:left w:val="single" w:sz="2" w:space="0" w:color="auto"/>
              <w:bottom w:val="single" w:sz="6" w:space="0" w:color="auto"/>
              <w:right w:val="single" w:sz="2" w:space="0" w:color="auto"/>
            </w:tcBorders>
            <w:shd w:val="clear" w:color="auto" w:fill="FFFFFF"/>
            <w:tcMar>
              <w:top w:w="60" w:type="dxa"/>
              <w:left w:w="60" w:type="dxa"/>
              <w:bottom w:w="60" w:type="dxa"/>
              <w:right w:w="60" w:type="dxa"/>
            </w:tcMar>
            <w:hideMark/>
          </w:tcPr>
          <w:p w14:paraId="0C2D9D58" w14:textId="77777777" w:rsidR="00B93DB2" w:rsidRPr="00B93DB2" w:rsidRDefault="00B93DB2" w:rsidP="00B93DB2">
            <w:pPr>
              <w:spacing w:before="0" w:after="0"/>
              <w:jc w:val="center"/>
              <w:rPr>
                <w:rFonts w:ascii="Times New Roman" w:hAnsi="Times New Roman"/>
              </w:rPr>
            </w:pPr>
            <w:r w:rsidRPr="00B93DB2">
              <w:rPr>
                <w:rFonts w:ascii="Avenir Next" w:hAnsi="Avenir Next"/>
                <w:b/>
                <w:bCs/>
                <w:color w:val="000000"/>
                <w:sz w:val="14"/>
                <w:szCs w:val="14"/>
              </w:rPr>
              <w:t>Technické parametry:</w:t>
            </w:r>
          </w:p>
        </w:tc>
        <w:tc>
          <w:tcPr>
            <w:tcW w:w="4875" w:type="dxa"/>
            <w:tcBorders>
              <w:top w:val="single" w:sz="2" w:space="0" w:color="auto"/>
              <w:left w:val="single" w:sz="2" w:space="0" w:color="auto"/>
              <w:bottom w:val="single" w:sz="6" w:space="0" w:color="auto"/>
              <w:right w:val="single" w:sz="2" w:space="0" w:color="auto"/>
            </w:tcBorders>
            <w:shd w:val="clear" w:color="auto" w:fill="FFFFFF"/>
            <w:tcMar>
              <w:top w:w="60" w:type="dxa"/>
              <w:left w:w="60" w:type="dxa"/>
              <w:bottom w:w="60" w:type="dxa"/>
              <w:right w:w="60" w:type="dxa"/>
            </w:tcMar>
            <w:hideMark/>
          </w:tcPr>
          <w:p w14:paraId="4CFA0133" w14:textId="77777777" w:rsidR="00B93DB2" w:rsidRPr="00B93DB2" w:rsidRDefault="00B93DB2" w:rsidP="00B93DB2">
            <w:pPr>
              <w:spacing w:before="0" w:after="0"/>
              <w:jc w:val="center"/>
              <w:rPr>
                <w:rFonts w:ascii="Times New Roman" w:hAnsi="Times New Roman"/>
              </w:rPr>
            </w:pPr>
            <w:r w:rsidRPr="00B93DB2">
              <w:rPr>
                <w:rFonts w:ascii="Avenir Next" w:hAnsi="Avenir Next"/>
                <w:b/>
                <w:bCs/>
                <w:color w:val="000000"/>
                <w:sz w:val="14"/>
                <w:szCs w:val="14"/>
              </w:rPr>
              <w:t>RADWAG XA 52.5Y</w:t>
            </w:r>
          </w:p>
        </w:tc>
      </w:tr>
      <w:tr w:rsidR="00B93DB2" w:rsidRPr="00B93DB2" w14:paraId="29C93EFB" w14:textId="77777777" w:rsidTr="00B93DB2">
        <w:trPr>
          <w:trHeight w:val="120"/>
        </w:trPr>
        <w:tc>
          <w:tcPr>
            <w:tcW w:w="2595" w:type="dxa"/>
            <w:tcBorders>
              <w:top w:val="single" w:sz="6"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3EDDF019"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Maximální váživost</w:t>
            </w:r>
          </w:p>
        </w:tc>
        <w:tc>
          <w:tcPr>
            <w:tcW w:w="4875" w:type="dxa"/>
            <w:tcBorders>
              <w:top w:val="single" w:sz="6"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6350B1FE" w14:textId="77777777" w:rsidR="00B93DB2" w:rsidRPr="00B93DB2" w:rsidRDefault="00B93DB2" w:rsidP="00B93DB2">
            <w:pPr>
              <w:spacing w:before="0" w:after="0"/>
              <w:jc w:val="center"/>
              <w:rPr>
                <w:rFonts w:ascii="Times New Roman" w:hAnsi="Times New Roman"/>
              </w:rPr>
            </w:pPr>
            <w:r w:rsidRPr="00B93DB2">
              <w:rPr>
                <w:rFonts w:ascii="Avenir Next" w:hAnsi="Avenir Next"/>
                <w:b/>
                <w:bCs/>
                <w:color w:val="000000"/>
                <w:sz w:val="14"/>
                <w:szCs w:val="14"/>
              </w:rPr>
              <w:t>52g</w:t>
            </w:r>
          </w:p>
        </w:tc>
      </w:tr>
      <w:tr w:rsidR="00B93DB2" w:rsidRPr="00B93DB2" w14:paraId="7D5DDC74"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2881F7A1"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Minimální zatížení</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1D05AA2A"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 mg</w:t>
            </w:r>
          </w:p>
        </w:tc>
      </w:tr>
      <w:tr w:rsidR="00B93DB2" w:rsidRPr="00B93DB2" w14:paraId="5C6192B6"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14DF4E1F"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Odečitatelnost (d=)</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55C4B807" w14:textId="77777777" w:rsidR="00B93DB2" w:rsidRPr="00B93DB2" w:rsidRDefault="00B93DB2" w:rsidP="00B93DB2">
            <w:pPr>
              <w:spacing w:before="0" w:after="0"/>
              <w:jc w:val="center"/>
              <w:rPr>
                <w:rFonts w:ascii="Times New Roman" w:hAnsi="Times New Roman"/>
              </w:rPr>
            </w:pPr>
            <w:r w:rsidRPr="00B93DB2">
              <w:rPr>
                <w:rFonts w:ascii="Avenir Next" w:hAnsi="Avenir Next"/>
                <w:b/>
                <w:bCs/>
                <w:color w:val="000000"/>
                <w:sz w:val="14"/>
                <w:szCs w:val="14"/>
              </w:rPr>
              <w:t>0,01 mg</w:t>
            </w:r>
          </w:p>
          <w:p w14:paraId="76D4CA4B" w14:textId="77777777" w:rsidR="00B93DB2" w:rsidRPr="00B93DB2" w:rsidRDefault="00B93DB2" w:rsidP="00B93DB2">
            <w:pPr>
              <w:spacing w:before="0" w:after="0"/>
              <w:jc w:val="center"/>
              <w:rPr>
                <w:rFonts w:ascii="Times New Roman" w:hAnsi="Times New Roman"/>
              </w:rPr>
            </w:pPr>
            <w:r w:rsidRPr="00B93DB2">
              <w:rPr>
                <w:rFonts w:ascii="Avenir Next" w:hAnsi="Avenir Next"/>
                <w:b/>
                <w:bCs/>
                <w:color w:val="000000"/>
                <w:sz w:val="14"/>
                <w:szCs w:val="14"/>
              </w:rPr>
              <w:t> mg</w:t>
            </w:r>
          </w:p>
        </w:tc>
      </w:tr>
      <w:tr w:rsidR="00B93DB2" w:rsidRPr="00B93DB2" w14:paraId="76095843"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26462683"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Ověřitelný dílek (e=)</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6C40339F"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 mg</w:t>
            </w:r>
          </w:p>
        </w:tc>
      </w:tr>
      <w:tr w:rsidR="00B93DB2" w:rsidRPr="00B93DB2" w14:paraId="788FFCE2"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5F8C0C22"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Rozsah táry</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1ABA4FB1"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- 52 g</w:t>
            </w:r>
          </w:p>
        </w:tc>
      </w:tr>
      <w:tr w:rsidR="00B93DB2" w:rsidRPr="00B93DB2" w14:paraId="63178EF3" w14:textId="77777777" w:rsidTr="00B93DB2">
        <w:trPr>
          <w:trHeight w:val="180"/>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46E56429"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Standardní opakovatelnost (5% Max)</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69404EAF"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0,005 mg</w:t>
            </w:r>
          </w:p>
        </w:tc>
      </w:tr>
      <w:tr w:rsidR="00B93DB2" w:rsidRPr="00B93DB2" w14:paraId="5EB41041" w14:textId="77777777" w:rsidTr="00B93DB2">
        <w:trPr>
          <w:trHeight w:val="16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19D3F864"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Standardní Opakovatelnost (Max)</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73ECCE52"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0,010 mg</w:t>
            </w:r>
          </w:p>
        </w:tc>
      </w:tr>
      <w:tr w:rsidR="00B93DB2" w:rsidRPr="00B93DB2" w14:paraId="68B6EADE"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3CE0802E"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Linearita</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0BA23423"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 0,03 mg</w:t>
            </w:r>
          </w:p>
        </w:tc>
      </w:tr>
      <w:tr w:rsidR="00B93DB2" w:rsidRPr="00B93DB2" w14:paraId="1DBF2A86"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4C5D43C7"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Excentricita</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30FE102C"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0,03 mg</w:t>
            </w:r>
          </w:p>
        </w:tc>
      </w:tr>
      <w:tr w:rsidR="00B93DB2" w:rsidRPr="00B93DB2" w14:paraId="7989EDA8"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49CF158B"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Min weight dle USP</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287A5E8C"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10 mg</w:t>
            </w:r>
          </w:p>
        </w:tc>
      </w:tr>
      <w:tr w:rsidR="00B93DB2" w:rsidRPr="00B93DB2" w14:paraId="496575D1"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3B6F4D34"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Minimální navážka</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37F19171"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 mg</w:t>
            </w:r>
          </w:p>
        </w:tc>
      </w:tr>
      <w:tr w:rsidR="00B93DB2" w:rsidRPr="00B93DB2" w14:paraId="66777278"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54659DA1"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Čas stabilizace</w:t>
            </w:r>
          </w:p>
          <w:p w14:paraId="595D06FF" w14:textId="77777777" w:rsidR="00B93DB2" w:rsidRPr="00B93DB2" w:rsidRDefault="00B93DB2" w:rsidP="00B93DB2">
            <w:pPr>
              <w:spacing w:before="0" w:after="0"/>
              <w:rPr>
                <w:rFonts w:ascii="Helvetica" w:hAnsi="Helvetica"/>
                <w:sz w:val="18"/>
                <w:szCs w:val="18"/>
              </w:rPr>
            </w:pP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60E258D9"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 4 s</w:t>
            </w:r>
          </w:p>
        </w:tc>
      </w:tr>
      <w:tr w:rsidR="00B93DB2" w:rsidRPr="00B93DB2" w14:paraId="5994882F"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0F6F462E"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Opakovatelnost přípustná (5% Max)</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3AE40B5B"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0,012 mg</w:t>
            </w:r>
          </w:p>
        </w:tc>
      </w:tr>
      <w:tr w:rsidR="00B93DB2" w:rsidRPr="00B93DB2" w14:paraId="1A54B859"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32396305"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Opakovatelnost přípustná (Max)</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5E987887"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0,02 mg</w:t>
            </w:r>
          </w:p>
        </w:tc>
      </w:tr>
      <w:tr w:rsidR="00B93DB2" w:rsidRPr="00B93DB2" w14:paraId="0FC71B0A" w14:textId="77777777" w:rsidTr="00B93DB2">
        <w:trPr>
          <w:trHeight w:val="120"/>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3F30F7FD"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Kalibrace</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vAlign w:val="center"/>
            <w:hideMark/>
          </w:tcPr>
          <w:p w14:paraId="54A66D97"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interní automatická, 2-bodová</w:t>
            </w:r>
          </w:p>
        </w:tc>
      </w:tr>
      <w:tr w:rsidR="00B93DB2" w:rsidRPr="00B93DB2" w14:paraId="036061F4" w14:textId="77777777" w:rsidTr="00B93DB2">
        <w:trPr>
          <w:trHeight w:val="180"/>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646518A9"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Displej</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156FF6EB"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dotykový barevný 10’’, s IR senzory</w:t>
            </w:r>
          </w:p>
        </w:tc>
      </w:tr>
      <w:tr w:rsidR="00B93DB2" w:rsidRPr="00B93DB2" w14:paraId="27B023C4"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239A732F"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Pracovní teplota</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7741859F"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+10° ÷ +40°C</w:t>
            </w:r>
          </w:p>
        </w:tc>
      </w:tr>
      <w:tr w:rsidR="00B93DB2" w:rsidRPr="00B93DB2" w14:paraId="7E955311"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2B58EB8C"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lastRenderedPageBreak/>
              <w:t>Vlhkost okolního ovzduší</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0D512F6E"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40% ÷ 80%</w:t>
            </w:r>
          </w:p>
        </w:tc>
      </w:tr>
      <w:tr w:rsidR="00B93DB2" w:rsidRPr="00B93DB2" w14:paraId="497C94CD"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41A0B7A6"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Velikost vážící misky</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4DB23A8A"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ø 90 mm</w:t>
            </w:r>
          </w:p>
        </w:tc>
      </w:tr>
      <w:tr w:rsidR="00B93DB2" w:rsidRPr="00B93DB2" w14:paraId="4E902779"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4B65600D"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Rozměry váhové komory</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0B22BBED"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170 x 200 x 220 mm</w:t>
            </w:r>
          </w:p>
        </w:tc>
      </w:tr>
      <w:tr w:rsidR="00B93DB2" w:rsidRPr="00B93DB2" w14:paraId="53DD96E7" w14:textId="77777777" w:rsidTr="00B93DB2">
        <w:trPr>
          <w:trHeight w:val="135"/>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0B472587"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Komunikační rozhraní</w:t>
            </w:r>
          </w:p>
        </w:tc>
        <w:tc>
          <w:tcPr>
            <w:tcW w:w="4875" w:type="dxa"/>
            <w:tcBorders>
              <w:top w:val="single" w:sz="2" w:space="0" w:color="auto"/>
              <w:left w:val="single" w:sz="6" w:space="0" w:color="auto"/>
              <w:bottom w:val="single" w:sz="2" w:space="0" w:color="auto"/>
              <w:right w:val="single" w:sz="2" w:space="0" w:color="auto"/>
            </w:tcBorders>
            <w:tcMar>
              <w:top w:w="60" w:type="dxa"/>
              <w:left w:w="60" w:type="dxa"/>
              <w:bottom w:w="60" w:type="dxa"/>
              <w:right w:w="60" w:type="dxa"/>
            </w:tcMar>
            <w:hideMark/>
          </w:tcPr>
          <w:p w14:paraId="437753FB"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WiFi, 2x USB, HDMI, Ethernet, 4in/4out</w:t>
            </w:r>
          </w:p>
        </w:tc>
      </w:tr>
      <w:tr w:rsidR="00B93DB2" w:rsidRPr="00B93DB2" w14:paraId="20EC8F49" w14:textId="77777777" w:rsidTr="00B93DB2">
        <w:trPr>
          <w:trHeight w:val="120"/>
        </w:trPr>
        <w:tc>
          <w:tcPr>
            <w:tcW w:w="2595" w:type="dxa"/>
            <w:tcBorders>
              <w:top w:val="single" w:sz="2" w:space="0" w:color="auto"/>
              <w:left w:val="single" w:sz="2" w:space="0" w:color="auto"/>
              <w:bottom w:val="single" w:sz="2" w:space="0" w:color="auto"/>
              <w:right w:val="single" w:sz="6" w:space="0" w:color="auto"/>
            </w:tcBorders>
            <w:shd w:val="clear" w:color="auto" w:fill="3B88BD"/>
            <w:tcMar>
              <w:top w:w="60" w:type="dxa"/>
              <w:left w:w="60" w:type="dxa"/>
              <w:bottom w:w="60" w:type="dxa"/>
              <w:right w:w="60" w:type="dxa"/>
            </w:tcMar>
            <w:hideMark/>
          </w:tcPr>
          <w:p w14:paraId="76F30A22" w14:textId="77777777" w:rsidR="00B93DB2" w:rsidRPr="00B93DB2" w:rsidRDefault="00B93DB2" w:rsidP="00B93DB2">
            <w:pPr>
              <w:spacing w:before="0" w:after="0"/>
              <w:rPr>
                <w:rFonts w:ascii="Times New Roman" w:hAnsi="Times New Roman"/>
              </w:rPr>
            </w:pPr>
            <w:r w:rsidRPr="00B93DB2">
              <w:rPr>
                <w:rFonts w:ascii="Avenir Next" w:hAnsi="Avenir Next"/>
                <w:color w:val="FFFFFF"/>
                <w:sz w:val="14"/>
                <w:szCs w:val="14"/>
              </w:rPr>
              <w:t>Napájení</w:t>
            </w:r>
          </w:p>
        </w:tc>
        <w:tc>
          <w:tcPr>
            <w:tcW w:w="4875" w:type="dxa"/>
            <w:tcBorders>
              <w:top w:val="single" w:sz="2" w:space="0" w:color="auto"/>
              <w:left w:val="single" w:sz="6" w:space="0" w:color="auto"/>
              <w:bottom w:val="single" w:sz="2" w:space="0" w:color="auto"/>
              <w:right w:val="single" w:sz="2" w:space="0" w:color="auto"/>
            </w:tcBorders>
            <w:shd w:val="clear" w:color="auto" w:fill="EBEBEB"/>
            <w:tcMar>
              <w:top w:w="60" w:type="dxa"/>
              <w:left w:w="60" w:type="dxa"/>
              <w:bottom w:w="60" w:type="dxa"/>
              <w:right w:w="60" w:type="dxa"/>
            </w:tcMar>
            <w:hideMark/>
          </w:tcPr>
          <w:p w14:paraId="64D8C1F8" w14:textId="77777777" w:rsidR="00B93DB2" w:rsidRPr="00B93DB2" w:rsidRDefault="00B93DB2" w:rsidP="00B93DB2">
            <w:pPr>
              <w:spacing w:before="0" w:after="0"/>
              <w:jc w:val="center"/>
              <w:rPr>
                <w:rFonts w:ascii="Times New Roman" w:hAnsi="Times New Roman"/>
              </w:rPr>
            </w:pPr>
            <w:r w:rsidRPr="00B93DB2">
              <w:rPr>
                <w:rFonts w:ascii="Avenir Next" w:hAnsi="Avenir Next"/>
                <w:color w:val="000000"/>
                <w:sz w:val="14"/>
                <w:szCs w:val="14"/>
              </w:rPr>
              <w:t>100 — 240 V AC 50/60 Hz</w:t>
            </w:r>
          </w:p>
          <w:p w14:paraId="6A963E9A" w14:textId="77777777" w:rsidR="00B93DB2" w:rsidRPr="00B93DB2" w:rsidRDefault="00B93DB2" w:rsidP="00B93DB2">
            <w:pPr>
              <w:spacing w:before="0" w:after="0"/>
              <w:rPr>
                <w:rFonts w:ascii="Helvetica" w:hAnsi="Helvetica"/>
                <w:sz w:val="18"/>
                <w:szCs w:val="18"/>
              </w:rPr>
            </w:pPr>
          </w:p>
        </w:tc>
      </w:tr>
    </w:tbl>
    <w:p w14:paraId="15476140" w14:textId="77777777" w:rsidR="00B93DB2" w:rsidRDefault="00B93DB2" w:rsidP="00B93DB2">
      <w:pPr>
        <w:pStyle w:val="3seznam"/>
        <w:rPr>
          <w:rFonts w:ascii="Arial" w:hAnsi="Arial" w:cs="Arial"/>
          <w:sz w:val="20"/>
          <w:szCs w:val="20"/>
        </w:rPr>
      </w:pPr>
      <w:r>
        <w:rPr>
          <w:rFonts w:ascii="Arial" w:hAnsi="Arial" w:cs="Arial"/>
          <w:noProof/>
          <w:sz w:val="20"/>
          <w:szCs w:val="20"/>
        </w:rPr>
        <w:drawing>
          <wp:inline distT="0" distB="0" distL="0" distR="0" wp14:anchorId="6E6A8374" wp14:editId="0741E39E">
            <wp:extent cx="2852530" cy="2852530"/>
            <wp:effectExtent l="0" t="0" r="0" b="0"/>
            <wp:docPr id="2" name="Obrázek 2" descr="Obsah obrázku vá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váh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8597" cy="2888597"/>
                    </a:xfrm>
                    <a:prstGeom prst="rect">
                      <a:avLst/>
                    </a:prstGeom>
                  </pic:spPr>
                </pic:pic>
              </a:graphicData>
            </a:graphic>
          </wp:inline>
        </w:drawing>
      </w:r>
      <w:r>
        <w:rPr>
          <w:rFonts w:ascii="Arial" w:hAnsi="Arial" w:cs="Arial"/>
          <w:noProof/>
          <w:sz w:val="20"/>
          <w:szCs w:val="20"/>
        </w:rPr>
        <w:drawing>
          <wp:inline distT="0" distB="0" distL="0" distR="0" wp14:anchorId="05C5DC39" wp14:editId="129E368D">
            <wp:extent cx="2802835" cy="2802835"/>
            <wp:effectExtent l="0" t="0" r="0" b="0"/>
            <wp:docPr id="3" name="Obrázek 3" descr="Obsah obrázku Domácí spotřebič, umělá hmota, kopírka, spotřebič&#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Domácí spotřebič, umělá hmota, kopírka, spotřebič&#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536" cy="2823536"/>
                    </a:xfrm>
                    <a:prstGeom prst="rect">
                      <a:avLst/>
                    </a:prstGeom>
                  </pic:spPr>
                </pic:pic>
              </a:graphicData>
            </a:graphic>
          </wp:inline>
        </w:drawing>
      </w:r>
    </w:p>
    <w:p w14:paraId="2632C1BE" w14:textId="77777777" w:rsidR="00B93DB2" w:rsidRPr="00A82241" w:rsidRDefault="00B93DB2" w:rsidP="00752811">
      <w:pPr>
        <w:spacing w:after="60" w:line="276" w:lineRule="auto"/>
        <w:ind w:left="708"/>
        <w:rPr>
          <w:rFonts w:ascii="Times New Roman" w:hAnsi="Times New Roman"/>
          <w:bCs/>
          <w:i/>
          <w:sz w:val="22"/>
          <w:szCs w:val="22"/>
        </w:rPr>
      </w:pPr>
    </w:p>
    <w:sectPr w:rsidR="00B93DB2" w:rsidRPr="00A82241" w:rsidSect="002E47D0">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4C3E" w14:textId="77777777" w:rsidR="00F349FE" w:rsidRDefault="00F349FE" w:rsidP="00E47F46">
      <w:pPr>
        <w:spacing w:before="0" w:after="0"/>
      </w:pPr>
      <w:r>
        <w:separator/>
      </w:r>
    </w:p>
  </w:endnote>
  <w:endnote w:type="continuationSeparator" w:id="0">
    <w:p w14:paraId="7B6ECD09" w14:textId="77777777" w:rsidR="00F349FE" w:rsidRDefault="00F349FE"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64E4" w14:textId="77777777" w:rsidR="004C2958" w:rsidRDefault="004C29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EndPr/>
    <w:sdtContent>
      <w:p w14:paraId="4F0E6745" w14:textId="2D93A04E" w:rsidR="000466AF" w:rsidRDefault="000466AF">
        <w:pPr>
          <w:pStyle w:val="Zpat"/>
          <w:jc w:val="right"/>
        </w:pPr>
        <w:r>
          <w:fldChar w:fldCharType="begin"/>
        </w:r>
        <w:r>
          <w:instrText>PAGE   \* MERGEFORMAT</w:instrText>
        </w:r>
        <w:r>
          <w:fldChar w:fldCharType="separate"/>
        </w:r>
        <w:r>
          <w:rPr>
            <w:noProof/>
          </w:rPr>
          <w:t>6</w:t>
        </w:r>
        <w:r>
          <w:fldChar w:fldCharType="end"/>
        </w:r>
      </w:p>
    </w:sdtContent>
  </w:sdt>
  <w:p w14:paraId="769C9289" w14:textId="77777777" w:rsidR="000466AF" w:rsidRDefault="000466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EC6F" w14:textId="77777777" w:rsidR="004C2958" w:rsidRDefault="004C29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8680" w14:textId="77777777" w:rsidR="00F349FE" w:rsidRDefault="00F349FE" w:rsidP="00E47F46">
      <w:pPr>
        <w:spacing w:before="0" w:after="0"/>
      </w:pPr>
      <w:r>
        <w:separator/>
      </w:r>
    </w:p>
  </w:footnote>
  <w:footnote w:type="continuationSeparator" w:id="0">
    <w:p w14:paraId="299F895F" w14:textId="77777777" w:rsidR="00F349FE" w:rsidRDefault="00F349FE"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C566" w14:textId="77777777" w:rsidR="004C2958" w:rsidRDefault="004C29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4E34" w14:textId="4C4B8A38" w:rsidR="00CC59E2" w:rsidRDefault="004C2958" w:rsidP="006A20AC">
    <w:pPr>
      <w:pStyle w:val="Zhlav"/>
      <w:jc w:val="center"/>
    </w:pPr>
    <w:bookmarkStart w:id="6" w:name="_Hlk114127160"/>
    <w:r>
      <w:rPr>
        <w:rFonts w:ascii="Times New Roman" w:hAnsi="Times New Roman"/>
        <w:noProof/>
      </w:rPr>
      <w:drawing>
        <wp:inline distT="0" distB="0" distL="0" distR="0" wp14:anchorId="221B73EC" wp14:editId="10313F06">
          <wp:extent cx="5172075" cy="5715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72075" cy="571500"/>
                  </a:xfrm>
                  <a:prstGeom prst="rect">
                    <a:avLst/>
                  </a:prstGeom>
                  <a:noFill/>
                  <a:ln>
                    <a:noFill/>
                  </a:ln>
                </pic:spPr>
              </pic:pic>
            </a:graphicData>
          </a:graphic>
        </wp:inline>
      </w:drawing>
    </w:r>
  </w:p>
  <w:p w14:paraId="21078FBC" w14:textId="77777777" w:rsidR="002E47D0" w:rsidRDefault="002E47D0" w:rsidP="002E47D0">
    <w:pPr>
      <w:pStyle w:val="Zhlav"/>
      <w:rPr>
        <w:rFonts w:ascii="Times New Roman" w:hAnsi="Times New Roman"/>
      </w:rPr>
    </w:pPr>
  </w:p>
  <w:bookmarkEnd w:i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2CB2" w14:textId="77777777" w:rsidR="004C2958" w:rsidRDefault="004C29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3C56E4"/>
    <w:multiLevelType w:val="hybridMultilevel"/>
    <w:tmpl w:val="3CFA8B9E"/>
    <w:numStyleLink w:val="ImportedStyle3"/>
  </w:abstractNum>
  <w:abstractNum w:abstractNumId="2" w15:restartNumberingAfterBreak="0">
    <w:nsid w:val="3CAF3759"/>
    <w:multiLevelType w:val="hybridMultilevel"/>
    <w:tmpl w:val="3CFA8B9E"/>
    <w:styleLink w:val="ImportedStyle3"/>
    <w:lvl w:ilvl="0" w:tplc="D3AC177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88DAAAB0">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58D23E">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525E437C">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tplc="72D267CE">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tplc="ABF202EA">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052EBF2">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tplc="49AE2D1C">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tplc="01AEB4A4">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312487846">
    <w:abstractNumId w:val="4"/>
  </w:num>
  <w:num w:numId="2" w16cid:durableId="1880316509">
    <w:abstractNumId w:val="3"/>
  </w:num>
  <w:num w:numId="3" w16cid:durableId="1219632475">
    <w:abstractNumId w:val="0"/>
  </w:num>
  <w:num w:numId="4" w16cid:durableId="1102654037">
    <w:abstractNumId w:val="2"/>
  </w:num>
  <w:num w:numId="5" w16cid:durableId="1988319964">
    <w:abstractNumId w:val="1"/>
    <w:lvlOverride w:ilvl="0">
      <w:startOverride w:val="1"/>
      <w:lvl w:ilvl="0" w:tplc="E3EEAA42">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90F7EC">
        <w:start w:val="1"/>
        <w:numFmt w:val="lowerRoman"/>
        <w:lvlText w:val="(%2)"/>
        <w:lvlJc w:val="left"/>
        <w:pPr>
          <w:tabs>
            <w:tab w:val="left" w:pos="397"/>
            <w:tab w:val="num" w:pos="1276"/>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36C5D7E">
        <w:start w:val="1"/>
        <w:numFmt w:val="lowerRoman"/>
        <w:lvlText w:val="(%3)"/>
        <w:lvlJc w:val="left"/>
        <w:pPr>
          <w:tabs>
            <w:tab w:val="left" w:pos="397"/>
            <w:tab w:val="left" w:pos="1276"/>
            <w:tab w:val="num" w:pos="2319"/>
          </w:tabs>
          <w:ind w:left="1837" w:hanging="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786B99C">
        <w:start w:val="1"/>
        <w:numFmt w:val="decimal"/>
        <w:lvlText w:val="%4."/>
        <w:lvlJc w:val="left"/>
        <w:pPr>
          <w:tabs>
            <w:tab w:val="left" w:pos="397"/>
            <w:tab w:val="left" w:pos="1276"/>
            <w:tab w:val="num" w:pos="3362"/>
          </w:tabs>
          <w:ind w:left="2880" w:hanging="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B46CDF2">
        <w:start w:val="1"/>
        <w:numFmt w:val="lowerLetter"/>
        <w:lvlText w:val="%5."/>
        <w:lvlJc w:val="left"/>
        <w:pPr>
          <w:tabs>
            <w:tab w:val="left" w:pos="397"/>
            <w:tab w:val="left" w:pos="1276"/>
            <w:tab w:val="num" w:pos="4082"/>
          </w:tabs>
          <w:ind w:left="3600"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90B79C">
        <w:start w:val="1"/>
        <w:numFmt w:val="lowerRoman"/>
        <w:lvlText w:val="%6."/>
        <w:lvlJc w:val="left"/>
        <w:pPr>
          <w:tabs>
            <w:tab w:val="left" w:pos="397"/>
            <w:tab w:val="left" w:pos="1276"/>
            <w:tab w:val="num" w:pos="4802"/>
          </w:tabs>
          <w:ind w:left="4320" w:firstLine="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6AC9FC">
        <w:start w:val="1"/>
        <w:numFmt w:val="decimal"/>
        <w:lvlText w:val="%7."/>
        <w:lvlJc w:val="left"/>
        <w:pPr>
          <w:tabs>
            <w:tab w:val="left" w:pos="397"/>
            <w:tab w:val="left" w:pos="1276"/>
            <w:tab w:val="num" w:pos="5522"/>
          </w:tabs>
          <w:ind w:left="5040"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9ACC0E">
        <w:start w:val="1"/>
        <w:numFmt w:val="lowerLetter"/>
        <w:lvlText w:val="%8."/>
        <w:lvlJc w:val="left"/>
        <w:pPr>
          <w:tabs>
            <w:tab w:val="left" w:pos="397"/>
            <w:tab w:val="left" w:pos="1276"/>
            <w:tab w:val="num" w:pos="6242"/>
          </w:tabs>
          <w:ind w:left="5760" w:hanging="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7226FA">
        <w:start w:val="1"/>
        <w:numFmt w:val="lowerRoman"/>
        <w:lvlText w:val="%9."/>
        <w:lvlJc w:val="left"/>
        <w:pPr>
          <w:tabs>
            <w:tab w:val="left" w:pos="397"/>
            <w:tab w:val="left" w:pos="1276"/>
            <w:tab w:val="num" w:pos="6962"/>
          </w:tabs>
          <w:ind w:left="6480" w:firstLine="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795103086">
    <w:abstractNumId w:val="1"/>
    <w:lvlOverride w:ilvl="0">
      <w:lvl w:ilvl="0" w:tplc="E3EEAA42">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90F7EC">
        <w:start w:val="1"/>
        <w:numFmt w:val="lowerRoman"/>
        <w:lvlText w:val="(%2)"/>
        <w:lvlJc w:val="left"/>
        <w:pPr>
          <w:tabs>
            <w:tab w:val="left" w:pos="397"/>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6C5D7E">
        <w:start w:val="1"/>
        <w:numFmt w:val="lowerRoman"/>
        <w:lvlText w:val="(%3)"/>
        <w:lvlJc w:val="left"/>
        <w:pPr>
          <w:tabs>
            <w:tab w:val="left" w:pos="397"/>
            <w:tab w:val="left" w:pos="1276"/>
          </w:tabs>
          <w:ind w:left="2319" w:hanging="4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86B99C">
        <w:start w:val="1"/>
        <w:numFmt w:val="decimal"/>
        <w:lvlText w:val="%4."/>
        <w:lvlJc w:val="left"/>
        <w:pPr>
          <w:tabs>
            <w:tab w:val="left" w:pos="397"/>
            <w:tab w:val="left" w:pos="1276"/>
          </w:tabs>
          <w:ind w:left="336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B46CDF2">
        <w:start w:val="1"/>
        <w:numFmt w:val="lowerLetter"/>
        <w:lvlText w:val="%5."/>
        <w:lvlJc w:val="left"/>
        <w:pPr>
          <w:tabs>
            <w:tab w:val="left" w:pos="397"/>
            <w:tab w:val="left" w:pos="1276"/>
          </w:tabs>
          <w:ind w:left="408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90B79C">
        <w:start w:val="1"/>
        <w:numFmt w:val="lowerRoman"/>
        <w:lvlText w:val="%6."/>
        <w:lvlJc w:val="left"/>
        <w:pPr>
          <w:tabs>
            <w:tab w:val="left" w:pos="397"/>
            <w:tab w:val="left" w:pos="1276"/>
          </w:tabs>
          <w:ind w:left="4802"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6AC9FC">
        <w:start w:val="1"/>
        <w:numFmt w:val="decimal"/>
        <w:lvlText w:val="%7."/>
        <w:lvlJc w:val="left"/>
        <w:pPr>
          <w:tabs>
            <w:tab w:val="left" w:pos="397"/>
            <w:tab w:val="left" w:pos="1276"/>
          </w:tabs>
          <w:ind w:left="552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9ACC0E">
        <w:start w:val="1"/>
        <w:numFmt w:val="lowerLetter"/>
        <w:lvlText w:val="%8."/>
        <w:lvlJc w:val="left"/>
        <w:pPr>
          <w:tabs>
            <w:tab w:val="left" w:pos="397"/>
            <w:tab w:val="left" w:pos="1276"/>
          </w:tabs>
          <w:ind w:left="624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7226FA">
        <w:start w:val="1"/>
        <w:numFmt w:val="lowerRoman"/>
        <w:lvlText w:val="%9."/>
        <w:lvlJc w:val="left"/>
        <w:pPr>
          <w:tabs>
            <w:tab w:val="left" w:pos="397"/>
            <w:tab w:val="left" w:pos="1276"/>
          </w:tabs>
          <w:ind w:left="6962"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10FD2"/>
    <w:rsid w:val="00027252"/>
    <w:rsid w:val="00027A48"/>
    <w:rsid w:val="0004486A"/>
    <w:rsid w:val="000466AF"/>
    <w:rsid w:val="000503ED"/>
    <w:rsid w:val="00063D4D"/>
    <w:rsid w:val="0009381A"/>
    <w:rsid w:val="000A048E"/>
    <w:rsid w:val="000A546D"/>
    <w:rsid w:val="000B7F81"/>
    <w:rsid w:val="000C6FCF"/>
    <w:rsid w:val="000D28F6"/>
    <w:rsid w:val="000D4CE2"/>
    <w:rsid w:val="000E0F34"/>
    <w:rsid w:val="000F14E6"/>
    <w:rsid w:val="000F153D"/>
    <w:rsid w:val="000F2103"/>
    <w:rsid w:val="000F613C"/>
    <w:rsid w:val="000F7D59"/>
    <w:rsid w:val="00105F62"/>
    <w:rsid w:val="001170F6"/>
    <w:rsid w:val="00127E88"/>
    <w:rsid w:val="00137C21"/>
    <w:rsid w:val="00156A16"/>
    <w:rsid w:val="001801EE"/>
    <w:rsid w:val="001A0E1D"/>
    <w:rsid w:val="001A3152"/>
    <w:rsid w:val="001A4066"/>
    <w:rsid w:val="001A5BFF"/>
    <w:rsid w:val="001C5F75"/>
    <w:rsid w:val="001C604A"/>
    <w:rsid w:val="001D6238"/>
    <w:rsid w:val="001F6561"/>
    <w:rsid w:val="00220F52"/>
    <w:rsid w:val="00225192"/>
    <w:rsid w:val="0025471B"/>
    <w:rsid w:val="002644C5"/>
    <w:rsid w:val="00267FBF"/>
    <w:rsid w:val="0027476E"/>
    <w:rsid w:val="00274E6D"/>
    <w:rsid w:val="00283AB7"/>
    <w:rsid w:val="00295E62"/>
    <w:rsid w:val="002A491B"/>
    <w:rsid w:val="002B480B"/>
    <w:rsid w:val="002E47D0"/>
    <w:rsid w:val="002F49E4"/>
    <w:rsid w:val="00300E01"/>
    <w:rsid w:val="00321819"/>
    <w:rsid w:val="0032625C"/>
    <w:rsid w:val="00344BC1"/>
    <w:rsid w:val="00360575"/>
    <w:rsid w:val="00380D67"/>
    <w:rsid w:val="0039166F"/>
    <w:rsid w:val="0039564D"/>
    <w:rsid w:val="003B1519"/>
    <w:rsid w:val="003B4776"/>
    <w:rsid w:val="003C7714"/>
    <w:rsid w:val="003E0192"/>
    <w:rsid w:val="004052DC"/>
    <w:rsid w:val="0041518C"/>
    <w:rsid w:val="00433A77"/>
    <w:rsid w:val="004733C7"/>
    <w:rsid w:val="004A3177"/>
    <w:rsid w:val="004A679F"/>
    <w:rsid w:val="004C2958"/>
    <w:rsid w:val="004E1C2B"/>
    <w:rsid w:val="004E64EE"/>
    <w:rsid w:val="004F7A0F"/>
    <w:rsid w:val="00525E32"/>
    <w:rsid w:val="00533293"/>
    <w:rsid w:val="00540445"/>
    <w:rsid w:val="00545A14"/>
    <w:rsid w:val="00561DBD"/>
    <w:rsid w:val="005738EA"/>
    <w:rsid w:val="005A0F20"/>
    <w:rsid w:val="005A6C36"/>
    <w:rsid w:val="005B21E3"/>
    <w:rsid w:val="005B35C6"/>
    <w:rsid w:val="005C38AE"/>
    <w:rsid w:val="005D69DA"/>
    <w:rsid w:val="005E0C66"/>
    <w:rsid w:val="005E4D63"/>
    <w:rsid w:val="005F3744"/>
    <w:rsid w:val="00603185"/>
    <w:rsid w:val="00612CD4"/>
    <w:rsid w:val="00614B02"/>
    <w:rsid w:val="00622BBB"/>
    <w:rsid w:val="006276F5"/>
    <w:rsid w:val="00661C7B"/>
    <w:rsid w:val="00666257"/>
    <w:rsid w:val="006A20AC"/>
    <w:rsid w:val="006B299F"/>
    <w:rsid w:val="006C79BE"/>
    <w:rsid w:val="00706A38"/>
    <w:rsid w:val="00711C18"/>
    <w:rsid w:val="007177F8"/>
    <w:rsid w:val="00721869"/>
    <w:rsid w:val="00722041"/>
    <w:rsid w:val="0072440C"/>
    <w:rsid w:val="00732588"/>
    <w:rsid w:val="00752811"/>
    <w:rsid w:val="00757CA3"/>
    <w:rsid w:val="00765DDB"/>
    <w:rsid w:val="00765F4A"/>
    <w:rsid w:val="00774C42"/>
    <w:rsid w:val="00795ED7"/>
    <w:rsid w:val="007C4138"/>
    <w:rsid w:val="007D429D"/>
    <w:rsid w:val="007E52A0"/>
    <w:rsid w:val="008131AD"/>
    <w:rsid w:val="00822877"/>
    <w:rsid w:val="00831483"/>
    <w:rsid w:val="00832C95"/>
    <w:rsid w:val="00857A63"/>
    <w:rsid w:val="008729B5"/>
    <w:rsid w:val="008A0551"/>
    <w:rsid w:val="008A2616"/>
    <w:rsid w:val="008F309E"/>
    <w:rsid w:val="009000B0"/>
    <w:rsid w:val="00902DCC"/>
    <w:rsid w:val="00906446"/>
    <w:rsid w:val="00914C41"/>
    <w:rsid w:val="009214C3"/>
    <w:rsid w:val="009531F6"/>
    <w:rsid w:val="00963280"/>
    <w:rsid w:val="0096677B"/>
    <w:rsid w:val="00970B3B"/>
    <w:rsid w:val="00976AFC"/>
    <w:rsid w:val="00976CEC"/>
    <w:rsid w:val="00997A0B"/>
    <w:rsid w:val="009A6750"/>
    <w:rsid w:val="009D0BE4"/>
    <w:rsid w:val="009D6AA6"/>
    <w:rsid w:val="009F0199"/>
    <w:rsid w:val="009F4F0A"/>
    <w:rsid w:val="009F59FA"/>
    <w:rsid w:val="00A25091"/>
    <w:rsid w:val="00A25FD1"/>
    <w:rsid w:val="00A263EB"/>
    <w:rsid w:val="00A31349"/>
    <w:rsid w:val="00A320D4"/>
    <w:rsid w:val="00A437A2"/>
    <w:rsid w:val="00A45A76"/>
    <w:rsid w:val="00A60460"/>
    <w:rsid w:val="00A614E6"/>
    <w:rsid w:val="00A64343"/>
    <w:rsid w:val="00A64584"/>
    <w:rsid w:val="00A676CF"/>
    <w:rsid w:val="00A70F3E"/>
    <w:rsid w:val="00A80D79"/>
    <w:rsid w:val="00A82241"/>
    <w:rsid w:val="00A94B74"/>
    <w:rsid w:val="00AB015B"/>
    <w:rsid w:val="00AC29A5"/>
    <w:rsid w:val="00AC6AB0"/>
    <w:rsid w:val="00AE18D8"/>
    <w:rsid w:val="00AE7B52"/>
    <w:rsid w:val="00AF26EE"/>
    <w:rsid w:val="00B17A83"/>
    <w:rsid w:val="00B235F0"/>
    <w:rsid w:val="00B41A3D"/>
    <w:rsid w:val="00B84111"/>
    <w:rsid w:val="00B93DB2"/>
    <w:rsid w:val="00BA1A71"/>
    <w:rsid w:val="00BA5703"/>
    <w:rsid w:val="00BB012E"/>
    <w:rsid w:val="00BE365A"/>
    <w:rsid w:val="00BF3551"/>
    <w:rsid w:val="00BF7B21"/>
    <w:rsid w:val="00C0381C"/>
    <w:rsid w:val="00C11A79"/>
    <w:rsid w:val="00C14947"/>
    <w:rsid w:val="00C255AA"/>
    <w:rsid w:val="00C342D0"/>
    <w:rsid w:val="00C85A21"/>
    <w:rsid w:val="00C91F80"/>
    <w:rsid w:val="00C94AE4"/>
    <w:rsid w:val="00C94B9D"/>
    <w:rsid w:val="00CA074C"/>
    <w:rsid w:val="00CA6AA7"/>
    <w:rsid w:val="00CC59E2"/>
    <w:rsid w:val="00CC66E2"/>
    <w:rsid w:val="00D15727"/>
    <w:rsid w:val="00D16485"/>
    <w:rsid w:val="00D33AD6"/>
    <w:rsid w:val="00D77717"/>
    <w:rsid w:val="00D84BCA"/>
    <w:rsid w:val="00DA5327"/>
    <w:rsid w:val="00DD2ACA"/>
    <w:rsid w:val="00DD413E"/>
    <w:rsid w:val="00DE7BF9"/>
    <w:rsid w:val="00DF184E"/>
    <w:rsid w:val="00E041D4"/>
    <w:rsid w:val="00E24F7D"/>
    <w:rsid w:val="00E27AC2"/>
    <w:rsid w:val="00E30452"/>
    <w:rsid w:val="00E357D4"/>
    <w:rsid w:val="00E47F46"/>
    <w:rsid w:val="00E66596"/>
    <w:rsid w:val="00E66BBD"/>
    <w:rsid w:val="00E7162A"/>
    <w:rsid w:val="00E83FC0"/>
    <w:rsid w:val="00EA25C6"/>
    <w:rsid w:val="00EC4ECA"/>
    <w:rsid w:val="00ED0B62"/>
    <w:rsid w:val="00ED0DFB"/>
    <w:rsid w:val="00EE5542"/>
    <w:rsid w:val="00EF44D4"/>
    <w:rsid w:val="00EF527E"/>
    <w:rsid w:val="00F057E0"/>
    <w:rsid w:val="00F06AD4"/>
    <w:rsid w:val="00F06E92"/>
    <w:rsid w:val="00F07837"/>
    <w:rsid w:val="00F153F5"/>
    <w:rsid w:val="00F2318F"/>
    <w:rsid w:val="00F349FE"/>
    <w:rsid w:val="00F3672E"/>
    <w:rsid w:val="00F40949"/>
    <w:rsid w:val="00F41200"/>
    <w:rsid w:val="00F435D4"/>
    <w:rsid w:val="00F82B67"/>
    <w:rsid w:val="00F85526"/>
    <w:rsid w:val="00F93601"/>
    <w:rsid w:val="00FC27B6"/>
    <w:rsid w:val="00FD36CD"/>
    <w:rsid w:val="00FE3705"/>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paragraph" w:styleId="Nadpis2">
    <w:name w:val="heading 2"/>
    <w:next w:val="Normln"/>
    <w:link w:val="Nadpis2Char"/>
    <w:uiPriority w:val="9"/>
    <w:unhideWhenUsed/>
    <w:qFormat/>
    <w:rsid w:val="00AB015B"/>
    <w:pPr>
      <w:pBdr>
        <w:top w:val="nil"/>
        <w:left w:val="nil"/>
        <w:bottom w:val="nil"/>
        <w:right w:val="nil"/>
        <w:between w:val="nil"/>
        <w:bar w:val="nil"/>
      </w:pBdr>
      <w:tabs>
        <w:tab w:val="left" w:pos="851"/>
        <w:tab w:val="left" w:pos="1134"/>
      </w:tabs>
      <w:spacing w:before="240" w:after="60" w:line="276" w:lineRule="auto"/>
      <w:ind w:left="283" w:hanging="283"/>
      <w:jc w:val="both"/>
      <w:outlineLvl w:val="1"/>
    </w:pPr>
    <w:rPr>
      <w:rFonts w:ascii="Calibri" w:eastAsia="Arial Unicode MS" w:hAnsi="Calibri" w:cs="Arial Unicode MS"/>
      <w:color w:val="00000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aliases w:val="hdr,hdr1,hdr2,hdr3,hdr4,hdr5,hdr6"/>
    <w:basedOn w:val="Normln"/>
    <w:link w:val="ZhlavChar"/>
    <w:uiPriority w:val="99"/>
    <w:unhideWhenUsed/>
    <w:rsid w:val="00E47F46"/>
    <w:pPr>
      <w:tabs>
        <w:tab w:val="center" w:pos="4536"/>
        <w:tab w:val="right" w:pos="9072"/>
      </w:tabs>
      <w:spacing w:before="0" w:after="0"/>
    </w:pPr>
  </w:style>
  <w:style w:type="character" w:customStyle="1" w:styleId="ZhlavChar">
    <w:name w:val="Záhlaví Char"/>
    <w:aliases w:val="hdr Char,hdr1 Char,hdr2 Char,hdr3 Char,hdr4 Char,hdr5 Char,hdr6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paragraph" w:styleId="Revize">
    <w:name w:val="Revision"/>
    <w:hidden/>
    <w:uiPriority w:val="99"/>
    <w:semiHidden/>
    <w:rsid w:val="00010FD2"/>
    <w:pPr>
      <w:spacing w:after="0" w:line="240" w:lineRule="auto"/>
    </w:pPr>
    <w:rPr>
      <w:rFonts w:ascii="Calibri" w:eastAsia="Times New Roman" w:hAnsi="Calibri" w:cs="Times New Roman"/>
      <w:sz w:val="24"/>
      <w:szCs w:val="24"/>
      <w:lang w:eastAsia="cs-CZ"/>
    </w:rPr>
  </w:style>
  <w:style w:type="character" w:styleId="Nevyeenzmnka">
    <w:name w:val="Unresolved Mention"/>
    <w:basedOn w:val="Standardnpsmoodstavce"/>
    <w:uiPriority w:val="99"/>
    <w:semiHidden/>
    <w:unhideWhenUsed/>
    <w:rsid w:val="00DF184E"/>
    <w:rPr>
      <w:color w:val="605E5C"/>
      <w:shd w:val="clear" w:color="auto" w:fill="E1DFDD"/>
    </w:rPr>
  </w:style>
  <w:style w:type="character" w:customStyle="1" w:styleId="Nadpis2Char">
    <w:name w:val="Nadpis 2 Char"/>
    <w:basedOn w:val="Standardnpsmoodstavce"/>
    <w:link w:val="Nadpis2"/>
    <w:uiPriority w:val="9"/>
    <w:rsid w:val="00AB015B"/>
    <w:rPr>
      <w:rFonts w:ascii="Calibri" w:eastAsia="Arial Unicode MS" w:hAnsi="Calibri" w:cs="Arial Unicode MS"/>
      <w:color w:val="000000"/>
      <w:u w:color="000000"/>
      <w:bdr w:val="nil"/>
      <w:lang w:eastAsia="cs-CZ"/>
    </w:rPr>
  </w:style>
  <w:style w:type="paragraph" w:customStyle="1" w:styleId="Odrazka2">
    <w:name w:val="Odrazka 2"/>
    <w:rsid w:val="00AB015B"/>
    <w:pPr>
      <w:pBdr>
        <w:top w:val="nil"/>
        <w:left w:val="nil"/>
        <w:bottom w:val="nil"/>
        <w:right w:val="nil"/>
        <w:between w:val="nil"/>
        <w:bar w:val="nil"/>
      </w:pBdr>
      <w:tabs>
        <w:tab w:val="left" w:pos="397"/>
        <w:tab w:val="left" w:pos="794"/>
      </w:tabs>
      <w:spacing w:before="60" w:after="60" w:line="276" w:lineRule="auto"/>
      <w:jc w:val="both"/>
    </w:pPr>
    <w:rPr>
      <w:rFonts w:ascii="Calibri" w:eastAsia="Arial Unicode MS" w:hAnsi="Calibri" w:cs="Arial Unicode MS"/>
      <w:color w:val="000000"/>
      <w:u w:color="000000"/>
      <w:bdr w:val="nil"/>
      <w:lang w:eastAsia="cs-CZ"/>
    </w:rPr>
  </w:style>
  <w:style w:type="numbering" w:customStyle="1" w:styleId="ImportedStyle3">
    <w:name w:val="Imported Style 3"/>
    <w:rsid w:val="00AB015B"/>
    <w:pPr>
      <w:numPr>
        <w:numId w:val="4"/>
      </w:numPr>
    </w:pPr>
  </w:style>
  <w:style w:type="character" w:styleId="Sledovanodkaz">
    <w:name w:val="FollowedHyperlink"/>
    <w:basedOn w:val="Standardnpsmoodstavce"/>
    <w:uiPriority w:val="99"/>
    <w:semiHidden/>
    <w:unhideWhenUsed/>
    <w:rsid w:val="00A437A2"/>
    <w:rPr>
      <w:color w:val="954F72" w:themeColor="followedHyperlink"/>
      <w:u w:val="single"/>
    </w:rPr>
  </w:style>
  <w:style w:type="paragraph" w:styleId="Normlnweb">
    <w:name w:val="Normal (Web)"/>
    <w:basedOn w:val="Normln"/>
    <w:uiPriority w:val="99"/>
    <w:semiHidden/>
    <w:unhideWhenUsed/>
    <w:rsid w:val="00B93DB2"/>
    <w:pPr>
      <w:spacing w:before="100" w:beforeAutospacing="1" w:after="100" w:afterAutospacing="1"/>
    </w:pPr>
    <w:rPr>
      <w:rFonts w:ascii="Times New Roman" w:hAnsi="Times New Roman"/>
    </w:rPr>
  </w:style>
  <w:style w:type="paragraph" w:customStyle="1" w:styleId="3seznam">
    <w:name w:val="3seznam"/>
    <w:basedOn w:val="Normln"/>
    <w:qFormat/>
    <w:rsid w:val="00B93DB2"/>
    <w:pPr>
      <w:spacing w:before="120"/>
      <w:jc w:val="both"/>
    </w:pPr>
    <w:rPr>
      <w:rFonts w:eastAsia="Calibri"/>
      <w:sz w:val="22"/>
      <w:szCs w:val="22"/>
      <w:lang w:eastAsia="en-US"/>
    </w:rPr>
  </w:style>
  <w:style w:type="paragraph" w:styleId="Bezmezer">
    <w:name w:val="No Spacing"/>
    <w:uiPriority w:val="1"/>
    <w:qFormat/>
    <w:rsid w:val="00B93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4834">
      <w:bodyDiv w:val="1"/>
      <w:marLeft w:val="0"/>
      <w:marRight w:val="0"/>
      <w:marTop w:val="0"/>
      <w:marBottom w:val="0"/>
      <w:divBdr>
        <w:top w:val="none" w:sz="0" w:space="0" w:color="auto"/>
        <w:left w:val="none" w:sz="0" w:space="0" w:color="auto"/>
        <w:bottom w:val="none" w:sz="0" w:space="0" w:color="auto"/>
        <w:right w:val="none" w:sz="0" w:space="0" w:color="auto"/>
      </w:divBdr>
    </w:div>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 w:id="15562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af.cuni.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C:\Users\vitkovamarke\AppData\Local\Microsoft\Windows\INetCache\Content.Outlook\SGZ2I97C\logolink%20CZ%20(002).jpg" TargetMode="External"/><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2EE9E1-8F4B-4054-82C7-C04B691B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3335</Words>
  <Characters>19677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Pavlína Hynková</cp:lastModifiedBy>
  <cp:revision>3</cp:revision>
  <cp:lastPrinted>2024-02-21T12:12:00Z</cp:lastPrinted>
  <dcterms:created xsi:type="dcterms:W3CDTF">2024-10-16T09:37:00Z</dcterms:created>
  <dcterms:modified xsi:type="dcterms:W3CDTF">2024-10-29T20:09:00Z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