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7D8C" w14:textId="1783241E" w:rsidR="00B616B0" w:rsidRPr="000005F5" w:rsidRDefault="00713E6E" w:rsidP="00F662EA">
      <w:pPr>
        <w:pStyle w:val="Nadpis1"/>
      </w:pPr>
      <w:r w:rsidRPr="000005F5">
        <w:t>ABB</w:t>
      </w:r>
      <w:r w:rsidR="00A86FFF" w:rsidRPr="000005F5">
        <w:t xml:space="preserve"> s.r.o.</w:t>
      </w:r>
    </w:p>
    <w:p w14:paraId="1BCEDA79" w14:textId="1917593A" w:rsidR="00D2288B" w:rsidRPr="000005F5" w:rsidRDefault="00F039EF" w:rsidP="00640BF3">
      <w:pPr>
        <w:spacing w:line="276" w:lineRule="auto"/>
        <w:jc w:val="center"/>
        <w:rPr>
          <w:rFonts w:cs="Arial"/>
          <w:szCs w:val="24"/>
        </w:rPr>
      </w:pPr>
      <w:r w:rsidRPr="000005F5">
        <w:rPr>
          <w:rFonts w:cs="Arial"/>
          <w:szCs w:val="24"/>
        </w:rPr>
        <w:t>se sídlem Praha</w:t>
      </w:r>
      <w:r w:rsidR="00D2288B" w:rsidRPr="000005F5">
        <w:rPr>
          <w:rFonts w:cs="Arial"/>
          <w:szCs w:val="24"/>
        </w:rPr>
        <w:t xml:space="preserve"> </w:t>
      </w:r>
      <w:r w:rsidR="00F5142F" w:rsidRPr="000005F5">
        <w:rPr>
          <w:rFonts w:cs="Arial"/>
          <w:color w:val="000000"/>
          <w:szCs w:val="24"/>
          <w:shd w:val="clear" w:color="auto" w:fill="FFFFFF"/>
        </w:rPr>
        <w:t>Vyskočilova 1561/4a, Michle, 140 00 Praha</w:t>
      </w:r>
      <w:r w:rsidR="00D2288B" w:rsidRPr="000005F5">
        <w:rPr>
          <w:rFonts w:cs="Arial"/>
          <w:szCs w:val="24"/>
        </w:rPr>
        <w:t xml:space="preserve"> </w:t>
      </w:r>
    </w:p>
    <w:p w14:paraId="38D40828" w14:textId="22860F0A" w:rsidR="00F039EF" w:rsidRPr="000005F5" w:rsidRDefault="00F039EF" w:rsidP="00640BF3">
      <w:pPr>
        <w:spacing w:line="276" w:lineRule="auto"/>
        <w:jc w:val="center"/>
        <w:rPr>
          <w:rFonts w:cs="Arial"/>
          <w:szCs w:val="24"/>
        </w:rPr>
      </w:pPr>
      <w:r w:rsidRPr="000005F5">
        <w:rPr>
          <w:rFonts w:cs="Arial"/>
          <w:szCs w:val="24"/>
        </w:rPr>
        <w:t>IČ:</w:t>
      </w:r>
      <w:r w:rsidR="009A1BBD" w:rsidRPr="000005F5">
        <w:rPr>
          <w:rFonts w:cs="Arial"/>
          <w:szCs w:val="24"/>
        </w:rPr>
        <w:t xml:space="preserve"> </w:t>
      </w:r>
      <w:r w:rsidR="00F5142F" w:rsidRPr="000005F5">
        <w:rPr>
          <w:rFonts w:cs="Arial"/>
          <w:color w:val="000000"/>
          <w:szCs w:val="24"/>
          <w:shd w:val="clear" w:color="auto" w:fill="FFFFFF"/>
        </w:rPr>
        <w:t>49682563 </w:t>
      </w:r>
      <w:r w:rsidRPr="000005F5">
        <w:rPr>
          <w:rFonts w:cs="Arial"/>
          <w:szCs w:val="24"/>
        </w:rPr>
        <w:t xml:space="preserve">DIČ: </w:t>
      </w:r>
      <w:r w:rsidR="00F5142F" w:rsidRPr="000005F5">
        <w:rPr>
          <w:rFonts w:cs="Arial"/>
          <w:szCs w:val="24"/>
        </w:rPr>
        <w:t>CZ</w:t>
      </w:r>
      <w:r w:rsidR="00F5142F" w:rsidRPr="000005F5">
        <w:rPr>
          <w:rFonts w:cs="Arial"/>
          <w:color w:val="000000"/>
          <w:szCs w:val="24"/>
          <w:shd w:val="clear" w:color="auto" w:fill="FFFFFF"/>
        </w:rPr>
        <w:t xml:space="preserve"> 49682563 </w:t>
      </w:r>
      <w:r w:rsidR="00F5142F" w:rsidRPr="000005F5" w:rsidDel="009A1BBD">
        <w:rPr>
          <w:rFonts w:cs="Arial"/>
          <w:szCs w:val="24"/>
        </w:rPr>
        <w:t xml:space="preserve"> </w:t>
      </w:r>
    </w:p>
    <w:p w14:paraId="3949C398" w14:textId="77777777" w:rsidR="00F039EF" w:rsidRPr="000005F5" w:rsidRDefault="00F039EF" w:rsidP="00640BF3">
      <w:pPr>
        <w:spacing w:line="276" w:lineRule="auto"/>
        <w:jc w:val="center"/>
        <w:rPr>
          <w:rFonts w:cs="Arial"/>
          <w:szCs w:val="24"/>
        </w:rPr>
      </w:pPr>
      <w:r w:rsidRPr="000005F5">
        <w:rPr>
          <w:rFonts w:cs="Arial"/>
          <w:szCs w:val="24"/>
        </w:rPr>
        <w:t>zapsaná v obchodním rejstříku vedeném Městským soudem v Praze,</w:t>
      </w:r>
    </w:p>
    <w:p w14:paraId="73163340" w14:textId="77777777" w:rsidR="00F5142F" w:rsidRPr="000005F5" w:rsidRDefault="00F039EF" w:rsidP="00640BF3">
      <w:pPr>
        <w:spacing w:line="276" w:lineRule="auto"/>
        <w:jc w:val="center"/>
        <w:rPr>
          <w:rFonts w:cs="Arial"/>
          <w:color w:val="000000"/>
          <w:szCs w:val="24"/>
          <w:shd w:val="clear" w:color="auto" w:fill="FFFFFF"/>
        </w:rPr>
      </w:pPr>
      <w:r w:rsidRPr="000005F5">
        <w:rPr>
          <w:rFonts w:cs="Arial"/>
          <w:szCs w:val="24"/>
        </w:rPr>
        <w:t>oddíl</w:t>
      </w:r>
      <w:r w:rsidR="00B616B0" w:rsidRPr="000005F5">
        <w:rPr>
          <w:rFonts w:cs="Arial"/>
          <w:szCs w:val="24"/>
        </w:rPr>
        <w:t xml:space="preserve"> </w:t>
      </w:r>
      <w:r w:rsidR="00F5142F" w:rsidRPr="000005F5">
        <w:rPr>
          <w:rFonts w:cs="Arial"/>
          <w:szCs w:val="24"/>
        </w:rPr>
        <w:t>C</w:t>
      </w:r>
      <w:r w:rsidRPr="000005F5">
        <w:rPr>
          <w:rFonts w:cs="Arial"/>
          <w:szCs w:val="24"/>
        </w:rPr>
        <w:t xml:space="preserve">, vložka </w:t>
      </w:r>
      <w:r w:rsidR="00F5142F" w:rsidRPr="000005F5">
        <w:rPr>
          <w:rFonts w:cs="Arial"/>
          <w:color w:val="000000"/>
          <w:szCs w:val="24"/>
          <w:shd w:val="clear" w:color="auto" w:fill="FFFFFF"/>
        </w:rPr>
        <w:t>79391</w:t>
      </w:r>
    </w:p>
    <w:p w14:paraId="1CCD89D6" w14:textId="5595F3FE" w:rsidR="00F5142F" w:rsidRPr="000005F5" w:rsidRDefault="00F039EF" w:rsidP="00640BF3">
      <w:pPr>
        <w:spacing w:line="276" w:lineRule="auto"/>
        <w:jc w:val="center"/>
        <w:rPr>
          <w:rFonts w:ascii="ABBVoiceWKR" w:hAnsi="ABBVoiceWKR"/>
          <w:color w:val="0F0F0F"/>
          <w:szCs w:val="24"/>
          <w:shd w:val="clear" w:color="auto" w:fill="FFFFFF"/>
        </w:rPr>
      </w:pPr>
      <w:r w:rsidRPr="000005F5">
        <w:rPr>
          <w:rFonts w:cs="Arial"/>
          <w:szCs w:val="24"/>
        </w:rPr>
        <w:t xml:space="preserve">bankovní spojení: </w:t>
      </w:r>
      <w:r w:rsidR="00F5142F" w:rsidRPr="000005F5">
        <w:rPr>
          <w:rFonts w:cs="Arial"/>
          <w:szCs w:val="24"/>
        </w:rPr>
        <w:t>Deutsche Bank AG, pobočka Praha č. ú 3161400009/7910</w:t>
      </w:r>
    </w:p>
    <w:p w14:paraId="16EDF76C" w14:textId="776B628C" w:rsidR="00B616B0" w:rsidRPr="000005F5" w:rsidRDefault="00F5142F" w:rsidP="00640BF3">
      <w:pPr>
        <w:spacing w:line="276" w:lineRule="auto"/>
        <w:jc w:val="center"/>
        <w:rPr>
          <w:rFonts w:cs="Arial"/>
          <w:szCs w:val="24"/>
        </w:rPr>
      </w:pPr>
      <w:r w:rsidRPr="000005F5">
        <w:rPr>
          <w:rFonts w:cs="Arial"/>
          <w:szCs w:val="24"/>
        </w:rPr>
        <w:t xml:space="preserve">zastoupena jednateli </w:t>
      </w:r>
      <w:r w:rsidR="00075A91">
        <w:rPr>
          <w:rFonts w:cs="Arial"/>
          <w:szCs w:val="24"/>
        </w:rPr>
        <w:t>xxxxxxxx</w:t>
      </w:r>
      <w:r w:rsidRPr="000005F5">
        <w:rPr>
          <w:rFonts w:cs="Arial"/>
          <w:szCs w:val="24"/>
        </w:rPr>
        <w:t xml:space="preserve"> a </w:t>
      </w:r>
      <w:r w:rsidR="00075A91">
        <w:rPr>
          <w:rFonts w:cs="Arial"/>
          <w:szCs w:val="24"/>
        </w:rPr>
        <w:t>xxxxxxxxx</w:t>
      </w:r>
      <w:r w:rsidR="00B616B0" w:rsidRPr="000005F5">
        <w:rPr>
          <w:rFonts w:cs="Arial"/>
          <w:szCs w:val="24"/>
        </w:rPr>
        <w:t>,</w:t>
      </w:r>
    </w:p>
    <w:p w14:paraId="18A80DEF" w14:textId="5C772E3C" w:rsidR="00B22503" w:rsidRPr="000005F5" w:rsidRDefault="00F039EF" w:rsidP="000843BB">
      <w:pPr>
        <w:spacing w:line="276" w:lineRule="auto"/>
        <w:jc w:val="center"/>
        <w:rPr>
          <w:rFonts w:cs="Arial"/>
          <w:szCs w:val="24"/>
        </w:rPr>
      </w:pPr>
      <w:r w:rsidRPr="000005F5">
        <w:rPr>
          <w:rFonts w:cs="Arial"/>
          <w:szCs w:val="24"/>
        </w:rPr>
        <w:t>(dále jen „</w:t>
      </w:r>
      <w:r w:rsidR="00C67E0C" w:rsidRPr="000005F5">
        <w:rPr>
          <w:rFonts w:cs="Arial"/>
          <w:szCs w:val="24"/>
        </w:rPr>
        <w:t>ABB</w:t>
      </w:r>
      <w:r w:rsidRPr="000005F5">
        <w:rPr>
          <w:rFonts w:cs="Arial"/>
          <w:szCs w:val="24"/>
        </w:rPr>
        <w:t>“)</w:t>
      </w:r>
    </w:p>
    <w:p w14:paraId="022B482B" w14:textId="77777777" w:rsidR="00B22503" w:rsidRPr="000005F5" w:rsidRDefault="00B22503" w:rsidP="00640BF3">
      <w:pPr>
        <w:spacing w:line="276" w:lineRule="auto"/>
        <w:jc w:val="center"/>
        <w:rPr>
          <w:rFonts w:cs="Arial"/>
        </w:rPr>
      </w:pPr>
    </w:p>
    <w:p w14:paraId="517C51E4" w14:textId="77777777" w:rsidR="00B22503" w:rsidRPr="000005F5" w:rsidRDefault="00B22503" w:rsidP="00640BF3">
      <w:pPr>
        <w:spacing w:line="276" w:lineRule="auto"/>
        <w:jc w:val="center"/>
        <w:rPr>
          <w:rFonts w:cs="Arial"/>
        </w:rPr>
      </w:pPr>
    </w:p>
    <w:p w14:paraId="295E817B" w14:textId="77777777" w:rsidR="00F039EF" w:rsidRPr="000005F5" w:rsidRDefault="00F039EF" w:rsidP="00640BF3">
      <w:pPr>
        <w:spacing w:line="276" w:lineRule="auto"/>
        <w:jc w:val="center"/>
        <w:rPr>
          <w:rFonts w:cs="Arial"/>
        </w:rPr>
      </w:pPr>
      <w:r w:rsidRPr="000005F5">
        <w:rPr>
          <w:rFonts w:cs="Arial"/>
        </w:rPr>
        <w:t>a</w:t>
      </w:r>
    </w:p>
    <w:p w14:paraId="299A1A83" w14:textId="77777777" w:rsidR="00F039EF" w:rsidRPr="000005F5" w:rsidRDefault="00F039EF" w:rsidP="000843BB">
      <w:pPr>
        <w:spacing w:line="276" w:lineRule="auto"/>
        <w:rPr>
          <w:rFonts w:cs="Arial"/>
        </w:rPr>
      </w:pPr>
    </w:p>
    <w:p w14:paraId="181B2329" w14:textId="77777777" w:rsidR="00B22503" w:rsidRPr="000005F5" w:rsidRDefault="00B22503" w:rsidP="000843BB">
      <w:pPr>
        <w:spacing w:line="276" w:lineRule="auto"/>
        <w:rPr>
          <w:rFonts w:cs="Arial"/>
        </w:rPr>
      </w:pPr>
    </w:p>
    <w:p w14:paraId="64209969" w14:textId="22D1E70D" w:rsidR="005B27C6" w:rsidRPr="000005F5" w:rsidRDefault="005B27C6" w:rsidP="00F662EA">
      <w:pPr>
        <w:pStyle w:val="Nadpis1"/>
      </w:pPr>
      <w:r w:rsidRPr="000005F5">
        <w:t>Pražské jaro, o.p.s.</w:t>
      </w:r>
    </w:p>
    <w:p w14:paraId="51AA2FDA" w14:textId="77777777" w:rsidR="005B27C6" w:rsidRPr="000005F5" w:rsidRDefault="00717395" w:rsidP="00640BF3">
      <w:pPr>
        <w:spacing w:line="276" w:lineRule="auto"/>
        <w:ind w:left="2124" w:firstLine="708"/>
        <w:rPr>
          <w:rFonts w:cs="Arial"/>
        </w:rPr>
      </w:pPr>
      <w:r w:rsidRPr="000005F5">
        <w:rPr>
          <w:rFonts w:cs="Arial"/>
        </w:rPr>
        <w:t xml:space="preserve">se sídlem Praha 1, </w:t>
      </w:r>
      <w:r w:rsidR="005B27C6" w:rsidRPr="000005F5">
        <w:rPr>
          <w:rFonts w:cs="Arial"/>
        </w:rPr>
        <w:t>Hellichova 18</w:t>
      </w:r>
    </w:p>
    <w:p w14:paraId="08FAAED1" w14:textId="575C65D0" w:rsidR="005B27C6" w:rsidRPr="000005F5" w:rsidRDefault="005B27C6" w:rsidP="00640BF3">
      <w:pPr>
        <w:spacing w:line="276" w:lineRule="auto"/>
        <w:jc w:val="center"/>
        <w:rPr>
          <w:rFonts w:cs="Arial"/>
        </w:rPr>
      </w:pPr>
      <w:r w:rsidRPr="000005F5">
        <w:rPr>
          <w:rFonts w:cs="Arial"/>
        </w:rPr>
        <w:t xml:space="preserve">IČ: 25773194, </w:t>
      </w:r>
    </w:p>
    <w:p w14:paraId="14113BA1" w14:textId="331D3439" w:rsidR="005B27C6" w:rsidRPr="000005F5" w:rsidRDefault="005B27C6" w:rsidP="00640BF3">
      <w:pPr>
        <w:spacing w:line="276" w:lineRule="auto"/>
        <w:jc w:val="center"/>
        <w:rPr>
          <w:rFonts w:cs="Arial"/>
        </w:rPr>
      </w:pPr>
      <w:r w:rsidRPr="000005F5">
        <w:rPr>
          <w:rFonts w:cs="Arial"/>
        </w:rPr>
        <w:t>DIČ: CZ25773194</w:t>
      </w:r>
    </w:p>
    <w:p w14:paraId="74294FB3" w14:textId="77777777" w:rsidR="005B27C6" w:rsidRPr="000005F5" w:rsidRDefault="005B27C6" w:rsidP="00640BF3">
      <w:pPr>
        <w:spacing w:line="276" w:lineRule="auto"/>
        <w:jc w:val="center"/>
        <w:rPr>
          <w:rFonts w:cs="Arial"/>
        </w:rPr>
      </w:pPr>
      <w:r w:rsidRPr="000005F5">
        <w:rPr>
          <w:rFonts w:cs="Arial"/>
        </w:rPr>
        <w:t>zapsaná v rejstříku obecně prospěšných společností vedeném Městským soudem v Praze, oddíl O, vložka 143</w:t>
      </w:r>
    </w:p>
    <w:p w14:paraId="6FE3796A" w14:textId="12EFCD84" w:rsidR="00F039EF" w:rsidRPr="000005F5" w:rsidRDefault="005B27C6" w:rsidP="00640BF3">
      <w:pPr>
        <w:spacing w:line="276" w:lineRule="auto"/>
        <w:jc w:val="center"/>
        <w:rPr>
          <w:rFonts w:cs="Arial"/>
        </w:rPr>
      </w:pPr>
      <w:r w:rsidRPr="000005F5">
        <w:rPr>
          <w:rFonts w:cs="Arial"/>
        </w:rPr>
        <w:t>bankovní spojení: č.</w:t>
      </w:r>
      <w:r w:rsidR="004904FC" w:rsidRPr="000005F5">
        <w:rPr>
          <w:rFonts w:cs="Arial"/>
        </w:rPr>
        <w:t xml:space="preserve"> </w:t>
      </w:r>
      <w:r w:rsidRPr="000005F5">
        <w:rPr>
          <w:rFonts w:cs="Arial"/>
        </w:rPr>
        <w:t>ú.: 77555522/0800</w:t>
      </w:r>
    </w:p>
    <w:p w14:paraId="6B9AD11F" w14:textId="48308884" w:rsidR="00B616B0" w:rsidRPr="000005F5" w:rsidRDefault="00B616B0" w:rsidP="00640BF3">
      <w:pPr>
        <w:spacing w:line="276" w:lineRule="auto"/>
        <w:jc w:val="center"/>
        <w:rPr>
          <w:rFonts w:cs="Arial"/>
          <w:b/>
        </w:rPr>
      </w:pPr>
      <w:r w:rsidRPr="000005F5">
        <w:rPr>
          <w:rFonts w:cs="Arial"/>
          <w:lang w:eastAsia="ar-SA"/>
        </w:rPr>
        <w:t xml:space="preserve">jednající </w:t>
      </w:r>
      <w:r w:rsidR="00075A91">
        <w:rPr>
          <w:rFonts w:cs="Arial"/>
          <w:lang w:eastAsia="ar-SA"/>
        </w:rPr>
        <w:t>xxxxxxxxxxx</w:t>
      </w:r>
      <w:r w:rsidRPr="000005F5">
        <w:rPr>
          <w:rFonts w:cs="Arial"/>
          <w:lang w:eastAsia="ar-SA"/>
        </w:rPr>
        <w:t>, ředitelem společnosti</w:t>
      </w:r>
    </w:p>
    <w:p w14:paraId="04B5CD39" w14:textId="77777777" w:rsidR="00F039EF" w:rsidRPr="000005F5" w:rsidRDefault="005B27C6" w:rsidP="00640BF3">
      <w:pPr>
        <w:spacing w:line="276" w:lineRule="auto"/>
        <w:jc w:val="center"/>
        <w:rPr>
          <w:rFonts w:cs="Arial"/>
        </w:rPr>
      </w:pPr>
      <w:r w:rsidRPr="000005F5">
        <w:rPr>
          <w:rFonts w:cs="Arial"/>
        </w:rPr>
        <w:t>(</w:t>
      </w:r>
      <w:r w:rsidR="00F039EF" w:rsidRPr="000005F5">
        <w:rPr>
          <w:rFonts w:cs="Arial"/>
        </w:rPr>
        <w:t>dále jen „</w:t>
      </w:r>
      <w:r w:rsidR="00B45D00" w:rsidRPr="000005F5">
        <w:rPr>
          <w:rFonts w:cs="Arial"/>
        </w:rPr>
        <w:t>Pražské jaro</w:t>
      </w:r>
      <w:r w:rsidR="00F039EF" w:rsidRPr="000005F5">
        <w:rPr>
          <w:rFonts w:cs="Arial"/>
        </w:rPr>
        <w:t>“)</w:t>
      </w:r>
    </w:p>
    <w:p w14:paraId="4D8EC4F8" w14:textId="77777777" w:rsidR="00F039EF" w:rsidRPr="000005F5" w:rsidRDefault="00F039EF" w:rsidP="00640BF3">
      <w:pPr>
        <w:spacing w:line="276" w:lineRule="auto"/>
        <w:jc w:val="center"/>
        <w:rPr>
          <w:rFonts w:cs="Arial"/>
        </w:rPr>
      </w:pPr>
    </w:p>
    <w:p w14:paraId="79273FF2" w14:textId="77777777" w:rsidR="00F039EF" w:rsidRPr="000005F5" w:rsidRDefault="00F039EF" w:rsidP="00640BF3">
      <w:pPr>
        <w:spacing w:line="276" w:lineRule="auto"/>
        <w:jc w:val="center"/>
        <w:rPr>
          <w:rFonts w:cs="Arial"/>
        </w:rPr>
      </w:pPr>
    </w:p>
    <w:p w14:paraId="71CD2FA8" w14:textId="77777777" w:rsidR="00F039EF" w:rsidRPr="000005F5" w:rsidRDefault="00F039EF" w:rsidP="00640BF3">
      <w:pPr>
        <w:spacing w:line="276" w:lineRule="auto"/>
        <w:jc w:val="center"/>
        <w:rPr>
          <w:rFonts w:cs="Arial"/>
        </w:rPr>
      </w:pPr>
      <w:r w:rsidRPr="000005F5">
        <w:rPr>
          <w:rFonts w:cs="Arial"/>
        </w:rPr>
        <w:t>uzavírají tuto</w:t>
      </w:r>
    </w:p>
    <w:p w14:paraId="0C4CA92A" w14:textId="77777777" w:rsidR="00B22503" w:rsidRPr="000005F5" w:rsidRDefault="00B22503" w:rsidP="000843BB">
      <w:pPr>
        <w:spacing w:line="276" w:lineRule="auto"/>
        <w:rPr>
          <w:rFonts w:cs="Arial"/>
        </w:rPr>
      </w:pPr>
    </w:p>
    <w:p w14:paraId="1C9BDF3F" w14:textId="77777777" w:rsidR="00F039EF" w:rsidRPr="000005F5" w:rsidRDefault="00F039EF" w:rsidP="00640BF3">
      <w:pPr>
        <w:spacing w:line="276" w:lineRule="auto"/>
        <w:jc w:val="center"/>
        <w:rPr>
          <w:rFonts w:cs="Arial"/>
        </w:rPr>
      </w:pPr>
      <w:r w:rsidRPr="000005F5">
        <w:rPr>
          <w:rFonts w:cs="Arial"/>
          <w:b/>
        </w:rPr>
        <w:t xml:space="preserve"> </w:t>
      </w:r>
    </w:p>
    <w:p w14:paraId="22D02544" w14:textId="77777777" w:rsidR="00AE0A3A" w:rsidRPr="000005F5" w:rsidRDefault="003834F0" w:rsidP="00640BF3">
      <w:pPr>
        <w:spacing w:line="276" w:lineRule="auto"/>
        <w:jc w:val="center"/>
        <w:rPr>
          <w:rFonts w:cs="Arial"/>
          <w:b/>
        </w:rPr>
      </w:pPr>
      <w:r w:rsidRPr="000005F5">
        <w:rPr>
          <w:rFonts w:cs="Arial"/>
          <w:b/>
        </w:rPr>
        <w:t xml:space="preserve">Smlouvu o </w:t>
      </w:r>
      <w:r w:rsidR="00EB2433" w:rsidRPr="000005F5">
        <w:rPr>
          <w:rFonts w:cs="Arial"/>
          <w:b/>
        </w:rPr>
        <w:t>sponzorské</w:t>
      </w:r>
      <w:r w:rsidR="00BB5D90" w:rsidRPr="000005F5">
        <w:rPr>
          <w:rFonts w:cs="Arial"/>
          <w:b/>
        </w:rPr>
        <w:t xml:space="preserve"> </w:t>
      </w:r>
      <w:r w:rsidR="00EB2433" w:rsidRPr="000005F5">
        <w:rPr>
          <w:rFonts w:cs="Arial"/>
          <w:b/>
        </w:rPr>
        <w:t>spolupráci</w:t>
      </w:r>
    </w:p>
    <w:p w14:paraId="144CE2BE" w14:textId="77777777" w:rsidR="003834F0" w:rsidRPr="000005F5" w:rsidRDefault="003834F0" w:rsidP="00640BF3">
      <w:pPr>
        <w:spacing w:line="276" w:lineRule="auto"/>
        <w:jc w:val="center"/>
        <w:rPr>
          <w:rFonts w:cs="Arial"/>
        </w:rPr>
      </w:pPr>
      <w:r w:rsidRPr="000005F5">
        <w:rPr>
          <w:rFonts w:cs="Arial"/>
        </w:rPr>
        <w:t xml:space="preserve">(dále jen </w:t>
      </w:r>
      <w:r w:rsidR="006C1CE5" w:rsidRPr="000005F5">
        <w:rPr>
          <w:rFonts w:cs="Arial"/>
        </w:rPr>
        <w:t>„</w:t>
      </w:r>
      <w:r w:rsidRPr="000005F5">
        <w:rPr>
          <w:rFonts w:cs="Arial"/>
        </w:rPr>
        <w:t>smlouva</w:t>
      </w:r>
      <w:r w:rsidR="006C1CE5" w:rsidRPr="000005F5">
        <w:rPr>
          <w:rFonts w:cs="Arial"/>
        </w:rPr>
        <w:t>“</w:t>
      </w:r>
      <w:r w:rsidRPr="000005F5">
        <w:rPr>
          <w:rFonts w:cs="Arial"/>
        </w:rPr>
        <w:t>)</w:t>
      </w:r>
    </w:p>
    <w:p w14:paraId="4569ED54" w14:textId="1957AD9B" w:rsidR="00B616B0" w:rsidRPr="000005F5" w:rsidRDefault="00B616B0" w:rsidP="000843BB">
      <w:pPr>
        <w:rPr>
          <w:b/>
          <w:bCs/>
        </w:rPr>
      </w:pPr>
      <w:r w:rsidRPr="000005F5">
        <w:t xml:space="preserve">Pražské jaro, o.p.s. je výhradním pořadatelem akce </w:t>
      </w:r>
      <w:r w:rsidR="00E22C91">
        <w:t>m</w:t>
      </w:r>
      <w:r w:rsidRPr="000005F5">
        <w:t>ezinárodní hudební festival Pražské jaro 202</w:t>
      </w:r>
      <w:r w:rsidR="00E22C91">
        <w:t>5</w:t>
      </w:r>
      <w:r w:rsidRPr="000005F5">
        <w:t xml:space="preserve">, který se bude konat ve dnech </w:t>
      </w:r>
      <w:r w:rsidRPr="0052441C">
        <w:t xml:space="preserve">12. května až </w:t>
      </w:r>
      <w:r w:rsidR="00D2288B" w:rsidRPr="0052441C">
        <w:t>3</w:t>
      </w:r>
      <w:r w:rsidRPr="0052441C">
        <w:t xml:space="preserve">. června </w:t>
      </w:r>
      <w:r w:rsidR="0052441C" w:rsidRPr="0052441C">
        <w:t>2025</w:t>
      </w:r>
      <w:r w:rsidRPr="000005F5">
        <w:t xml:space="preserve">. </w:t>
      </w:r>
      <w:r w:rsidR="00D2288B" w:rsidRPr="000005F5">
        <w:t>ABB</w:t>
      </w:r>
      <w:r w:rsidRPr="000005F5">
        <w:t xml:space="preserve"> </w:t>
      </w:r>
      <w:r w:rsidR="00B44300" w:rsidRPr="000005F5">
        <w:t xml:space="preserve">s.r.o. </w:t>
      </w:r>
      <w:r w:rsidRPr="000005F5">
        <w:t xml:space="preserve">využije uvedené akce k propagaci a prezentaci své společnosti a Pražské jaro, o.p.s. tuto propagaci a prezentaci umožní.  </w:t>
      </w:r>
    </w:p>
    <w:p w14:paraId="51DC494B" w14:textId="77777777" w:rsidR="00523BC7" w:rsidRPr="000005F5" w:rsidRDefault="00523BC7" w:rsidP="00523BC7"/>
    <w:p w14:paraId="68D1FE99" w14:textId="77777777" w:rsidR="00523BC7" w:rsidRPr="000005F5" w:rsidRDefault="00523BC7" w:rsidP="00CF2C2A"/>
    <w:p w14:paraId="0BC28922" w14:textId="48B83895" w:rsidR="00B616B0" w:rsidRPr="000005F5" w:rsidRDefault="00B616B0" w:rsidP="007B15CC">
      <w:pPr>
        <w:numPr>
          <w:ilvl w:val="0"/>
          <w:numId w:val="12"/>
        </w:numPr>
        <w:jc w:val="center"/>
        <w:rPr>
          <w:b/>
          <w:bCs/>
        </w:rPr>
      </w:pPr>
    </w:p>
    <w:p w14:paraId="41139A1E" w14:textId="297BFB07" w:rsidR="00B616B0" w:rsidRPr="000005F5" w:rsidRDefault="00B616B0" w:rsidP="00523BC7">
      <w:pPr>
        <w:rPr>
          <w:i/>
          <w:iCs/>
        </w:rPr>
      </w:pPr>
      <w:r w:rsidRPr="000005F5">
        <w:rPr>
          <w:i/>
          <w:iCs/>
        </w:rPr>
        <w:t>Pražské jaro, o.p.s. zavazuje:</w:t>
      </w:r>
    </w:p>
    <w:p w14:paraId="3D0D7D1E" w14:textId="77777777" w:rsidR="00911883" w:rsidRPr="000005F5" w:rsidRDefault="00911883" w:rsidP="00523BC7"/>
    <w:p w14:paraId="4EDF53C4" w14:textId="77777777" w:rsidR="00754F4B" w:rsidRPr="000005F5" w:rsidRDefault="00B616B0" w:rsidP="00754F4B">
      <w:pPr>
        <w:numPr>
          <w:ilvl w:val="0"/>
          <w:numId w:val="15"/>
        </w:numPr>
      </w:pPr>
      <w:r w:rsidRPr="000005F5">
        <w:t>V souladu s čl. III., bodem d) Zakládací listiny obecně prospěšné společnosti Pražské jaro, o.p.s. o poskytnutí možnosti využití práv:</w:t>
      </w:r>
    </w:p>
    <w:p w14:paraId="76806E6D" w14:textId="77777777" w:rsidR="00754F4B" w:rsidRPr="000005F5" w:rsidRDefault="00754F4B" w:rsidP="00754F4B">
      <w:pPr>
        <w:ind w:left="720"/>
      </w:pPr>
    </w:p>
    <w:p w14:paraId="26DBFE05" w14:textId="76B8FDD6" w:rsidR="00754F4B" w:rsidRPr="000005F5" w:rsidRDefault="00B616B0" w:rsidP="00754F4B">
      <w:pPr>
        <w:numPr>
          <w:ilvl w:val="1"/>
          <w:numId w:val="15"/>
        </w:numPr>
      </w:pPr>
      <w:r w:rsidRPr="000005F5">
        <w:t xml:space="preserve">umožnit společnosti </w:t>
      </w:r>
      <w:r w:rsidR="005A467A" w:rsidRPr="000005F5">
        <w:t>ABB</w:t>
      </w:r>
      <w:r w:rsidR="00B44300" w:rsidRPr="000005F5">
        <w:t xml:space="preserve"> s.r.o.</w:t>
      </w:r>
      <w:r w:rsidRPr="000005F5">
        <w:t xml:space="preserve"> prezentaci jejího jména s názvem Partner</w:t>
      </w:r>
      <w:r w:rsidR="005A467A" w:rsidRPr="000005F5">
        <w:t xml:space="preserve"> </w:t>
      </w:r>
      <w:r w:rsidR="000B3198" w:rsidRPr="000005F5">
        <w:t xml:space="preserve">projektu </w:t>
      </w:r>
      <w:r w:rsidR="00250F05" w:rsidRPr="000005F5">
        <w:t>Springteen</w:t>
      </w:r>
      <w:r w:rsidRPr="000005F5">
        <w:t xml:space="preserve"> Pražského jara 202</w:t>
      </w:r>
      <w:r w:rsidR="0014174C">
        <w:t>5</w:t>
      </w:r>
      <w:r w:rsidRPr="000005F5">
        <w:t xml:space="preserve"> ve spojení s</w:t>
      </w:r>
      <w:r w:rsidR="00250F05" w:rsidRPr="000005F5">
        <w:t> událostí konanou</w:t>
      </w:r>
      <w:r w:rsidRPr="000005F5">
        <w:t xml:space="preserve"> </w:t>
      </w:r>
      <w:r w:rsidR="0098129C">
        <w:t>1</w:t>
      </w:r>
      <w:r w:rsidRPr="000005F5">
        <w:t xml:space="preserve">. </w:t>
      </w:r>
      <w:r w:rsidR="0098129C">
        <w:t>června</w:t>
      </w:r>
      <w:r w:rsidR="0098129C" w:rsidRPr="000005F5">
        <w:t xml:space="preserve"> </w:t>
      </w:r>
      <w:r w:rsidRPr="000005F5">
        <w:t>202</w:t>
      </w:r>
      <w:r w:rsidR="0098129C">
        <w:t>5</w:t>
      </w:r>
      <w:r w:rsidR="00250F05" w:rsidRPr="000005F5">
        <w:t xml:space="preserve"> </w:t>
      </w:r>
      <w:r w:rsidRPr="000005F5">
        <w:t>v</w:t>
      </w:r>
      <w:r w:rsidR="00250F05" w:rsidRPr="000005F5">
        <w:t> prostorách Anežského kláštera</w:t>
      </w:r>
      <w:r w:rsidRPr="000005F5">
        <w:t xml:space="preserve">, </w:t>
      </w:r>
      <w:r w:rsidR="000B25E2" w:rsidRPr="000005F5">
        <w:t xml:space="preserve">v jejímž rámci se </w:t>
      </w:r>
      <w:r w:rsidR="000B25E2" w:rsidRPr="000005F5">
        <w:lastRenderedPageBreak/>
        <w:t>budou konat koncerty, workshopy a akce určené pro mladší publikum</w:t>
      </w:r>
      <w:r w:rsidR="00933428" w:rsidRPr="000005F5">
        <w:t xml:space="preserve"> (dále jen „partnerská akce“), </w:t>
      </w:r>
      <w:r w:rsidRPr="000005F5">
        <w:t xml:space="preserve"> </w:t>
      </w:r>
    </w:p>
    <w:p w14:paraId="624C6A5E" w14:textId="77777777" w:rsidR="00754F4B" w:rsidRPr="000005F5" w:rsidRDefault="00754F4B" w:rsidP="00754F4B">
      <w:pPr>
        <w:ind w:left="1440"/>
      </w:pPr>
    </w:p>
    <w:p w14:paraId="507521AB" w14:textId="60ACDAA2" w:rsidR="00B616B0" w:rsidRPr="000005F5" w:rsidRDefault="00B616B0" w:rsidP="00754F4B">
      <w:pPr>
        <w:numPr>
          <w:ilvl w:val="1"/>
          <w:numId w:val="15"/>
        </w:numPr>
      </w:pPr>
      <w:r w:rsidRPr="000005F5">
        <w:t xml:space="preserve">umožnit společnosti </w:t>
      </w:r>
      <w:r w:rsidR="00B739AD" w:rsidRPr="000005F5">
        <w:t>ABB</w:t>
      </w:r>
      <w:r w:rsidR="00B44300" w:rsidRPr="000005F5">
        <w:t xml:space="preserve"> s.r.o. </w:t>
      </w:r>
      <w:r w:rsidRPr="000005F5">
        <w:t>využití ochranné slovní známky „Mezinárodní hudební festival Pražské jaro“ a obrazové známky „f“ (osvědčení Úřadu průmyslového vlastnictví č.: 169501 z 20. 03. 1992 CZ a 253998 z 28. 4. 2003 CZ, 202812 z 26. 8. 1997 CZ a 253995 z 28. 4. 2003 CZ) ve spojení s</w:t>
      </w:r>
      <w:r w:rsidR="007D4C23" w:rsidRPr="000005F5">
        <w:t> partnerskou akcí</w:t>
      </w:r>
      <w:r w:rsidR="00B44300" w:rsidRPr="000005F5">
        <w:t>.</w:t>
      </w:r>
    </w:p>
    <w:p w14:paraId="1E0B58C1" w14:textId="77777777" w:rsidR="00B44300" w:rsidRPr="000005F5" w:rsidRDefault="00B44300" w:rsidP="00523BC7"/>
    <w:p w14:paraId="3899801A" w14:textId="68826233" w:rsidR="00B616B0" w:rsidRPr="000005F5" w:rsidRDefault="00B616B0" w:rsidP="00C41D34">
      <w:pPr>
        <w:numPr>
          <w:ilvl w:val="0"/>
          <w:numId w:val="15"/>
        </w:numPr>
      </w:pPr>
      <w:r w:rsidRPr="000005F5">
        <w:t>V souladu s čl. III., bodem a) Zakládací listiny obecně prospěšné společnosti Pražské jaro, o.p.s. o zpřístupnění a zprostředkování uměleckých hodnot:</w:t>
      </w:r>
    </w:p>
    <w:p w14:paraId="610FA5AE" w14:textId="77777777" w:rsidR="0098414F" w:rsidRPr="000005F5" w:rsidRDefault="0098414F" w:rsidP="00523BC7"/>
    <w:p w14:paraId="6FEECAAC" w14:textId="02887CB4" w:rsidR="00754F4B" w:rsidRPr="000005F5" w:rsidRDefault="0098414F" w:rsidP="00754F4B">
      <w:pPr>
        <w:numPr>
          <w:ilvl w:val="1"/>
          <w:numId w:val="15"/>
        </w:numPr>
      </w:pPr>
      <w:r w:rsidRPr="000005F5">
        <w:t xml:space="preserve">dodat společnosti </w:t>
      </w:r>
      <w:r w:rsidR="007D4C23" w:rsidRPr="000005F5">
        <w:t>ABB</w:t>
      </w:r>
      <w:r w:rsidRPr="000005F5">
        <w:t xml:space="preserve"> s.r.o. do 30. dubna 202</w:t>
      </w:r>
      <w:r w:rsidR="0098129C">
        <w:t>5</w:t>
      </w:r>
      <w:r w:rsidRPr="000005F5">
        <w:t xml:space="preserve"> </w:t>
      </w:r>
      <w:r w:rsidR="00E03BA3">
        <w:t xml:space="preserve">xxx </w:t>
      </w:r>
      <w:r w:rsidR="0006621D" w:rsidRPr="000005F5">
        <w:t>ks</w:t>
      </w:r>
      <w:r w:rsidRPr="000005F5">
        <w:t xml:space="preserve"> katalogů </w:t>
      </w:r>
      <w:r w:rsidR="0098129C">
        <w:t>m</w:t>
      </w:r>
      <w:r w:rsidRPr="000005F5">
        <w:t>ezinárodního hudebního festivalu Pražské jaro 202</w:t>
      </w:r>
      <w:r w:rsidR="0098129C">
        <w:t>5</w:t>
      </w:r>
      <w:r w:rsidRPr="000005F5">
        <w:t xml:space="preserve">, umožnit odkoupení dalších katalogů v počtu dle specifikace společnosti </w:t>
      </w:r>
      <w:r w:rsidR="00827A3E" w:rsidRPr="000005F5">
        <w:t>ABB</w:t>
      </w:r>
      <w:r w:rsidRPr="000005F5">
        <w:t xml:space="preserve"> s.r.o.,</w:t>
      </w:r>
    </w:p>
    <w:p w14:paraId="1CB5BFE5" w14:textId="77777777" w:rsidR="00754F4B" w:rsidRPr="000005F5" w:rsidRDefault="00754F4B" w:rsidP="00754F4B">
      <w:pPr>
        <w:ind w:left="1440"/>
      </w:pPr>
    </w:p>
    <w:p w14:paraId="43F40A81" w14:textId="76A26E4E" w:rsidR="00F5142F" w:rsidRPr="000005F5" w:rsidRDefault="0098414F" w:rsidP="00F5142F">
      <w:pPr>
        <w:numPr>
          <w:ilvl w:val="1"/>
          <w:numId w:val="15"/>
        </w:numPr>
      </w:pPr>
      <w:r w:rsidRPr="000005F5">
        <w:t>do 30. dubna 202</w:t>
      </w:r>
      <w:r w:rsidR="00432483">
        <w:t>5</w:t>
      </w:r>
      <w:r w:rsidRPr="000005F5">
        <w:t xml:space="preserve"> předat společnosti </w:t>
      </w:r>
      <w:r w:rsidR="00827A3E" w:rsidRPr="000005F5">
        <w:t>ABB</w:t>
      </w:r>
      <w:r w:rsidRPr="000005F5">
        <w:t xml:space="preserve"> s.r.o. </w:t>
      </w:r>
      <w:r w:rsidR="00321BCE">
        <w:t>xxx</w:t>
      </w:r>
      <w:r w:rsidR="00F5142F" w:rsidRPr="000005F5">
        <w:t xml:space="preserve"> </w:t>
      </w:r>
      <w:r w:rsidRPr="000005F5">
        <w:t>čestných vstupenek</w:t>
      </w:r>
      <w:r w:rsidR="0034298F" w:rsidRPr="000005F5">
        <w:t xml:space="preserve"> na všechny </w:t>
      </w:r>
      <w:r w:rsidR="00A966CE" w:rsidRPr="000005F5">
        <w:t>placen</w:t>
      </w:r>
      <w:r w:rsidR="007064C1" w:rsidRPr="000005F5">
        <w:t>é</w:t>
      </w:r>
      <w:r w:rsidR="00A966CE" w:rsidRPr="000005F5">
        <w:t xml:space="preserve"> </w:t>
      </w:r>
      <w:r w:rsidR="0034298F" w:rsidRPr="000005F5">
        <w:t>události</w:t>
      </w:r>
      <w:r w:rsidRPr="000005F5">
        <w:t xml:space="preserve"> </w:t>
      </w:r>
      <w:r w:rsidR="00A966CE" w:rsidRPr="000005F5">
        <w:t xml:space="preserve">partnerské akce </w:t>
      </w:r>
      <w:r w:rsidR="094520BA" w:rsidRPr="000005F5">
        <w:t xml:space="preserve">a </w:t>
      </w:r>
      <w:r w:rsidR="00321BCE">
        <w:t>xxx</w:t>
      </w:r>
      <w:r w:rsidR="009B0F12" w:rsidRPr="000005F5">
        <w:t xml:space="preserve"> </w:t>
      </w:r>
      <w:r w:rsidR="003F6373">
        <w:t>vstupenek</w:t>
      </w:r>
      <w:r w:rsidR="003F6373" w:rsidRPr="000005F5">
        <w:t xml:space="preserve"> </w:t>
      </w:r>
      <w:r w:rsidR="00A966CE" w:rsidRPr="000005F5">
        <w:t xml:space="preserve">na </w:t>
      </w:r>
      <w:r w:rsidR="003F6373">
        <w:t>závěrečný</w:t>
      </w:r>
      <w:r w:rsidR="003F6373" w:rsidRPr="000005F5">
        <w:t xml:space="preserve"> </w:t>
      </w:r>
      <w:r w:rsidR="002E0BAD" w:rsidRPr="000005F5">
        <w:t>koncert</w:t>
      </w:r>
      <w:r w:rsidR="003F6373">
        <w:t xml:space="preserve"> akce</w:t>
      </w:r>
      <w:r w:rsidR="006525CB" w:rsidRPr="000005F5">
        <w:t xml:space="preserve">; dále pak </w:t>
      </w:r>
      <w:r w:rsidR="00321BCE">
        <w:t>xxx</w:t>
      </w:r>
      <w:r w:rsidR="00EC6C1F" w:rsidRPr="000005F5">
        <w:t xml:space="preserve">. </w:t>
      </w:r>
    </w:p>
    <w:p w14:paraId="174085C7" w14:textId="77777777" w:rsidR="00F5142F" w:rsidRPr="000005F5" w:rsidRDefault="00F5142F" w:rsidP="00D93399">
      <w:pPr>
        <w:pStyle w:val="Odstavecseseznamem"/>
      </w:pPr>
    </w:p>
    <w:p w14:paraId="7EC6448B" w14:textId="0747844A" w:rsidR="00F5142F" w:rsidRPr="000005F5" w:rsidRDefault="00F5142F" w:rsidP="00F5142F">
      <w:pPr>
        <w:numPr>
          <w:ilvl w:val="1"/>
          <w:numId w:val="15"/>
        </w:numPr>
      </w:pPr>
      <w:r w:rsidRPr="000005F5">
        <w:t xml:space="preserve">do </w:t>
      </w:r>
      <w:r w:rsidR="00F561E0">
        <w:t>28</w:t>
      </w:r>
      <w:r w:rsidRPr="000005F5">
        <w:t xml:space="preserve">. </w:t>
      </w:r>
      <w:r w:rsidR="00F561E0">
        <w:t>února</w:t>
      </w:r>
      <w:r w:rsidR="00F561E0" w:rsidRPr="000005F5">
        <w:t xml:space="preserve"> </w:t>
      </w:r>
      <w:r w:rsidRPr="000005F5">
        <w:t>202</w:t>
      </w:r>
      <w:r w:rsidR="00F561E0">
        <w:t>5</w:t>
      </w:r>
      <w:r w:rsidRPr="000005F5">
        <w:t xml:space="preserve"> umožnit společnosti ABB s.r.o. přednostní nákup vstupenek na všechny koncert Pražského jara 202</w:t>
      </w:r>
      <w:r w:rsidR="00497C6D">
        <w:t>5</w:t>
      </w:r>
      <w:r w:rsidRPr="000005F5">
        <w:t xml:space="preserve"> s výjimkou zahajovacích koncertů, a to za ceny uvedené na webových stránkách festivalu a v tiskových materiálech festivalu. Počet vstupenek bude upřesněn dle domluvy obou smluvních stran.</w:t>
      </w:r>
    </w:p>
    <w:p w14:paraId="5F687CF6" w14:textId="77777777" w:rsidR="003D50FA" w:rsidRPr="000005F5" w:rsidRDefault="003D50FA" w:rsidP="003D50FA">
      <w:pPr>
        <w:pStyle w:val="Odstavecseseznamem"/>
      </w:pPr>
    </w:p>
    <w:p w14:paraId="090B89D8" w14:textId="77777777" w:rsidR="003D50FA" w:rsidRPr="000005F5" w:rsidRDefault="00B44300" w:rsidP="003D50FA">
      <w:pPr>
        <w:numPr>
          <w:ilvl w:val="0"/>
          <w:numId w:val="15"/>
        </w:numPr>
      </w:pPr>
      <w:r w:rsidRPr="000005F5">
        <w:t xml:space="preserve">V souladu s čl. V. bodem d) Zakládací listiny obecně prospěšné společnosti </w:t>
      </w:r>
      <w:r w:rsidR="00E04985" w:rsidRPr="000005F5">
        <w:t xml:space="preserve">    </w:t>
      </w:r>
      <w:r w:rsidRPr="000005F5">
        <w:t>Pražské jaro, o.p.s. o doplňkové činnosti:</w:t>
      </w:r>
    </w:p>
    <w:p w14:paraId="0299F8F3" w14:textId="77777777" w:rsidR="003D50FA" w:rsidRPr="000005F5" w:rsidRDefault="003D50FA" w:rsidP="003D50FA">
      <w:pPr>
        <w:ind w:left="720"/>
      </w:pPr>
    </w:p>
    <w:p w14:paraId="5E4584E6" w14:textId="741FF51F" w:rsidR="009768F0" w:rsidRPr="000005F5" w:rsidRDefault="009768F0" w:rsidP="003D50FA">
      <w:pPr>
        <w:numPr>
          <w:ilvl w:val="1"/>
          <w:numId w:val="15"/>
        </w:numPr>
      </w:pPr>
      <w:r w:rsidRPr="000005F5">
        <w:t xml:space="preserve">Pražské jaro zajistí viditelnost a grafickou čitelnost znázornění loga (logotypu) objednatele v níže uvedených vydávaných tiscích a propagačních nosičích k projektu s přihlédnutím k možnostem daného konkrétního formátu a v poměru odpovídajícím vztahu mezi partnerem koncertu a </w:t>
      </w:r>
      <w:r w:rsidR="000E09AA" w:rsidRPr="000005F5">
        <w:t>dalšími</w:t>
      </w:r>
      <w:r w:rsidRPr="000005F5">
        <w:t xml:space="preserve"> partner</w:t>
      </w:r>
      <w:r w:rsidR="000E09AA" w:rsidRPr="000005F5">
        <w:t>y</w:t>
      </w:r>
      <w:r w:rsidRPr="000005F5">
        <w:t xml:space="preserve"> Pražského jara. Viditelností a grafickou čitelností se zejména rozumí, že velikost zobrazení loga bude taková, aby veškeré textové součásti loga objednatele byly čitelné prostým okem ze vzdálenosti přiměřené formátu (velikosti) příslušného tisku. Bude použita pouze grafická podoba loga předaná společností </w:t>
      </w:r>
      <w:r w:rsidR="000E09AA" w:rsidRPr="000005F5">
        <w:t>ABB</w:t>
      </w:r>
      <w:r w:rsidRPr="000005F5">
        <w:t xml:space="preserve"> s.r.o. Pražskému jaru v oficiálním manuálu. </w:t>
      </w:r>
    </w:p>
    <w:p w14:paraId="59F424C1" w14:textId="77777777" w:rsidR="009E322A" w:rsidRPr="000005F5" w:rsidRDefault="009E322A" w:rsidP="009E322A">
      <w:pPr>
        <w:ind w:firstLine="360"/>
      </w:pPr>
    </w:p>
    <w:p w14:paraId="2C0852E2" w14:textId="2B638605" w:rsidR="009768F0" w:rsidRPr="000005F5" w:rsidRDefault="009768F0" w:rsidP="00AD3C23">
      <w:pPr>
        <w:ind w:left="1418"/>
      </w:pPr>
      <w:r w:rsidRPr="000005F5">
        <w:t xml:space="preserve">Pražské jaro se dále zavazuje předložit ke schválení a následné korektuře všechny materiály, kde bude uváděno logo, tj. značka a logotyp, </w:t>
      </w:r>
      <w:r w:rsidR="002349B6" w:rsidRPr="000005F5">
        <w:t>ABB</w:t>
      </w:r>
      <w:r w:rsidRPr="000005F5">
        <w:t xml:space="preserve"> s.r.o. Souhlas se způsobem uvedení a grafickým ztvárněním loga osvědčí </w:t>
      </w:r>
      <w:r w:rsidR="00321BCE">
        <w:t>xxx</w:t>
      </w:r>
      <w:r w:rsidR="30F09417" w:rsidRPr="000005F5">
        <w:t>,</w:t>
      </w:r>
      <w:r w:rsidRPr="000005F5">
        <w:t xml:space="preserve"> e-mail:</w:t>
      </w:r>
      <w:r w:rsidR="00F5142F" w:rsidRPr="000005F5">
        <w:t xml:space="preserve"> </w:t>
      </w:r>
      <w:r w:rsidR="00321BCE">
        <w:t>xxx</w:t>
      </w:r>
      <w:r w:rsidRPr="000005F5">
        <w:t>.</w:t>
      </w:r>
    </w:p>
    <w:p w14:paraId="2E394662" w14:textId="77777777" w:rsidR="00B44300" w:rsidRPr="000005F5" w:rsidRDefault="00B44300" w:rsidP="00523BC7"/>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0"/>
        <w:gridCol w:w="2600"/>
        <w:gridCol w:w="1840"/>
      </w:tblGrid>
      <w:tr w:rsidR="00B44300" w:rsidRPr="000005F5" w14:paraId="27FEE54A" w14:textId="77777777" w:rsidTr="1D8D012D">
        <w:trPr>
          <w:trHeight w:val="288"/>
        </w:trPr>
        <w:tc>
          <w:tcPr>
            <w:tcW w:w="9140" w:type="dxa"/>
            <w:gridSpan w:val="3"/>
            <w:shd w:val="clear" w:color="auto" w:fill="00CCFF"/>
            <w:noWrap/>
            <w:vAlign w:val="center"/>
            <w:hideMark/>
          </w:tcPr>
          <w:p w14:paraId="3634F099" w14:textId="77777777" w:rsidR="00B44300" w:rsidRPr="000005F5" w:rsidRDefault="00B44300" w:rsidP="00523BC7">
            <w:pPr>
              <w:rPr>
                <w:b/>
                <w:bCs/>
                <w:sz w:val="22"/>
                <w:szCs w:val="18"/>
              </w:rPr>
            </w:pPr>
            <w:r w:rsidRPr="000005F5">
              <w:rPr>
                <w:b/>
                <w:bCs/>
                <w:sz w:val="22"/>
                <w:szCs w:val="18"/>
              </w:rPr>
              <w:t>ONLINE</w:t>
            </w:r>
          </w:p>
        </w:tc>
      </w:tr>
      <w:tr w:rsidR="00321BCE" w:rsidRPr="000005F5" w14:paraId="0669BAD1" w14:textId="77777777" w:rsidTr="00D25A61">
        <w:trPr>
          <w:trHeight w:val="288"/>
        </w:trPr>
        <w:tc>
          <w:tcPr>
            <w:tcW w:w="4700" w:type="dxa"/>
            <w:shd w:val="clear" w:color="auto" w:fill="FFFFFF" w:themeFill="background1"/>
            <w:noWrap/>
            <w:vAlign w:val="center"/>
            <w:hideMark/>
          </w:tcPr>
          <w:p w14:paraId="2CC2D397" w14:textId="2959F59B" w:rsidR="00321BCE" w:rsidRPr="000005F5" w:rsidRDefault="00321BCE" w:rsidP="00321BCE">
            <w:pPr>
              <w:rPr>
                <w:sz w:val="22"/>
                <w:szCs w:val="18"/>
              </w:rPr>
            </w:pPr>
            <w:r>
              <w:rPr>
                <w:sz w:val="22"/>
                <w:szCs w:val="18"/>
              </w:rPr>
              <w:t>xxx</w:t>
            </w:r>
          </w:p>
        </w:tc>
        <w:tc>
          <w:tcPr>
            <w:tcW w:w="2600" w:type="dxa"/>
            <w:shd w:val="clear" w:color="auto" w:fill="FFFFFF" w:themeFill="background1"/>
            <w:noWrap/>
            <w:hideMark/>
          </w:tcPr>
          <w:p w14:paraId="493C11CF" w14:textId="32558119" w:rsidR="00321BCE" w:rsidRPr="000005F5" w:rsidRDefault="00321BCE" w:rsidP="00321BCE">
            <w:pPr>
              <w:rPr>
                <w:sz w:val="22"/>
                <w:szCs w:val="22"/>
              </w:rPr>
            </w:pPr>
            <w:r w:rsidRPr="006F42B2">
              <w:rPr>
                <w:sz w:val="22"/>
                <w:szCs w:val="18"/>
              </w:rPr>
              <w:t>xxx</w:t>
            </w:r>
          </w:p>
        </w:tc>
        <w:tc>
          <w:tcPr>
            <w:tcW w:w="1840" w:type="dxa"/>
            <w:shd w:val="clear" w:color="auto" w:fill="FFFFFF" w:themeFill="background1"/>
            <w:noWrap/>
            <w:hideMark/>
          </w:tcPr>
          <w:p w14:paraId="208416C1" w14:textId="47E515E9" w:rsidR="00321BCE" w:rsidRPr="000005F5" w:rsidRDefault="00321BCE" w:rsidP="00321BCE">
            <w:pPr>
              <w:rPr>
                <w:sz w:val="22"/>
                <w:szCs w:val="18"/>
              </w:rPr>
            </w:pPr>
            <w:r w:rsidRPr="006F42B2">
              <w:rPr>
                <w:sz w:val="22"/>
                <w:szCs w:val="18"/>
              </w:rPr>
              <w:t>xxx</w:t>
            </w:r>
          </w:p>
        </w:tc>
      </w:tr>
      <w:tr w:rsidR="00B44300" w:rsidRPr="000005F5" w14:paraId="5E0814CA" w14:textId="77777777" w:rsidTr="1D8D012D">
        <w:trPr>
          <w:trHeight w:val="288"/>
        </w:trPr>
        <w:tc>
          <w:tcPr>
            <w:tcW w:w="9140" w:type="dxa"/>
            <w:gridSpan w:val="3"/>
            <w:shd w:val="clear" w:color="auto" w:fill="00CCFF"/>
            <w:noWrap/>
            <w:vAlign w:val="center"/>
            <w:hideMark/>
          </w:tcPr>
          <w:p w14:paraId="21308918" w14:textId="77777777" w:rsidR="00B44300" w:rsidRPr="000005F5" w:rsidRDefault="00B44300" w:rsidP="00523BC7">
            <w:pPr>
              <w:rPr>
                <w:b/>
                <w:bCs/>
                <w:sz w:val="22"/>
                <w:szCs w:val="18"/>
              </w:rPr>
            </w:pPr>
            <w:r w:rsidRPr="000005F5">
              <w:rPr>
                <w:b/>
                <w:bCs/>
                <w:sz w:val="22"/>
                <w:szCs w:val="18"/>
              </w:rPr>
              <w:t>TISKOVINY</w:t>
            </w:r>
          </w:p>
        </w:tc>
      </w:tr>
      <w:tr w:rsidR="00321BCE" w:rsidRPr="000005F5" w14:paraId="5140B81A" w14:textId="77777777" w:rsidTr="00367AE2">
        <w:trPr>
          <w:trHeight w:val="288"/>
        </w:trPr>
        <w:tc>
          <w:tcPr>
            <w:tcW w:w="4700" w:type="dxa"/>
            <w:shd w:val="clear" w:color="auto" w:fill="FFFFFF" w:themeFill="background1"/>
            <w:noWrap/>
            <w:hideMark/>
          </w:tcPr>
          <w:p w14:paraId="771276A0" w14:textId="75B7B658" w:rsidR="00321BCE" w:rsidRPr="000005F5" w:rsidRDefault="00321BCE" w:rsidP="00321BCE">
            <w:pPr>
              <w:rPr>
                <w:sz w:val="22"/>
                <w:szCs w:val="18"/>
              </w:rPr>
            </w:pPr>
            <w:r w:rsidRPr="00A01A83">
              <w:rPr>
                <w:sz w:val="22"/>
                <w:szCs w:val="18"/>
              </w:rPr>
              <w:lastRenderedPageBreak/>
              <w:t>xxx</w:t>
            </w:r>
          </w:p>
        </w:tc>
        <w:tc>
          <w:tcPr>
            <w:tcW w:w="2600" w:type="dxa"/>
            <w:shd w:val="clear" w:color="auto" w:fill="FFFFFF" w:themeFill="background1"/>
            <w:noWrap/>
            <w:hideMark/>
          </w:tcPr>
          <w:p w14:paraId="1A5DD1E3" w14:textId="07772D1C" w:rsidR="00321BCE" w:rsidRPr="000005F5" w:rsidRDefault="00321BCE" w:rsidP="00321BCE">
            <w:pPr>
              <w:rPr>
                <w:sz w:val="22"/>
                <w:szCs w:val="18"/>
              </w:rPr>
            </w:pPr>
            <w:r w:rsidRPr="00A01A83">
              <w:rPr>
                <w:sz w:val="22"/>
                <w:szCs w:val="18"/>
              </w:rPr>
              <w:t>xxx</w:t>
            </w:r>
          </w:p>
        </w:tc>
        <w:tc>
          <w:tcPr>
            <w:tcW w:w="1840" w:type="dxa"/>
            <w:shd w:val="clear" w:color="auto" w:fill="FFFFFF" w:themeFill="background1"/>
            <w:noWrap/>
            <w:hideMark/>
          </w:tcPr>
          <w:p w14:paraId="1C49AB63" w14:textId="2926182F" w:rsidR="00321BCE" w:rsidRPr="000005F5" w:rsidRDefault="00321BCE" w:rsidP="00321BCE">
            <w:pPr>
              <w:rPr>
                <w:sz w:val="22"/>
                <w:szCs w:val="18"/>
              </w:rPr>
            </w:pPr>
            <w:r w:rsidRPr="00A01A83">
              <w:rPr>
                <w:sz w:val="22"/>
                <w:szCs w:val="18"/>
              </w:rPr>
              <w:t>xxx</w:t>
            </w:r>
          </w:p>
        </w:tc>
      </w:tr>
      <w:tr w:rsidR="00321BCE" w:rsidRPr="000005F5" w14:paraId="1F64D619" w14:textId="77777777" w:rsidTr="00367AE2">
        <w:trPr>
          <w:trHeight w:val="288"/>
        </w:trPr>
        <w:tc>
          <w:tcPr>
            <w:tcW w:w="4700" w:type="dxa"/>
            <w:shd w:val="clear" w:color="auto" w:fill="FFFFFF" w:themeFill="background1"/>
            <w:noWrap/>
            <w:hideMark/>
          </w:tcPr>
          <w:p w14:paraId="29CFA57A" w14:textId="30A030BB" w:rsidR="00321BCE" w:rsidRPr="000005F5" w:rsidRDefault="00321BCE" w:rsidP="00321BCE">
            <w:pPr>
              <w:rPr>
                <w:sz w:val="22"/>
                <w:szCs w:val="18"/>
              </w:rPr>
            </w:pPr>
            <w:r w:rsidRPr="00A01A83">
              <w:rPr>
                <w:sz w:val="22"/>
                <w:szCs w:val="18"/>
              </w:rPr>
              <w:t>xxx</w:t>
            </w:r>
          </w:p>
        </w:tc>
        <w:tc>
          <w:tcPr>
            <w:tcW w:w="2600" w:type="dxa"/>
            <w:shd w:val="clear" w:color="auto" w:fill="FFFFFF" w:themeFill="background1"/>
            <w:noWrap/>
            <w:hideMark/>
          </w:tcPr>
          <w:p w14:paraId="1E0C0FB7" w14:textId="5E48D585" w:rsidR="00321BCE" w:rsidRPr="000005F5" w:rsidRDefault="00321BCE" w:rsidP="00321BCE">
            <w:pPr>
              <w:rPr>
                <w:sz w:val="22"/>
                <w:szCs w:val="18"/>
              </w:rPr>
            </w:pPr>
            <w:r w:rsidRPr="00A01A83">
              <w:rPr>
                <w:sz w:val="22"/>
                <w:szCs w:val="18"/>
              </w:rPr>
              <w:t>xxx</w:t>
            </w:r>
          </w:p>
        </w:tc>
        <w:tc>
          <w:tcPr>
            <w:tcW w:w="1840" w:type="dxa"/>
            <w:shd w:val="clear" w:color="auto" w:fill="FFFFFF" w:themeFill="background1"/>
            <w:noWrap/>
            <w:hideMark/>
          </w:tcPr>
          <w:p w14:paraId="4FC3A384" w14:textId="38F7304E" w:rsidR="00321BCE" w:rsidRPr="000005F5" w:rsidRDefault="00321BCE" w:rsidP="00321BCE">
            <w:pPr>
              <w:rPr>
                <w:sz w:val="22"/>
                <w:szCs w:val="18"/>
              </w:rPr>
            </w:pPr>
            <w:r w:rsidRPr="00A01A83">
              <w:rPr>
                <w:sz w:val="22"/>
                <w:szCs w:val="18"/>
              </w:rPr>
              <w:t>xxx</w:t>
            </w:r>
          </w:p>
        </w:tc>
      </w:tr>
      <w:tr w:rsidR="00321BCE" w:rsidRPr="000005F5" w14:paraId="051EE34C" w14:textId="77777777" w:rsidTr="00367AE2">
        <w:trPr>
          <w:trHeight w:val="288"/>
        </w:trPr>
        <w:tc>
          <w:tcPr>
            <w:tcW w:w="4700" w:type="dxa"/>
            <w:shd w:val="clear" w:color="auto" w:fill="FFFFFF" w:themeFill="background1"/>
            <w:noWrap/>
            <w:hideMark/>
          </w:tcPr>
          <w:p w14:paraId="3FC09B36" w14:textId="49A6E3DF" w:rsidR="00321BCE" w:rsidRPr="000005F5" w:rsidRDefault="00321BCE" w:rsidP="00321BCE">
            <w:pPr>
              <w:rPr>
                <w:sz w:val="22"/>
                <w:szCs w:val="18"/>
              </w:rPr>
            </w:pPr>
            <w:r w:rsidRPr="00A01A83">
              <w:rPr>
                <w:sz w:val="22"/>
                <w:szCs w:val="18"/>
              </w:rPr>
              <w:t>xxx</w:t>
            </w:r>
          </w:p>
        </w:tc>
        <w:tc>
          <w:tcPr>
            <w:tcW w:w="2600" w:type="dxa"/>
            <w:shd w:val="clear" w:color="auto" w:fill="FFFFFF" w:themeFill="background1"/>
            <w:noWrap/>
            <w:hideMark/>
          </w:tcPr>
          <w:p w14:paraId="5B0F4E77" w14:textId="0ACE2FB4" w:rsidR="00321BCE" w:rsidRPr="000005F5" w:rsidRDefault="00321BCE" w:rsidP="00321BCE">
            <w:pPr>
              <w:rPr>
                <w:sz w:val="22"/>
                <w:szCs w:val="18"/>
              </w:rPr>
            </w:pPr>
            <w:r w:rsidRPr="00A01A83">
              <w:rPr>
                <w:sz w:val="22"/>
                <w:szCs w:val="18"/>
              </w:rPr>
              <w:t>xxx</w:t>
            </w:r>
          </w:p>
        </w:tc>
        <w:tc>
          <w:tcPr>
            <w:tcW w:w="1840" w:type="dxa"/>
            <w:shd w:val="clear" w:color="auto" w:fill="FFFFFF" w:themeFill="background1"/>
            <w:noWrap/>
            <w:hideMark/>
          </w:tcPr>
          <w:p w14:paraId="754221FD" w14:textId="1F85A774" w:rsidR="00321BCE" w:rsidRPr="000005F5" w:rsidRDefault="00321BCE" w:rsidP="00321BCE">
            <w:pPr>
              <w:rPr>
                <w:sz w:val="22"/>
                <w:szCs w:val="18"/>
              </w:rPr>
            </w:pPr>
            <w:r w:rsidRPr="00A01A83">
              <w:rPr>
                <w:sz w:val="22"/>
                <w:szCs w:val="18"/>
              </w:rPr>
              <w:t>xxx</w:t>
            </w:r>
          </w:p>
        </w:tc>
      </w:tr>
      <w:tr w:rsidR="00321BCE" w:rsidRPr="000005F5" w14:paraId="15A0C08F" w14:textId="77777777" w:rsidTr="00367AE2">
        <w:trPr>
          <w:trHeight w:val="288"/>
        </w:trPr>
        <w:tc>
          <w:tcPr>
            <w:tcW w:w="4700" w:type="dxa"/>
            <w:shd w:val="clear" w:color="auto" w:fill="FFFFFF" w:themeFill="background1"/>
            <w:noWrap/>
            <w:hideMark/>
          </w:tcPr>
          <w:p w14:paraId="0D027BCE" w14:textId="3FAACC41" w:rsidR="00321BCE" w:rsidRPr="000005F5" w:rsidRDefault="00321BCE" w:rsidP="00321BCE">
            <w:pPr>
              <w:rPr>
                <w:sz w:val="22"/>
                <w:szCs w:val="18"/>
              </w:rPr>
            </w:pPr>
            <w:r w:rsidRPr="00A01A83">
              <w:rPr>
                <w:sz w:val="22"/>
                <w:szCs w:val="18"/>
              </w:rPr>
              <w:t>xxx</w:t>
            </w:r>
          </w:p>
        </w:tc>
        <w:tc>
          <w:tcPr>
            <w:tcW w:w="2600" w:type="dxa"/>
            <w:shd w:val="clear" w:color="auto" w:fill="FFFFFF" w:themeFill="background1"/>
            <w:noWrap/>
            <w:hideMark/>
          </w:tcPr>
          <w:p w14:paraId="33545338" w14:textId="1FB5D058" w:rsidR="00321BCE" w:rsidRPr="000005F5" w:rsidRDefault="00321BCE" w:rsidP="00321BCE">
            <w:pPr>
              <w:rPr>
                <w:sz w:val="22"/>
                <w:szCs w:val="18"/>
              </w:rPr>
            </w:pPr>
            <w:r w:rsidRPr="00A01A83">
              <w:rPr>
                <w:sz w:val="22"/>
                <w:szCs w:val="18"/>
              </w:rPr>
              <w:t>xxx</w:t>
            </w:r>
          </w:p>
        </w:tc>
        <w:tc>
          <w:tcPr>
            <w:tcW w:w="1840" w:type="dxa"/>
            <w:shd w:val="clear" w:color="auto" w:fill="FFFFFF" w:themeFill="background1"/>
            <w:noWrap/>
            <w:hideMark/>
          </w:tcPr>
          <w:p w14:paraId="45096CD3" w14:textId="744B1DF6" w:rsidR="00321BCE" w:rsidRPr="000005F5" w:rsidRDefault="00321BCE" w:rsidP="00321BCE">
            <w:pPr>
              <w:rPr>
                <w:sz w:val="22"/>
                <w:szCs w:val="18"/>
              </w:rPr>
            </w:pPr>
            <w:r w:rsidRPr="00A01A83">
              <w:rPr>
                <w:sz w:val="22"/>
                <w:szCs w:val="18"/>
              </w:rPr>
              <w:t>xxx</w:t>
            </w:r>
          </w:p>
        </w:tc>
      </w:tr>
      <w:tr w:rsidR="00321BCE" w:rsidRPr="000005F5" w14:paraId="7B41F47C" w14:textId="77777777" w:rsidTr="00367AE2">
        <w:trPr>
          <w:trHeight w:val="288"/>
        </w:trPr>
        <w:tc>
          <w:tcPr>
            <w:tcW w:w="4700" w:type="dxa"/>
            <w:shd w:val="clear" w:color="auto" w:fill="FFFFFF" w:themeFill="background1"/>
            <w:noWrap/>
            <w:hideMark/>
          </w:tcPr>
          <w:p w14:paraId="1BA68977" w14:textId="183C4641" w:rsidR="00321BCE" w:rsidRPr="000005F5" w:rsidRDefault="00321BCE" w:rsidP="00321BCE">
            <w:pPr>
              <w:rPr>
                <w:sz w:val="22"/>
                <w:szCs w:val="18"/>
              </w:rPr>
            </w:pPr>
            <w:r w:rsidRPr="00A01A83">
              <w:rPr>
                <w:sz w:val="22"/>
                <w:szCs w:val="18"/>
              </w:rPr>
              <w:t>xxx</w:t>
            </w:r>
          </w:p>
        </w:tc>
        <w:tc>
          <w:tcPr>
            <w:tcW w:w="2600" w:type="dxa"/>
            <w:shd w:val="clear" w:color="auto" w:fill="auto"/>
            <w:noWrap/>
            <w:hideMark/>
          </w:tcPr>
          <w:p w14:paraId="5EF44B4F" w14:textId="1C28A6D9" w:rsidR="00321BCE" w:rsidRPr="000005F5" w:rsidRDefault="00321BCE" w:rsidP="00321BCE">
            <w:pPr>
              <w:rPr>
                <w:sz w:val="22"/>
                <w:szCs w:val="18"/>
              </w:rPr>
            </w:pPr>
            <w:r w:rsidRPr="00A01A83">
              <w:rPr>
                <w:sz w:val="22"/>
                <w:szCs w:val="18"/>
              </w:rPr>
              <w:t>xxx</w:t>
            </w:r>
          </w:p>
        </w:tc>
        <w:tc>
          <w:tcPr>
            <w:tcW w:w="1840" w:type="dxa"/>
            <w:shd w:val="clear" w:color="auto" w:fill="FFFFFF" w:themeFill="background1"/>
            <w:noWrap/>
            <w:hideMark/>
          </w:tcPr>
          <w:p w14:paraId="5CF9EE90" w14:textId="467FA2AB" w:rsidR="00321BCE" w:rsidRPr="000005F5" w:rsidRDefault="00321BCE" w:rsidP="00321BCE">
            <w:pPr>
              <w:rPr>
                <w:sz w:val="22"/>
                <w:szCs w:val="18"/>
              </w:rPr>
            </w:pPr>
            <w:r w:rsidRPr="00A01A83">
              <w:rPr>
                <w:sz w:val="22"/>
                <w:szCs w:val="18"/>
              </w:rPr>
              <w:t>xxx</w:t>
            </w:r>
          </w:p>
        </w:tc>
      </w:tr>
      <w:tr w:rsidR="00B44300" w:rsidRPr="000005F5" w14:paraId="2A7A8BEA" w14:textId="77777777" w:rsidTr="1D8D012D">
        <w:trPr>
          <w:trHeight w:val="288"/>
        </w:trPr>
        <w:tc>
          <w:tcPr>
            <w:tcW w:w="9140" w:type="dxa"/>
            <w:gridSpan w:val="3"/>
            <w:shd w:val="clear" w:color="auto" w:fill="00CCFF"/>
            <w:noWrap/>
            <w:vAlign w:val="center"/>
          </w:tcPr>
          <w:p w14:paraId="609AB765" w14:textId="78E7053D" w:rsidR="00B44300" w:rsidRPr="000005F5" w:rsidRDefault="00B44300" w:rsidP="00523BC7">
            <w:pPr>
              <w:rPr>
                <w:sz w:val="22"/>
                <w:szCs w:val="18"/>
              </w:rPr>
            </w:pPr>
          </w:p>
        </w:tc>
      </w:tr>
      <w:tr w:rsidR="00321BCE" w:rsidRPr="000005F5" w14:paraId="144C7119" w14:textId="77777777" w:rsidTr="00403EAF">
        <w:trPr>
          <w:trHeight w:val="288"/>
        </w:trPr>
        <w:tc>
          <w:tcPr>
            <w:tcW w:w="4700" w:type="dxa"/>
            <w:shd w:val="clear" w:color="auto" w:fill="FFFFFF" w:themeFill="background1"/>
            <w:noWrap/>
          </w:tcPr>
          <w:p w14:paraId="3A564AE7" w14:textId="7B82BBB4" w:rsidR="00321BCE" w:rsidRPr="000005F5" w:rsidRDefault="00321BCE" w:rsidP="00321BCE">
            <w:pPr>
              <w:rPr>
                <w:sz w:val="22"/>
                <w:szCs w:val="18"/>
              </w:rPr>
            </w:pPr>
            <w:r w:rsidRPr="00DF0A5E">
              <w:rPr>
                <w:sz w:val="22"/>
                <w:szCs w:val="18"/>
              </w:rPr>
              <w:t>xxx</w:t>
            </w:r>
          </w:p>
        </w:tc>
        <w:tc>
          <w:tcPr>
            <w:tcW w:w="2600" w:type="dxa"/>
            <w:shd w:val="clear" w:color="auto" w:fill="FFFFFF" w:themeFill="background1"/>
            <w:noWrap/>
          </w:tcPr>
          <w:p w14:paraId="1B8450EB" w14:textId="3C437E03" w:rsidR="00321BCE" w:rsidRPr="000005F5" w:rsidRDefault="00321BCE" w:rsidP="00321BCE">
            <w:pPr>
              <w:rPr>
                <w:sz w:val="22"/>
                <w:szCs w:val="18"/>
              </w:rPr>
            </w:pPr>
            <w:r w:rsidRPr="00DF0A5E">
              <w:rPr>
                <w:sz w:val="22"/>
                <w:szCs w:val="18"/>
              </w:rPr>
              <w:t>xxx</w:t>
            </w:r>
          </w:p>
        </w:tc>
        <w:tc>
          <w:tcPr>
            <w:tcW w:w="1840" w:type="dxa"/>
            <w:shd w:val="clear" w:color="auto" w:fill="FFFFFF" w:themeFill="background1"/>
            <w:noWrap/>
          </w:tcPr>
          <w:p w14:paraId="3E210869" w14:textId="251B0E5C" w:rsidR="00321BCE" w:rsidRPr="000005F5" w:rsidRDefault="00321BCE" w:rsidP="00321BCE">
            <w:pPr>
              <w:rPr>
                <w:sz w:val="22"/>
                <w:szCs w:val="18"/>
              </w:rPr>
            </w:pPr>
            <w:r w:rsidRPr="00DF0A5E">
              <w:rPr>
                <w:sz w:val="22"/>
                <w:szCs w:val="18"/>
              </w:rPr>
              <w:t>xxx</w:t>
            </w:r>
          </w:p>
        </w:tc>
      </w:tr>
      <w:tr w:rsidR="00321BCE" w:rsidRPr="000005F5" w14:paraId="62E6D9F7" w14:textId="77777777" w:rsidTr="00403EAF">
        <w:trPr>
          <w:trHeight w:val="288"/>
        </w:trPr>
        <w:tc>
          <w:tcPr>
            <w:tcW w:w="4700" w:type="dxa"/>
            <w:shd w:val="clear" w:color="auto" w:fill="FFFFFF" w:themeFill="background1"/>
            <w:noWrap/>
          </w:tcPr>
          <w:p w14:paraId="539B9476" w14:textId="6AA63D23" w:rsidR="00321BCE" w:rsidRPr="000005F5" w:rsidRDefault="00321BCE" w:rsidP="00321BCE">
            <w:pPr>
              <w:rPr>
                <w:sz w:val="22"/>
                <w:szCs w:val="18"/>
              </w:rPr>
            </w:pPr>
            <w:r w:rsidRPr="00DF0A5E">
              <w:rPr>
                <w:sz w:val="22"/>
                <w:szCs w:val="18"/>
              </w:rPr>
              <w:t>xxx</w:t>
            </w:r>
          </w:p>
        </w:tc>
        <w:tc>
          <w:tcPr>
            <w:tcW w:w="2600" w:type="dxa"/>
            <w:shd w:val="clear" w:color="auto" w:fill="FFFFFF" w:themeFill="background1"/>
            <w:noWrap/>
          </w:tcPr>
          <w:p w14:paraId="129B5E8B" w14:textId="0D03C0A6" w:rsidR="00321BCE" w:rsidRPr="000005F5" w:rsidRDefault="00321BCE" w:rsidP="00321BCE">
            <w:pPr>
              <w:rPr>
                <w:sz w:val="22"/>
                <w:szCs w:val="18"/>
              </w:rPr>
            </w:pPr>
            <w:r w:rsidRPr="00DF0A5E">
              <w:rPr>
                <w:sz w:val="22"/>
                <w:szCs w:val="18"/>
              </w:rPr>
              <w:t>xxx</w:t>
            </w:r>
          </w:p>
        </w:tc>
        <w:tc>
          <w:tcPr>
            <w:tcW w:w="1840" w:type="dxa"/>
            <w:shd w:val="clear" w:color="auto" w:fill="FFFFFF" w:themeFill="background1"/>
            <w:noWrap/>
          </w:tcPr>
          <w:p w14:paraId="6D86AEA5" w14:textId="1A02AF86" w:rsidR="00321BCE" w:rsidRPr="000005F5" w:rsidRDefault="00321BCE" w:rsidP="00321BCE">
            <w:pPr>
              <w:rPr>
                <w:sz w:val="22"/>
                <w:szCs w:val="18"/>
              </w:rPr>
            </w:pPr>
            <w:r w:rsidRPr="00DF0A5E">
              <w:rPr>
                <w:sz w:val="22"/>
                <w:szCs w:val="18"/>
              </w:rPr>
              <w:t>xxx</w:t>
            </w:r>
          </w:p>
        </w:tc>
      </w:tr>
      <w:tr w:rsidR="00321BCE" w:rsidRPr="000005F5" w14:paraId="1CF743CD" w14:textId="77777777" w:rsidTr="00403EAF">
        <w:trPr>
          <w:trHeight w:val="288"/>
        </w:trPr>
        <w:tc>
          <w:tcPr>
            <w:tcW w:w="4700" w:type="dxa"/>
            <w:shd w:val="clear" w:color="auto" w:fill="FFFFFF" w:themeFill="background1"/>
            <w:noWrap/>
          </w:tcPr>
          <w:p w14:paraId="21533B7D" w14:textId="1FD89C74" w:rsidR="00321BCE" w:rsidRPr="000005F5" w:rsidRDefault="00321BCE" w:rsidP="00321BCE">
            <w:pPr>
              <w:rPr>
                <w:sz w:val="22"/>
                <w:szCs w:val="18"/>
              </w:rPr>
            </w:pPr>
            <w:r w:rsidRPr="00DF0A5E">
              <w:rPr>
                <w:sz w:val="22"/>
                <w:szCs w:val="18"/>
              </w:rPr>
              <w:t>xxx</w:t>
            </w:r>
          </w:p>
        </w:tc>
        <w:tc>
          <w:tcPr>
            <w:tcW w:w="2600" w:type="dxa"/>
            <w:shd w:val="clear" w:color="auto" w:fill="FFFFFF" w:themeFill="background1"/>
            <w:noWrap/>
          </w:tcPr>
          <w:p w14:paraId="111DE861" w14:textId="486350AE" w:rsidR="00321BCE" w:rsidRPr="000005F5" w:rsidRDefault="00321BCE" w:rsidP="00321BCE">
            <w:pPr>
              <w:rPr>
                <w:sz w:val="22"/>
                <w:szCs w:val="18"/>
              </w:rPr>
            </w:pPr>
            <w:r w:rsidRPr="00DF0A5E">
              <w:rPr>
                <w:sz w:val="22"/>
                <w:szCs w:val="18"/>
              </w:rPr>
              <w:t>xxx</w:t>
            </w:r>
          </w:p>
        </w:tc>
        <w:tc>
          <w:tcPr>
            <w:tcW w:w="1840" w:type="dxa"/>
            <w:shd w:val="clear" w:color="auto" w:fill="FFFFFF" w:themeFill="background1"/>
            <w:noWrap/>
          </w:tcPr>
          <w:p w14:paraId="43688D08" w14:textId="741461D2" w:rsidR="00321BCE" w:rsidRPr="000005F5" w:rsidRDefault="00321BCE" w:rsidP="00321BCE">
            <w:pPr>
              <w:rPr>
                <w:sz w:val="22"/>
                <w:szCs w:val="18"/>
              </w:rPr>
            </w:pPr>
            <w:r w:rsidRPr="00DF0A5E">
              <w:rPr>
                <w:sz w:val="22"/>
                <w:szCs w:val="18"/>
              </w:rPr>
              <w:t>xxx</w:t>
            </w:r>
          </w:p>
        </w:tc>
      </w:tr>
    </w:tbl>
    <w:p w14:paraId="4D44B378" w14:textId="77777777" w:rsidR="00B44300" w:rsidRPr="000005F5" w:rsidRDefault="00B44300" w:rsidP="00523BC7"/>
    <w:p w14:paraId="5B4B64D9" w14:textId="691C4098" w:rsidR="00AB50AA" w:rsidRPr="000005F5" w:rsidRDefault="00E75EA3">
      <w:pPr>
        <w:numPr>
          <w:ilvl w:val="1"/>
          <w:numId w:val="15"/>
        </w:numPr>
      </w:pPr>
      <w:r w:rsidRPr="000005F5">
        <w:t xml:space="preserve">Pražské jaro </w:t>
      </w:r>
      <w:r w:rsidR="00AB50AA" w:rsidRPr="000005F5">
        <w:t>umožní ABB</w:t>
      </w:r>
      <w:r w:rsidR="008F37D4" w:rsidRPr="000005F5">
        <w:t xml:space="preserve"> </w:t>
      </w:r>
      <w:r w:rsidR="00DB520A" w:rsidRPr="000005F5">
        <w:t>prezentovat se v rámci partnerské akce</w:t>
      </w:r>
      <w:r w:rsidR="00B36034" w:rsidRPr="000005F5">
        <w:t xml:space="preserve"> ve vytvořené ABB zóně v prostorách Anežského klášter</w:t>
      </w:r>
      <w:r w:rsidR="00B23757" w:rsidRPr="000005F5">
        <w:t>a</w:t>
      </w:r>
      <w:r w:rsidR="00DA7164" w:rsidRPr="000005F5">
        <w:t xml:space="preserve">. </w:t>
      </w:r>
      <w:r w:rsidR="00B36034" w:rsidRPr="000005F5">
        <w:t>Náklady spojené s</w:t>
      </w:r>
      <w:r w:rsidR="006F4C89" w:rsidRPr="000005F5">
        <w:t xml:space="preserve"> vytvořením ABB </w:t>
      </w:r>
      <w:r w:rsidR="00DA7164" w:rsidRPr="000005F5">
        <w:t xml:space="preserve">zóny </w:t>
      </w:r>
      <w:r w:rsidR="006F4C89" w:rsidRPr="000005F5">
        <w:t xml:space="preserve">nejsou součástí této sponzorské smlouvy a budou hrazeny </w:t>
      </w:r>
      <w:r w:rsidR="00DA7164" w:rsidRPr="000005F5">
        <w:t>ABB (</w:t>
      </w:r>
      <w:r w:rsidR="005A0784" w:rsidRPr="000005F5">
        <w:t>doprava, obsluha, zabezpečení ad.)</w:t>
      </w:r>
      <w:r w:rsidR="006F4C89" w:rsidRPr="000005F5">
        <w:t xml:space="preserve">. Pražské jaro </w:t>
      </w:r>
      <w:r w:rsidR="00B23757" w:rsidRPr="000005F5">
        <w:t xml:space="preserve">zajistí </w:t>
      </w:r>
      <w:r w:rsidR="005A0784" w:rsidRPr="000005F5">
        <w:t xml:space="preserve">a připraví prostor ABB zóny včetně připojení místa </w:t>
      </w:r>
      <w:r w:rsidR="001024AF" w:rsidRPr="000005F5">
        <w:t xml:space="preserve">k elektrické síti. </w:t>
      </w:r>
    </w:p>
    <w:p w14:paraId="2B308FEC" w14:textId="77777777" w:rsidR="00AB50AA" w:rsidRPr="000005F5" w:rsidRDefault="00AB50AA" w:rsidP="00AB50AA"/>
    <w:p w14:paraId="5ADFB138" w14:textId="7CE668E9" w:rsidR="00971793" w:rsidRPr="000005F5" w:rsidRDefault="25F995FA" w:rsidP="25F995FA">
      <w:pPr>
        <w:pStyle w:val="Odstavecseseznamem"/>
        <w:numPr>
          <w:ilvl w:val="0"/>
          <w:numId w:val="15"/>
        </w:numPr>
        <w:rPr>
          <w:szCs w:val="24"/>
        </w:rPr>
      </w:pPr>
      <w:r w:rsidRPr="000005F5">
        <w:t>ABB</w:t>
      </w:r>
      <w:r w:rsidR="00971793" w:rsidRPr="000005F5">
        <w:t xml:space="preserve"> s.r.o.</w:t>
      </w:r>
      <w:r w:rsidR="006847A4" w:rsidRPr="000005F5">
        <w:t xml:space="preserve"> zajistí prezentaci v rámci festivalu dle výše uvedených bodů, která bude v souladu s festivalovým programem. Pokud nastane ze strany ABB s.r.o. překážka s dodáním prezentace, bude pořadatele neprodleně kontaktovat. </w:t>
      </w:r>
    </w:p>
    <w:p w14:paraId="43C77E82" w14:textId="77777777" w:rsidR="00FB3EB5" w:rsidRPr="000005F5" w:rsidRDefault="00FB3EB5" w:rsidP="00AD58F8"/>
    <w:p w14:paraId="452260B1" w14:textId="77777777" w:rsidR="00FB3EB5" w:rsidRPr="000005F5" w:rsidRDefault="00FB3EB5" w:rsidP="00FB3EB5"/>
    <w:p w14:paraId="00BB001B" w14:textId="77777777" w:rsidR="00CF2C2A" w:rsidRPr="000005F5" w:rsidRDefault="00CF2C2A" w:rsidP="007B15CC">
      <w:pPr>
        <w:numPr>
          <w:ilvl w:val="0"/>
          <w:numId w:val="12"/>
        </w:numPr>
        <w:jc w:val="center"/>
        <w:rPr>
          <w:b/>
          <w:bCs/>
        </w:rPr>
      </w:pPr>
    </w:p>
    <w:p w14:paraId="29AB8343" w14:textId="77777777" w:rsidR="00CF2C2A" w:rsidRPr="000005F5" w:rsidRDefault="00CF2C2A" w:rsidP="00CF2C2A"/>
    <w:p w14:paraId="4093DBC0" w14:textId="210AB56F" w:rsidR="00B44300" w:rsidRPr="000005F5" w:rsidRDefault="00B44300" w:rsidP="00404712">
      <w:r w:rsidRPr="000005F5">
        <w:t xml:space="preserve">Cena za poskytnutí plnění podle článku II. této smlouvy činí celkem </w:t>
      </w:r>
      <w:r w:rsidR="00F01380">
        <w:t>xxx</w:t>
      </w:r>
      <w:r w:rsidR="00BD0840" w:rsidRPr="000005F5">
        <w:t xml:space="preserve"> </w:t>
      </w:r>
      <w:r w:rsidRPr="000005F5">
        <w:t xml:space="preserve">Kč (slovy </w:t>
      </w:r>
      <w:r w:rsidR="00F01380">
        <w:t>xxx</w:t>
      </w:r>
      <w:r w:rsidRPr="000005F5">
        <w:t xml:space="preserve"> </w:t>
      </w:r>
      <w:r w:rsidR="00B13F51" w:rsidRPr="000005F5">
        <w:t>korun českých</w:t>
      </w:r>
      <w:r w:rsidRPr="000005F5">
        <w:t>) bez DPH, z toho:</w:t>
      </w:r>
    </w:p>
    <w:p w14:paraId="459A8998" w14:textId="77777777" w:rsidR="00C6124C" w:rsidRPr="000005F5" w:rsidRDefault="00C6124C" w:rsidP="00404712"/>
    <w:p w14:paraId="2C7D28C2" w14:textId="1A4F56C7" w:rsidR="005A3A7F" w:rsidRPr="000005F5" w:rsidRDefault="00B44300" w:rsidP="004A70F3">
      <w:pPr>
        <w:numPr>
          <w:ilvl w:val="0"/>
          <w:numId w:val="18"/>
        </w:numPr>
      </w:pPr>
      <w:r w:rsidRPr="000005F5">
        <w:t xml:space="preserve">za plnění uvedené v článku II, bodu 1) a) a b) této smlouvy je stanovena ve výši </w:t>
      </w:r>
      <w:r w:rsidR="00C07DD0">
        <w:t>xxx</w:t>
      </w:r>
      <w:r w:rsidRPr="000005F5">
        <w:t xml:space="preserve"> Kč (slovy </w:t>
      </w:r>
      <w:r w:rsidR="00C07DD0">
        <w:t>xxx</w:t>
      </w:r>
      <w:r w:rsidR="00FF69A1" w:rsidRPr="000005F5">
        <w:t xml:space="preserve"> </w:t>
      </w:r>
      <w:r w:rsidR="00517DAE" w:rsidRPr="000005F5">
        <w:t>korun</w:t>
      </w:r>
      <w:r w:rsidR="00FF69A1" w:rsidRPr="000005F5">
        <w:t xml:space="preserve"> </w:t>
      </w:r>
      <w:r w:rsidR="00517DAE" w:rsidRPr="000005F5">
        <w:t>českých</w:t>
      </w:r>
      <w:r w:rsidRPr="000005F5">
        <w:t>), osvobozeno od DPH</w:t>
      </w:r>
      <w:r w:rsidR="005A3A7F" w:rsidRPr="000005F5">
        <w:t>,</w:t>
      </w:r>
    </w:p>
    <w:p w14:paraId="6837CD4F" w14:textId="724311F8" w:rsidR="00B44300" w:rsidRPr="000005F5" w:rsidRDefault="361FC6A6" w:rsidP="004A70F3">
      <w:pPr>
        <w:numPr>
          <w:ilvl w:val="0"/>
          <w:numId w:val="18"/>
        </w:numPr>
      </w:pPr>
      <w:r w:rsidRPr="000005F5">
        <w:t xml:space="preserve">za plnění uvedené v článku II, bodu 2) a) a b) této smlouvy je stanovena ve výši </w:t>
      </w:r>
      <w:r w:rsidR="00C07DD0">
        <w:t>xxx</w:t>
      </w:r>
      <w:r w:rsidRPr="000005F5">
        <w:t xml:space="preserve"> Kč (slovy </w:t>
      </w:r>
      <w:r w:rsidR="00C07DD0">
        <w:t>xxx</w:t>
      </w:r>
      <w:r w:rsidRPr="000005F5">
        <w:t xml:space="preserve"> korun českých), osvobozeno od DPH, z toho bod 2 a) je oceněn ve výši </w:t>
      </w:r>
      <w:r w:rsidR="00FC24F0">
        <w:t>xxx</w:t>
      </w:r>
      <w:r w:rsidR="003F64A9">
        <w:t xml:space="preserve"> </w:t>
      </w:r>
      <w:r w:rsidRPr="000005F5">
        <w:t>Kč,</w:t>
      </w:r>
    </w:p>
    <w:p w14:paraId="3FCC4E7A" w14:textId="71948C3C" w:rsidR="00B44300" w:rsidRPr="000005F5" w:rsidRDefault="00B44300" w:rsidP="006858C8">
      <w:pPr>
        <w:numPr>
          <w:ilvl w:val="0"/>
          <w:numId w:val="18"/>
        </w:numPr>
      </w:pPr>
      <w:r w:rsidRPr="000005F5">
        <w:t xml:space="preserve">za plnění uvedené v článku II, bodu 3) této smlouvy je stanovena ve výši </w:t>
      </w:r>
      <w:r w:rsidR="00FC24F0">
        <w:t>xxx</w:t>
      </w:r>
      <w:r w:rsidR="00D16177" w:rsidRPr="000005F5">
        <w:t xml:space="preserve"> </w:t>
      </w:r>
      <w:r w:rsidRPr="000005F5">
        <w:t xml:space="preserve">Kč (slovy </w:t>
      </w:r>
      <w:r w:rsidR="00FC24F0">
        <w:t>xxx</w:t>
      </w:r>
      <w:r w:rsidR="00B13F51" w:rsidRPr="000005F5">
        <w:t xml:space="preserve"> </w:t>
      </w:r>
      <w:r w:rsidR="009A4E1D" w:rsidRPr="000005F5">
        <w:t>korun</w:t>
      </w:r>
      <w:r w:rsidR="00B13F51" w:rsidRPr="000005F5">
        <w:t xml:space="preserve"> </w:t>
      </w:r>
      <w:r w:rsidR="009A4E1D" w:rsidRPr="000005F5">
        <w:t>českých)</w:t>
      </w:r>
      <w:r w:rsidRPr="000005F5">
        <w:t xml:space="preserve"> bez DPH (21</w:t>
      </w:r>
      <w:r w:rsidR="001E7195" w:rsidRPr="000005F5">
        <w:t xml:space="preserve"> </w:t>
      </w:r>
      <w:r w:rsidRPr="000005F5">
        <w:t>%).</w:t>
      </w:r>
    </w:p>
    <w:p w14:paraId="1BEB850D" w14:textId="77777777" w:rsidR="00B44300" w:rsidRPr="000005F5" w:rsidRDefault="00B44300" w:rsidP="00523BC7"/>
    <w:p w14:paraId="355BF853" w14:textId="70C7D1E9" w:rsidR="00B44300" w:rsidRPr="000005F5" w:rsidRDefault="00B44300" w:rsidP="00523BC7">
      <w:r w:rsidRPr="000005F5">
        <w:t xml:space="preserve">Platba bude realizována ve dvou splátkách: </w:t>
      </w:r>
      <w:r w:rsidR="00F41245">
        <w:t>5</w:t>
      </w:r>
      <w:r w:rsidR="00880708">
        <w:t>0</w:t>
      </w:r>
      <w:r w:rsidR="006847A4" w:rsidRPr="000005F5">
        <w:t xml:space="preserve"> </w:t>
      </w:r>
      <w:r w:rsidRPr="000005F5">
        <w:t xml:space="preserve">% celkové částky po podpisu smlouvy </w:t>
      </w:r>
      <w:r w:rsidR="006847A4" w:rsidRPr="000005F5">
        <w:t xml:space="preserve">dle obchodních podmínek </w:t>
      </w:r>
      <w:r w:rsidRPr="000005F5">
        <w:t xml:space="preserve">a </w:t>
      </w:r>
      <w:r w:rsidR="007718A3">
        <w:t>5</w:t>
      </w:r>
      <w:r w:rsidR="00880708">
        <w:t>0</w:t>
      </w:r>
      <w:r w:rsidR="00880708" w:rsidRPr="000005F5">
        <w:t xml:space="preserve"> </w:t>
      </w:r>
      <w:r w:rsidRPr="000005F5">
        <w:t xml:space="preserve">% celkové částky po uskutečnění a zhodnocení </w:t>
      </w:r>
      <w:r w:rsidR="001930B7" w:rsidRPr="000005F5">
        <w:t>partnerské</w:t>
      </w:r>
      <w:r w:rsidRPr="000005F5">
        <w:t xml:space="preserve"> </w:t>
      </w:r>
      <w:r w:rsidR="001930B7" w:rsidRPr="000005F5">
        <w:t>akce</w:t>
      </w:r>
      <w:r w:rsidRPr="000005F5">
        <w:t>, na základě faktur vystavených</w:t>
      </w:r>
      <w:r w:rsidR="001930B7" w:rsidRPr="000005F5">
        <w:t xml:space="preserve"> ABB</w:t>
      </w:r>
      <w:r w:rsidR="00D16177" w:rsidRPr="000005F5">
        <w:t xml:space="preserve"> s.r.o.</w:t>
      </w:r>
    </w:p>
    <w:p w14:paraId="5F97995C" w14:textId="77777777" w:rsidR="0036133B" w:rsidRPr="000005F5" w:rsidRDefault="0036133B" w:rsidP="00523BC7"/>
    <w:p w14:paraId="24524F43" w14:textId="3D6E49AF" w:rsidR="00B44300" w:rsidRPr="000005F5" w:rsidRDefault="00B44300" w:rsidP="00523BC7">
      <w:r w:rsidRPr="000005F5">
        <w:t xml:space="preserve">Smluvní strany se zároveň dohodly, že pokud by </w:t>
      </w:r>
      <w:r w:rsidR="00B84E19" w:rsidRPr="000005F5">
        <w:t>partnerskou akci</w:t>
      </w:r>
      <w:r w:rsidRPr="000005F5">
        <w:t xml:space="preserve"> nebylo možné uskutečnit v plnohodnotném formátu, tzn. za přítomnosti posluchačů bez jakéhokoli omezení jejich počtu z jakýchkoli důvodů, povinnost plnění ze strany </w:t>
      </w:r>
      <w:r w:rsidR="00B84E19" w:rsidRPr="000005F5">
        <w:t>ABB</w:t>
      </w:r>
      <w:r w:rsidR="00C25D37" w:rsidRPr="000005F5">
        <w:t xml:space="preserve"> s.r.o.</w:t>
      </w:r>
      <w:r w:rsidRPr="000005F5">
        <w:t xml:space="preserve"> je vázána pouze na první splátku ve výši </w:t>
      </w:r>
      <w:r w:rsidR="007718A3">
        <w:t>5</w:t>
      </w:r>
      <w:r w:rsidR="008773A5">
        <w:t>0</w:t>
      </w:r>
      <w:r w:rsidR="00EF5B95">
        <w:t xml:space="preserve"> %</w:t>
      </w:r>
      <w:r w:rsidRPr="000005F5">
        <w:t xml:space="preserve"> sjednané celkové ceny.  </w:t>
      </w:r>
    </w:p>
    <w:p w14:paraId="374EA3DD" w14:textId="77777777" w:rsidR="00C6124C" w:rsidRPr="000005F5" w:rsidRDefault="00C6124C" w:rsidP="00523BC7"/>
    <w:p w14:paraId="52A85541" w14:textId="77777777" w:rsidR="001829BA" w:rsidRPr="000005F5" w:rsidRDefault="001829BA" w:rsidP="007B15CC">
      <w:pPr>
        <w:jc w:val="center"/>
        <w:rPr>
          <w:b/>
          <w:bCs/>
        </w:rPr>
      </w:pPr>
    </w:p>
    <w:p w14:paraId="124A8B64" w14:textId="77777777" w:rsidR="007B15CC" w:rsidRPr="000005F5" w:rsidRDefault="007B15CC" w:rsidP="007B15CC">
      <w:pPr>
        <w:numPr>
          <w:ilvl w:val="0"/>
          <w:numId w:val="12"/>
        </w:numPr>
        <w:jc w:val="center"/>
        <w:rPr>
          <w:b/>
          <w:bCs/>
        </w:rPr>
      </w:pPr>
    </w:p>
    <w:p w14:paraId="37A6D174" w14:textId="77777777" w:rsidR="00C6124C" w:rsidRPr="000005F5" w:rsidRDefault="00C6124C" w:rsidP="00523BC7"/>
    <w:p w14:paraId="462F5370" w14:textId="547644AD" w:rsidR="00B44300" w:rsidRPr="000005F5" w:rsidRDefault="00B44300" w:rsidP="00523BC7">
      <w:r w:rsidRPr="000005F5">
        <w:t xml:space="preserve">K dalším jednáním je ze strany společnosti </w:t>
      </w:r>
      <w:r w:rsidR="00C6124C" w:rsidRPr="000005F5">
        <w:t>ABB</w:t>
      </w:r>
      <w:r w:rsidR="00A81644" w:rsidRPr="000005F5">
        <w:t xml:space="preserve"> s.r.o. zmocněna </w:t>
      </w:r>
      <w:r w:rsidR="003F64A9">
        <w:t>xxx</w:t>
      </w:r>
      <w:r w:rsidR="006847A4" w:rsidRPr="000005F5">
        <w:t xml:space="preserve"> </w:t>
      </w:r>
      <w:r w:rsidRPr="000005F5">
        <w:t xml:space="preserve">a ze strany Pražského </w:t>
      </w:r>
      <w:r w:rsidR="003F64A9">
        <w:t>xxx</w:t>
      </w:r>
      <w:r w:rsidR="00A81644" w:rsidRPr="000005F5">
        <w:t>.</w:t>
      </w:r>
    </w:p>
    <w:p w14:paraId="14650E45" w14:textId="77777777" w:rsidR="00C80ECA" w:rsidRPr="000005F5" w:rsidRDefault="00C80ECA" w:rsidP="00523BC7"/>
    <w:p w14:paraId="785FEDC1" w14:textId="256C8ED1" w:rsidR="00C6124C" w:rsidRPr="000005F5" w:rsidRDefault="00B44300" w:rsidP="00523BC7">
      <w:r w:rsidRPr="000005F5">
        <w:t xml:space="preserve">Doručovací údaje pro daňový doklad (fakturu): </w:t>
      </w:r>
      <w:r w:rsidR="00B84E19" w:rsidRPr="000005F5">
        <w:t>ABB</w:t>
      </w:r>
      <w:r w:rsidR="00BF5253" w:rsidRPr="000005F5">
        <w:t xml:space="preserve"> s.r.o., </w:t>
      </w:r>
      <w:r w:rsidR="006847A4" w:rsidRPr="000005F5">
        <w:t>ref. ABB s.r.o.</w:t>
      </w:r>
      <w:r w:rsidR="006847A4" w:rsidRPr="000005F5">
        <w:br/>
        <w:t>c/o ABB Business Services GmbH, 68129 Mannheim, Germany; email: invoice@cz.abb.com</w:t>
      </w:r>
    </w:p>
    <w:p w14:paraId="50BC4B48" w14:textId="77777777" w:rsidR="00B44300" w:rsidRPr="000005F5" w:rsidRDefault="00B44300" w:rsidP="00523BC7"/>
    <w:p w14:paraId="05A118C7" w14:textId="77777777" w:rsidR="007B15CC" w:rsidRPr="000005F5" w:rsidRDefault="007B15CC" w:rsidP="007B15CC">
      <w:pPr>
        <w:numPr>
          <w:ilvl w:val="0"/>
          <w:numId w:val="12"/>
        </w:numPr>
        <w:jc w:val="center"/>
        <w:rPr>
          <w:b/>
          <w:bCs/>
        </w:rPr>
      </w:pPr>
    </w:p>
    <w:p w14:paraId="44E87377" w14:textId="77777777" w:rsidR="00732B09" w:rsidRPr="000005F5" w:rsidRDefault="00732B09" w:rsidP="00523BC7"/>
    <w:p w14:paraId="3CFEF6CD" w14:textId="422C9F4F" w:rsidR="00B44300" w:rsidRPr="000005F5" w:rsidRDefault="00B44300" w:rsidP="00523BC7">
      <w:r w:rsidRPr="000005F5">
        <w:t>Strany se dohodly, že závazkové vztahy z této smlouvy se budou řídit Občanským zákoníkem. Tato smlouva vstupuje v platnost dnem podpisu obou smluvních stran. Je vyhotovena ve čtyřech stejnopisech, z nichž po dvou obdrží každá ze smluvních stran. Všechny změny a dodatky k této smlouvě musí být provedeny písemně se souhlasem obou smluvních stran.</w:t>
      </w:r>
    </w:p>
    <w:p w14:paraId="64C1120A" w14:textId="77777777" w:rsidR="00F812CF" w:rsidRPr="000005F5" w:rsidRDefault="00F812CF" w:rsidP="00523BC7"/>
    <w:p w14:paraId="1C4EF855" w14:textId="77777777" w:rsidR="00B44300" w:rsidRPr="000005F5" w:rsidRDefault="00B44300" w:rsidP="00523BC7"/>
    <w:p w14:paraId="1C9990E6" w14:textId="77777777" w:rsidR="00B44300" w:rsidRPr="000005F5" w:rsidRDefault="00B44300" w:rsidP="00523BC7"/>
    <w:p w14:paraId="56C7DA3B" w14:textId="404FFD49" w:rsidR="00C456CA" w:rsidRPr="000005F5" w:rsidRDefault="00C456CA" w:rsidP="00523BC7">
      <w:r w:rsidRPr="000005F5">
        <w:t>V Praze dne:</w:t>
      </w:r>
      <w:r w:rsidRPr="000005F5">
        <w:tab/>
      </w:r>
      <w:r w:rsidR="003F64A9">
        <w:t>23. 10. 2024</w:t>
      </w:r>
      <w:r w:rsidRPr="000005F5">
        <w:tab/>
      </w:r>
      <w:r w:rsidRPr="000005F5">
        <w:tab/>
      </w:r>
      <w:r w:rsidR="00732B09" w:rsidRPr="000005F5">
        <w:tab/>
      </w:r>
      <w:r w:rsidR="00732B09" w:rsidRPr="000005F5">
        <w:tab/>
      </w:r>
      <w:r w:rsidR="00732B09" w:rsidRPr="000005F5">
        <w:tab/>
      </w:r>
      <w:r w:rsidRPr="000005F5">
        <w:t>V Praze dne:</w:t>
      </w:r>
      <w:r w:rsidR="003F64A9" w:rsidRPr="003F64A9">
        <w:t xml:space="preserve"> </w:t>
      </w:r>
      <w:r w:rsidR="003F64A9">
        <w:t>23. 10. 2024</w:t>
      </w:r>
    </w:p>
    <w:p w14:paraId="089D3738" w14:textId="77777777" w:rsidR="00732B09" w:rsidRPr="000005F5" w:rsidRDefault="00732B09" w:rsidP="00523BC7"/>
    <w:p w14:paraId="4C0BEF09" w14:textId="57B4C27E" w:rsidR="00C456CA" w:rsidRPr="000005F5" w:rsidRDefault="00C456CA" w:rsidP="00523BC7">
      <w:r w:rsidRPr="000005F5">
        <w:t xml:space="preserve">za </w:t>
      </w:r>
      <w:r w:rsidR="00732B09" w:rsidRPr="000005F5">
        <w:t>ABB</w:t>
      </w:r>
      <w:r w:rsidRPr="000005F5">
        <w:t xml:space="preserve"> s.r.o.</w:t>
      </w:r>
      <w:r w:rsidRPr="000005F5">
        <w:tab/>
      </w:r>
      <w:r w:rsidRPr="000005F5">
        <w:tab/>
      </w:r>
      <w:r w:rsidR="00732B09" w:rsidRPr="000005F5">
        <w:tab/>
      </w:r>
      <w:r w:rsidR="00732B09" w:rsidRPr="000005F5">
        <w:tab/>
      </w:r>
      <w:r w:rsidR="00732B09" w:rsidRPr="000005F5">
        <w:tab/>
      </w:r>
      <w:r w:rsidR="00732B09" w:rsidRPr="000005F5">
        <w:tab/>
      </w:r>
      <w:r w:rsidR="003F64A9">
        <w:tab/>
      </w:r>
      <w:r w:rsidRPr="000005F5">
        <w:t>za Pražské jaro, o.p.s.</w:t>
      </w:r>
    </w:p>
    <w:p w14:paraId="3ABEA810" w14:textId="77777777" w:rsidR="00732B09" w:rsidRPr="000005F5" w:rsidRDefault="00732B09" w:rsidP="00523BC7"/>
    <w:p w14:paraId="6A23019A" w14:textId="77777777" w:rsidR="00732B09" w:rsidRPr="000005F5" w:rsidRDefault="00732B09" w:rsidP="00523BC7"/>
    <w:p w14:paraId="3956CA6A" w14:textId="77777777" w:rsidR="00732B09" w:rsidRPr="000005F5" w:rsidRDefault="00732B09" w:rsidP="00523BC7"/>
    <w:p w14:paraId="075FC682" w14:textId="77777777" w:rsidR="00732B09" w:rsidRPr="000005F5" w:rsidRDefault="00732B09" w:rsidP="00523BC7"/>
    <w:p w14:paraId="74A88719" w14:textId="77777777" w:rsidR="00732B09" w:rsidRPr="000005F5" w:rsidRDefault="00732B09" w:rsidP="00523BC7"/>
    <w:p w14:paraId="09B5B420" w14:textId="77777777" w:rsidR="00306BBB" w:rsidRPr="000005F5" w:rsidRDefault="00306BBB" w:rsidP="00306BBB"/>
    <w:p w14:paraId="1ACBEF51" w14:textId="77777777" w:rsidR="00306BBB" w:rsidRPr="000005F5" w:rsidRDefault="00306BBB" w:rsidP="00306BBB">
      <w:r w:rsidRPr="000005F5">
        <w:t>...........................................................</w:t>
      </w:r>
      <w:r w:rsidRPr="000005F5">
        <w:tab/>
      </w:r>
      <w:r w:rsidRPr="000005F5">
        <w:tab/>
        <w:t>..........................................................</w:t>
      </w:r>
    </w:p>
    <w:p w14:paraId="1CA8B90A" w14:textId="5A83ACA2" w:rsidR="00306BBB" w:rsidRPr="000005F5" w:rsidRDefault="009B28C0" w:rsidP="00306BBB">
      <w:r>
        <w:t>Xxx</w:t>
      </w:r>
      <w:r>
        <w:tab/>
      </w:r>
      <w:r>
        <w:tab/>
      </w:r>
      <w:r w:rsidR="00306BBB" w:rsidRPr="000005F5">
        <w:tab/>
      </w:r>
      <w:r w:rsidR="00306BBB" w:rsidRPr="000005F5">
        <w:tab/>
      </w:r>
      <w:r w:rsidR="00306BBB" w:rsidRPr="000005F5">
        <w:tab/>
      </w:r>
      <w:r w:rsidR="00306BBB" w:rsidRPr="000005F5">
        <w:tab/>
      </w:r>
      <w:r w:rsidR="00306BBB" w:rsidRPr="000005F5">
        <w:tab/>
      </w:r>
      <w:r>
        <w:t>xxx</w:t>
      </w:r>
    </w:p>
    <w:p w14:paraId="0FCF7A78" w14:textId="3B925352" w:rsidR="00306BBB" w:rsidRPr="000005F5" w:rsidRDefault="009B28C0" w:rsidP="00306BBB">
      <w:r>
        <w:t>Xxx</w:t>
      </w:r>
      <w:r>
        <w:tab/>
      </w:r>
      <w:r w:rsidR="00306BBB" w:rsidRPr="000005F5">
        <w:tab/>
      </w:r>
      <w:r w:rsidR="00306BBB" w:rsidRPr="000005F5">
        <w:tab/>
      </w:r>
      <w:r w:rsidR="00306BBB" w:rsidRPr="000005F5">
        <w:tab/>
      </w:r>
      <w:r w:rsidR="00306BBB" w:rsidRPr="000005F5">
        <w:tab/>
      </w:r>
      <w:r w:rsidR="00306BBB" w:rsidRPr="000005F5">
        <w:tab/>
      </w:r>
      <w:r w:rsidR="00306BBB" w:rsidRPr="000005F5">
        <w:tab/>
      </w:r>
      <w:r>
        <w:t>xxx</w:t>
      </w:r>
    </w:p>
    <w:p w14:paraId="69637DE1" w14:textId="77777777" w:rsidR="000843BB" w:rsidRPr="000005F5" w:rsidRDefault="000843BB" w:rsidP="00306BBB"/>
    <w:p w14:paraId="5F2F956E" w14:textId="77777777" w:rsidR="000843BB" w:rsidRPr="000005F5" w:rsidRDefault="000843BB" w:rsidP="00306BBB"/>
    <w:p w14:paraId="58A31E93" w14:textId="77777777" w:rsidR="000843BB" w:rsidRPr="000005F5" w:rsidRDefault="000843BB" w:rsidP="00306BBB"/>
    <w:p w14:paraId="0B99E49D" w14:textId="77777777" w:rsidR="000843BB" w:rsidRPr="000005F5" w:rsidRDefault="000843BB" w:rsidP="00306BBB"/>
    <w:p w14:paraId="2C21D3DE" w14:textId="77777777" w:rsidR="000843BB" w:rsidRPr="000005F5" w:rsidRDefault="000843BB" w:rsidP="00306BBB"/>
    <w:p w14:paraId="5E7F2B88" w14:textId="77777777" w:rsidR="000843BB" w:rsidRPr="000005F5" w:rsidRDefault="000843BB" w:rsidP="00306BBB"/>
    <w:p w14:paraId="0F6E29F5" w14:textId="77777777" w:rsidR="000843BB" w:rsidRPr="000005F5" w:rsidRDefault="000843BB" w:rsidP="00306BBB"/>
    <w:p w14:paraId="7F922AB6" w14:textId="4FB5E064" w:rsidR="00306BBB" w:rsidRPr="000005F5" w:rsidRDefault="00306BBB" w:rsidP="00306BBB">
      <w:r w:rsidRPr="000005F5">
        <w:t>...........................................................</w:t>
      </w:r>
      <w:r w:rsidRPr="000005F5">
        <w:tab/>
      </w:r>
      <w:r w:rsidRPr="000005F5">
        <w:tab/>
        <w:t>..........................................................</w:t>
      </w:r>
    </w:p>
    <w:p w14:paraId="257D9655" w14:textId="20114CC1" w:rsidR="00306BBB" w:rsidRPr="000005F5" w:rsidRDefault="009B28C0" w:rsidP="00306BBB">
      <w:r>
        <w:t>xxx</w:t>
      </w:r>
      <w:r w:rsidR="00306BBB" w:rsidRPr="000005F5">
        <w:tab/>
      </w:r>
      <w:r w:rsidR="00306BBB" w:rsidRPr="000005F5">
        <w:tab/>
      </w:r>
      <w:r w:rsidR="00306BBB" w:rsidRPr="000005F5">
        <w:tab/>
      </w:r>
      <w:r w:rsidR="00306BBB" w:rsidRPr="000005F5">
        <w:tab/>
      </w:r>
      <w:r w:rsidR="00306BBB" w:rsidRPr="000005F5">
        <w:tab/>
      </w:r>
      <w:r>
        <w:tab/>
      </w:r>
      <w:r>
        <w:tab/>
        <w:t>xxx</w:t>
      </w:r>
    </w:p>
    <w:p w14:paraId="5DFD0B47" w14:textId="4CC78AD6" w:rsidR="00306BBB" w:rsidRPr="000005F5" w:rsidRDefault="009B28C0" w:rsidP="00306BBB">
      <w:r>
        <w:t>xxx</w:t>
      </w:r>
      <w:r w:rsidR="00306BBB" w:rsidRPr="000005F5">
        <w:tab/>
      </w:r>
      <w:r w:rsidR="00306BBB" w:rsidRPr="000005F5">
        <w:tab/>
      </w:r>
      <w:r w:rsidR="00306BBB" w:rsidRPr="000005F5">
        <w:tab/>
      </w:r>
      <w:r w:rsidR="00306BBB" w:rsidRPr="000005F5">
        <w:tab/>
      </w:r>
      <w:r w:rsidR="00306BBB" w:rsidRPr="000005F5">
        <w:tab/>
      </w:r>
      <w:r w:rsidR="00306BBB" w:rsidRPr="000005F5">
        <w:tab/>
      </w:r>
      <w:r>
        <w:tab/>
        <w:t>xxx</w:t>
      </w:r>
    </w:p>
    <w:p w14:paraId="2ADE253F" w14:textId="77777777" w:rsidR="00C456CA" w:rsidRPr="00523BC7" w:rsidRDefault="00C456CA" w:rsidP="00523BC7"/>
    <w:p w14:paraId="6B637D50" w14:textId="77777777" w:rsidR="00B44300" w:rsidRDefault="00B44300" w:rsidP="00523BC7"/>
    <w:p w14:paraId="5876F207" w14:textId="77777777" w:rsidR="005B7965" w:rsidRDefault="005B7965" w:rsidP="00523BC7"/>
    <w:sectPr w:rsidR="005B7965" w:rsidSect="00D16177">
      <w:footerReference w:type="even" r:id="rId11"/>
      <w:footerReference w:type="default" r:id="rId12"/>
      <w:pgSz w:w="11907" w:h="16840" w:code="9"/>
      <w:pgMar w:top="1418" w:right="1418" w:bottom="170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8CCF" w14:textId="77777777" w:rsidR="00941526" w:rsidRDefault="00941526">
      <w:r>
        <w:separator/>
      </w:r>
    </w:p>
  </w:endnote>
  <w:endnote w:type="continuationSeparator" w:id="0">
    <w:p w14:paraId="6A637C6C" w14:textId="77777777" w:rsidR="00941526" w:rsidRDefault="00941526">
      <w:r>
        <w:continuationSeparator/>
      </w:r>
    </w:p>
  </w:endnote>
  <w:endnote w:type="continuationNotice" w:id="1">
    <w:p w14:paraId="470118E1" w14:textId="77777777" w:rsidR="00941526" w:rsidRDefault="0094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BBVoiceWK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7B9E" w14:textId="7C172842" w:rsidR="00AA158B" w:rsidRDefault="00AA15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6177">
      <w:rPr>
        <w:rStyle w:val="slostrnky"/>
        <w:noProof/>
      </w:rPr>
      <w:t>1</w:t>
    </w:r>
    <w:r>
      <w:rPr>
        <w:rStyle w:val="slostrnky"/>
      </w:rPr>
      <w:fldChar w:fldCharType="end"/>
    </w:r>
  </w:p>
  <w:p w14:paraId="040346BA" w14:textId="77777777" w:rsidR="00AA158B" w:rsidRDefault="00AA15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2BB7" w14:textId="77777777" w:rsidR="00AA158B" w:rsidRDefault="00AA15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4F7E">
      <w:rPr>
        <w:rStyle w:val="slostrnky"/>
        <w:noProof/>
      </w:rPr>
      <w:t>7</w:t>
    </w:r>
    <w:r>
      <w:rPr>
        <w:rStyle w:val="slostrnky"/>
      </w:rPr>
      <w:fldChar w:fldCharType="end"/>
    </w:r>
  </w:p>
  <w:p w14:paraId="5278DF66" w14:textId="77777777" w:rsidR="00AA158B" w:rsidRDefault="00AA15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550B7" w14:textId="77777777" w:rsidR="00941526" w:rsidRDefault="00941526">
      <w:r>
        <w:separator/>
      </w:r>
    </w:p>
  </w:footnote>
  <w:footnote w:type="continuationSeparator" w:id="0">
    <w:p w14:paraId="09C2A3F5" w14:textId="77777777" w:rsidR="00941526" w:rsidRDefault="00941526">
      <w:r>
        <w:continuationSeparator/>
      </w:r>
    </w:p>
  </w:footnote>
  <w:footnote w:type="continuationNotice" w:id="1">
    <w:p w14:paraId="4A2E8668" w14:textId="77777777" w:rsidR="00941526" w:rsidRDefault="00941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B3F"/>
    <w:multiLevelType w:val="hybridMultilevel"/>
    <w:tmpl w:val="6CF8F8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74C52"/>
    <w:multiLevelType w:val="hybridMultilevel"/>
    <w:tmpl w:val="56A2F40E"/>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A3C61"/>
    <w:multiLevelType w:val="hybridMultilevel"/>
    <w:tmpl w:val="F5A69F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A91814"/>
    <w:multiLevelType w:val="hybridMultilevel"/>
    <w:tmpl w:val="BFE0A3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C41B4"/>
    <w:multiLevelType w:val="hybridMultilevel"/>
    <w:tmpl w:val="C9CAF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5271"/>
    <w:multiLevelType w:val="hybridMultilevel"/>
    <w:tmpl w:val="F5A69F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E43C2"/>
    <w:multiLevelType w:val="hybridMultilevel"/>
    <w:tmpl w:val="4E8268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351920"/>
    <w:multiLevelType w:val="hybridMultilevel"/>
    <w:tmpl w:val="664A9596"/>
    <w:lvl w:ilvl="0" w:tplc="0405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3B1F18"/>
    <w:multiLevelType w:val="hybridMultilevel"/>
    <w:tmpl w:val="0ED2CDB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447DD5"/>
    <w:multiLevelType w:val="hybridMultilevel"/>
    <w:tmpl w:val="69B23FA8"/>
    <w:lvl w:ilvl="0" w:tplc="D1FAFEF6">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03203E"/>
    <w:multiLevelType w:val="hybridMultilevel"/>
    <w:tmpl w:val="5ECAC1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85492F"/>
    <w:multiLevelType w:val="hybridMultilevel"/>
    <w:tmpl w:val="35C06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A90C57"/>
    <w:multiLevelType w:val="hybridMultilevel"/>
    <w:tmpl w:val="2ADE13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AC46F2"/>
    <w:multiLevelType w:val="hybridMultilevel"/>
    <w:tmpl w:val="9984C232"/>
    <w:lvl w:ilvl="0" w:tplc="04050019">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5BDC4781"/>
    <w:multiLevelType w:val="hybridMultilevel"/>
    <w:tmpl w:val="CD8C0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EC0096"/>
    <w:multiLevelType w:val="hybridMultilevel"/>
    <w:tmpl w:val="4C2CC6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E33F22"/>
    <w:multiLevelType w:val="hybridMultilevel"/>
    <w:tmpl w:val="9C1EDA8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6CD44609"/>
    <w:multiLevelType w:val="hybridMultilevel"/>
    <w:tmpl w:val="425895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8B7D4C"/>
    <w:multiLevelType w:val="hybridMultilevel"/>
    <w:tmpl w:val="E618A5E2"/>
    <w:lvl w:ilvl="0" w:tplc="D1FAFEF6">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633995">
    <w:abstractNumId w:val="1"/>
  </w:num>
  <w:num w:numId="2" w16cid:durableId="397023834">
    <w:abstractNumId w:val="5"/>
  </w:num>
  <w:num w:numId="3" w16cid:durableId="326400232">
    <w:abstractNumId w:val="2"/>
  </w:num>
  <w:num w:numId="4" w16cid:durableId="742681455">
    <w:abstractNumId w:val="15"/>
  </w:num>
  <w:num w:numId="5" w16cid:durableId="204603702">
    <w:abstractNumId w:val="6"/>
  </w:num>
  <w:num w:numId="6" w16cid:durableId="620183709">
    <w:abstractNumId w:val="4"/>
  </w:num>
  <w:num w:numId="7" w16cid:durableId="89208214">
    <w:abstractNumId w:val="18"/>
  </w:num>
  <w:num w:numId="8" w16cid:durableId="882407779">
    <w:abstractNumId w:val="9"/>
  </w:num>
  <w:num w:numId="9" w16cid:durableId="620116833">
    <w:abstractNumId w:val="7"/>
  </w:num>
  <w:num w:numId="10" w16cid:durableId="1664703258">
    <w:abstractNumId w:val="8"/>
  </w:num>
  <w:num w:numId="11" w16cid:durableId="2131700018">
    <w:abstractNumId w:val="10"/>
  </w:num>
  <w:num w:numId="12" w16cid:durableId="1071006867">
    <w:abstractNumId w:val="0"/>
  </w:num>
  <w:num w:numId="13" w16cid:durableId="868026930">
    <w:abstractNumId w:val="12"/>
  </w:num>
  <w:num w:numId="14" w16cid:durableId="1595090534">
    <w:abstractNumId w:val="16"/>
  </w:num>
  <w:num w:numId="15" w16cid:durableId="1528522260">
    <w:abstractNumId w:val="17"/>
  </w:num>
  <w:num w:numId="16" w16cid:durableId="1176924239">
    <w:abstractNumId w:val="14"/>
  </w:num>
  <w:num w:numId="17" w16cid:durableId="1794516901">
    <w:abstractNumId w:val="3"/>
  </w:num>
  <w:num w:numId="18" w16cid:durableId="1678851720">
    <w:abstractNumId w:val="11"/>
  </w:num>
  <w:num w:numId="19" w16cid:durableId="4387237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3A"/>
    <w:rsid w:val="000005F5"/>
    <w:rsid w:val="000033D8"/>
    <w:rsid w:val="0000445F"/>
    <w:rsid w:val="00006D22"/>
    <w:rsid w:val="00011852"/>
    <w:rsid w:val="00012CF1"/>
    <w:rsid w:val="000131BC"/>
    <w:rsid w:val="0001785A"/>
    <w:rsid w:val="0002055C"/>
    <w:rsid w:val="0003481A"/>
    <w:rsid w:val="00041BD5"/>
    <w:rsid w:val="00056863"/>
    <w:rsid w:val="000615AB"/>
    <w:rsid w:val="00063E02"/>
    <w:rsid w:val="00064951"/>
    <w:rsid w:val="000651EC"/>
    <w:rsid w:val="0006621D"/>
    <w:rsid w:val="00075A91"/>
    <w:rsid w:val="00076899"/>
    <w:rsid w:val="000843BB"/>
    <w:rsid w:val="00092B8B"/>
    <w:rsid w:val="00093EE6"/>
    <w:rsid w:val="000A087D"/>
    <w:rsid w:val="000A2A0A"/>
    <w:rsid w:val="000A69A8"/>
    <w:rsid w:val="000B04A7"/>
    <w:rsid w:val="000B1232"/>
    <w:rsid w:val="000B1A42"/>
    <w:rsid w:val="000B2025"/>
    <w:rsid w:val="000B25E2"/>
    <w:rsid w:val="000B3198"/>
    <w:rsid w:val="000B4AD5"/>
    <w:rsid w:val="000C7B86"/>
    <w:rsid w:val="000D0C20"/>
    <w:rsid w:val="000D404B"/>
    <w:rsid w:val="000D5195"/>
    <w:rsid w:val="000E070D"/>
    <w:rsid w:val="000E09AA"/>
    <w:rsid w:val="000E135D"/>
    <w:rsid w:val="000E13A1"/>
    <w:rsid w:val="000E3F8B"/>
    <w:rsid w:val="000E590F"/>
    <w:rsid w:val="000E5C56"/>
    <w:rsid w:val="000E654F"/>
    <w:rsid w:val="000E76DA"/>
    <w:rsid w:val="000F2613"/>
    <w:rsid w:val="000F2DDE"/>
    <w:rsid w:val="00100E3C"/>
    <w:rsid w:val="001024AF"/>
    <w:rsid w:val="00123CA4"/>
    <w:rsid w:val="0012404E"/>
    <w:rsid w:val="0014034D"/>
    <w:rsid w:val="0014174C"/>
    <w:rsid w:val="00143C1D"/>
    <w:rsid w:val="00146E23"/>
    <w:rsid w:val="00151586"/>
    <w:rsid w:val="001626C5"/>
    <w:rsid w:val="00171338"/>
    <w:rsid w:val="00175F10"/>
    <w:rsid w:val="00180FCA"/>
    <w:rsid w:val="001829BA"/>
    <w:rsid w:val="001930B7"/>
    <w:rsid w:val="001A29FC"/>
    <w:rsid w:val="001A6131"/>
    <w:rsid w:val="001B0321"/>
    <w:rsid w:val="001B5859"/>
    <w:rsid w:val="001C45D4"/>
    <w:rsid w:val="001D3906"/>
    <w:rsid w:val="001E04F6"/>
    <w:rsid w:val="001E6AA2"/>
    <w:rsid w:val="001E7195"/>
    <w:rsid w:val="001E7C3F"/>
    <w:rsid w:val="001F5200"/>
    <w:rsid w:val="00201CDA"/>
    <w:rsid w:val="002077D0"/>
    <w:rsid w:val="0021521E"/>
    <w:rsid w:val="00217E82"/>
    <w:rsid w:val="00225A99"/>
    <w:rsid w:val="00225F2E"/>
    <w:rsid w:val="002315BA"/>
    <w:rsid w:val="002349B6"/>
    <w:rsid w:val="002452D6"/>
    <w:rsid w:val="00250285"/>
    <w:rsid w:val="00250F05"/>
    <w:rsid w:val="0026675E"/>
    <w:rsid w:val="00283112"/>
    <w:rsid w:val="00284A85"/>
    <w:rsid w:val="00284D5A"/>
    <w:rsid w:val="00285A88"/>
    <w:rsid w:val="002918E6"/>
    <w:rsid w:val="00295023"/>
    <w:rsid w:val="002A1342"/>
    <w:rsid w:val="002A221A"/>
    <w:rsid w:val="002A510E"/>
    <w:rsid w:val="002C2FC9"/>
    <w:rsid w:val="002C629A"/>
    <w:rsid w:val="002D135A"/>
    <w:rsid w:val="002E0B28"/>
    <w:rsid w:val="002E0BAD"/>
    <w:rsid w:val="002E203F"/>
    <w:rsid w:val="002E24BE"/>
    <w:rsid w:val="002F6A16"/>
    <w:rsid w:val="00303566"/>
    <w:rsid w:val="0030486B"/>
    <w:rsid w:val="003062DF"/>
    <w:rsid w:val="00306BBB"/>
    <w:rsid w:val="00306D11"/>
    <w:rsid w:val="003125D8"/>
    <w:rsid w:val="00321BCE"/>
    <w:rsid w:val="003228F1"/>
    <w:rsid w:val="00334A10"/>
    <w:rsid w:val="00341B5C"/>
    <w:rsid w:val="0034298F"/>
    <w:rsid w:val="00346713"/>
    <w:rsid w:val="003507EF"/>
    <w:rsid w:val="00352FED"/>
    <w:rsid w:val="0036133B"/>
    <w:rsid w:val="00372AA3"/>
    <w:rsid w:val="00376983"/>
    <w:rsid w:val="003834F0"/>
    <w:rsid w:val="00392B38"/>
    <w:rsid w:val="003A66BD"/>
    <w:rsid w:val="003B350D"/>
    <w:rsid w:val="003B3A68"/>
    <w:rsid w:val="003C5374"/>
    <w:rsid w:val="003D275F"/>
    <w:rsid w:val="003D307D"/>
    <w:rsid w:val="003D44B7"/>
    <w:rsid w:val="003D50FA"/>
    <w:rsid w:val="003F6373"/>
    <w:rsid w:val="003F64A9"/>
    <w:rsid w:val="00404712"/>
    <w:rsid w:val="00405B79"/>
    <w:rsid w:val="00413924"/>
    <w:rsid w:val="004221B7"/>
    <w:rsid w:val="00422556"/>
    <w:rsid w:val="0042749A"/>
    <w:rsid w:val="00431BAE"/>
    <w:rsid w:val="00432483"/>
    <w:rsid w:val="0043262F"/>
    <w:rsid w:val="00437479"/>
    <w:rsid w:val="004508D0"/>
    <w:rsid w:val="00465EDD"/>
    <w:rsid w:val="00472E1F"/>
    <w:rsid w:val="00484A91"/>
    <w:rsid w:val="004904FC"/>
    <w:rsid w:val="0049133C"/>
    <w:rsid w:val="0049285B"/>
    <w:rsid w:val="00493357"/>
    <w:rsid w:val="00497C6D"/>
    <w:rsid w:val="004A239B"/>
    <w:rsid w:val="004A660E"/>
    <w:rsid w:val="004A6C21"/>
    <w:rsid w:val="004A70F3"/>
    <w:rsid w:val="004B4C01"/>
    <w:rsid w:val="004C06A5"/>
    <w:rsid w:val="004C3333"/>
    <w:rsid w:val="004C5375"/>
    <w:rsid w:val="004D78B0"/>
    <w:rsid w:val="004E0EE6"/>
    <w:rsid w:val="004E43C1"/>
    <w:rsid w:val="004E735D"/>
    <w:rsid w:val="004F1F4A"/>
    <w:rsid w:val="00513975"/>
    <w:rsid w:val="00514AF6"/>
    <w:rsid w:val="00516C4A"/>
    <w:rsid w:val="00517DAE"/>
    <w:rsid w:val="00523BC7"/>
    <w:rsid w:val="0052441C"/>
    <w:rsid w:val="0052495F"/>
    <w:rsid w:val="005320A9"/>
    <w:rsid w:val="0053472B"/>
    <w:rsid w:val="005621F2"/>
    <w:rsid w:val="00570E6D"/>
    <w:rsid w:val="00574868"/>
    <w:rsid w:val="00591996"/>
    <w:rsid w:val="00596DFA"/>
    <w:rsid w:val="005A0615"/>
    <w:rsid w:val="005A0784"/>
    <w:rsid w:val="005A17E1"/>
    <w:rsid w:val="005A21D9"/>
    <w:rsid w:val="005A3A7F"/>
    <w:rsid w:val="005A41D3"/>
    <w:rsid w:val="005A467A"/>
    <w:rsid w:val="005B27C6"/>
    <w:rsid w:val="005B50D5"/>
    <w:rsid w:val="005B57EC"/>
    <w:rsid w:val="005B6A33"/>
    <w:rsid w:val="005B7093"/>
    <w:rsid w:val="005B77C0"/>
    <w:rsid w:val="005B7965"/>
    <w:rsid w:val="005E3638"/>
    <w:rsid w:val="00600687"/>
    <w:rsid w:val="0060297A"/>
    <w:rsid w:val="0060578A"/>
    <w:rsid w:val="00606E27"/>
    <w:rsid w:val="00617EC8"/>
    <w:rsid w:val="00621C61"/>
    <w:rsid w:val="006278AA"/>
    <w:rsid w:val="0063721C"/>
    <w:rsid w:val="00640BF3"/>
    <w:rsid w:val="0064741B"/>
    <w:rsid w:val="00650C63"/>
    <w:rsid w:val="00651043"/>
    <w:rsid w:val="006525CB"/>
    <w:rsid w:val="0065397F"/>
    <w:rsid w:val="0065575B"/>
    <w:rsid w:val="00656383"/>
    <w:rsid w:val="00664BD9"/>
    <w:rsid w:val="006750AF"/>
    <w:rsid w:val="00676522"/>
    <w:rsid w:val="0067682A"/>
    <w:rsid w:val="006769C3"/>
    <w:rsid w:val="00676A90"/>
    <w:rsid w:val="006847A4"/>
    <w:rsid w:val="006858C8"/>
    <w:rsid w:val="006928A4"/>
    <w:rsid w:val="006937DC"/>
    <w:rsid w:val="00696609"/>
    <w:rsid w:val="006A5DE5"/>
    <w:rsid w:val="006B0139"/>
    <w:rsid w:val="006B3485"/>
    <w:rsid w:val="006C07B2"/>
    <w:rsid w:val="006C1CE5"/>
    <w:rsid w:val="006D0561"/>
    <w:rsid w:val="006D3AD0"/>
    <w:rsid w:val="006E7EE4"/>
    <w:rsid w:val="006F014E"/>
    <w:rsid w:val="006F2E31"/>
    <w:rsid w:val="006F4C89"/>
    <w:rsid w:val="006F514A"/>
    <w:rsid w:val="00701B12"/>
    <w:rsid w:val="0070213B"/>
    <w:rsid w:val="0070437E"/>
    <w:rsid w:val="0070481A"/>
    <w:rsid w:val="007064C1"/>
    <w:rsid w:val="00707233"/>
    <w:rsid w:val="00707384"/>
    <w:rsid w:val="007105E9"/>
    <w:rsid w:val="00710CDB"/>
    <w:rsid w:val="00713E6E"/>
    <w:rsid w:val="00714864"/>
    <w:rsid w:val="00715456"/>
    <w:rsid w:val="00717395"/>
    <w:rsid w:val="00720F16"/>
    <w:rsid w:val="00722822"/>
    <w:rsid w:val="00726C08"/>
    <w:rsid w:val="007310A6"/>
    <w:rsid w:val="00732B09"/>
    <w:rsid w:val="0074301E"/>
    <w:rsid w:val="00754F4B"/>
    <w:rsid w:val="00755D8A"/>
    <w:rsid w:val="00762A9A"/>
    <w:rsid w:val="007718A3"/>
    <w:rsid w:val="0079468B"/>
    <w:rsid w:val="007947BB"/>
    <w:rsid w:val="007A2EA7"/>
    <w:rsid w:val="007A3698"/>
    <w:rsid w:val="007B15CC"/>
    <w:rsid w:val="007B2BBD"/>
    <w:rsid w:val="007B55A2"/>
    <w:rsid w:val="007C075C"/>
    <w:rsid w:val="007C17A1"/>
    <w:rsid w:val="007D1B15"/>
    <w:rsid w:val="007D4C23"/>
    <w:rsid w:val="007D6EB4"/>
    <w:rsid w:val="007F2998"/>
    <w:rsid w:val="0080272D"/>
    <w:rsid w:val="00815110"/>
    <w:rsid w:val="008170EF"/>
    <w:rsid w:val="00821D7D"/>
    <w:rsid w:val="00825069"/>
    <w:rsid w:val="00827A3E"/>
    <w:rsid w:val="00832428"/>
    <w:rsid w:val="00835722"/>
    <w:rsid w:val="008375B2"/>
    <w:rsid w:val="00853AD4"/>
    <w:rsid w:val="00857AE7"/>
    <w:rsid w:val="0086030F"/>
    <w:rsid w:val="00865F78"/>
    <w:rsid w:val="00870485"/>
    <w:rsid w:val="00871FDD"/>
    <w:rsid w:val="00873133"/>
    <w:rsid w:val="00876D64"/>
    <w:rsid w:val="008773A5"/>
    <w:rsid w:val="00880708"/>
    <w:rsid w:val="00880721"/>
    <w:rsid w:val="00880BF4"/>
    <w:rsid w:val="00884180"/>
    <w:rsid w:val="00894CCE"/>
    <w:rsid w:val="008B37D9"/>
    <w:rsid w:val="008B42D4"/>
    <w:rsid w:val="008C335D"/>
    <w:rsid w:val="008C710D"/>
    <w:rsid w:val="008D6EDA"/>
    <w:rsid w:val="008E44A6"/>
    <w:rsid w:val="008F37D4"/>
    <w:rsid w:val="008F4790"/>
    <w:rsid w:val="009006FC"/>
    <w:rsid w:val="0090096C"/>
    <w:rsid w:val="00907777"/>
    <w:rsid w:val="009117C5"/>
    <w:rsid w:val="00911883"/>
    <w:rsid w:val="00922788"/>
    <w:rsid w:val="0092736B"/>
    <w:rsid w:val="00933428"/>
    <w:rsid w:val="00941526"/>
    <w:rsid w:val="00943481"/>
    <w:rsid w:val="009525CB"/>
    <w:rsid w:val="00954EF4"/>
    <w:rsid w:val="0095727D"/>
    <w:rsid w:val="009616D1"/>
    <w:rsid w:val="009622AE"/>
    <w:rsid w:val="00963697"/>
    <w:rsid w:val="00971793"/>
    <w:rsid w:val="009768F0"/>
    <w:rsid w:val="0098129C"/>
    <w:rsid w:val="0098414F"/>
    <w:rsid w:val="00986786"/>
    <w:rsid w:val="00990471"/>
    <w:rsid w:val="009914CB"/>
    <w:rsid w:val="00994AA6"/>
    <w:rsid w:val="009A1A45"/>
    <w:rsid w:val="009A1BBD"/>
    <w:rsid w:val="009A4E1D"/>
    <w:rsid w:val="009A5DCB"/>
    <w:rsid w:val="009B0F12"/>
    <w:rsid w:val="009B1AE9"/>
    <w:rsid w:val="009B28C0"/>
    <w:rsid w:val="009C07CC"/>
    <w:rsid w:val="009C14F0"/>
    <w:rsid w:val="009C49CA"/>
    <w:rsid w:val="009C77AC"/>
    <w:rsid w:val="009D779D"/>
    <w:rsid w:val="009E1190"/>
    <w:rsid w:val="009E2796"/>
    <w:rsid w:val="009E322A"/>
    <w:rsid w:val="009F24A4"/>
    <w:rsid w:val="009F7033"/>
    <w:rsid w:val="00A13310"/>
    <w:rsid w:val="00A172A9"/>
    <w:rsid w:val="00A24D2B"/>
    <w:rsid w:val="00A31FA4"/>
    <w:rsid w:val="00A3787B"/>
    <w:rsid w:val="00A45731"/>
    <w:rsid w:val="00A53EAB"/>
    <w:rsid w:val="00A61E48"/>
    <w:rsid w:val="00A765E2"/>
    <w:rsid w:val="00A81642"/>
    <w:rsid w:val="00A81644"/>
    <w:rsid w:val="00A838C8"/>
    <w:rsid w:val="00A86FFF"/>
    <w:rsid w:val="00A9563F"/>
    <w:rsid w:val="00A966CE"/>
    <w:rsid w:val="00AA01BC"/>
    <w:rsid w:val="00AA158B"/>
    <w:rsid w:val="00AA1ED9"/>
    <w:rsid w:val="00AB2B33"/>
    <w:rsid w:val="00AB3C46"/>
    <w:rsid w:val="00AB50AA"/>
    <w:rsid w:val="00AB5475"/>
    <w:rsid w:val="00AC118D"/>
    <w:rsid w:val="00AD3C23"/>
    <w:rsid w:val="00AD58F8"/>
    <w:rsid w:val="00AE0A3A"/>
    <w:rsid w:val="00AE0AAB"/>
    <w:rsid w:val="00AE1653"/>
    <w:rsid w:val="00AF125B"/>
    <w:rsid w:val="00AF4147"/>
    <w:rsid w:val="00B0155F"/>
    <w:rsid w:val="00B06D72"/>
    <w:rsid w:val="00B10C2A"/>
    <w:rsid w:val="00B131DF"/>
    <w:rsid w:val="00B13F51"/>
    <w:rsid w:val="00B1683E"/>
    <w:rsid w:val="00B22503"/>
    <w:rsid w:val="00B229AF"/>
    <w:rsid w:val="00B22FC7"/>
    <w:rsid w:val="00B23757"/>
    <w:rsid w:val="00B23ADB"/>
    <w:rsid w:val="00B26E16"/>
    <w:rsid w:val="00B31ABB"/>
    <w:rsid w:val="00B32B6D"/>
    <w:rsid w:val="00B36034"/>
    <w:rsid w:val="00B44300"/>
    <w:rsid w:val="00B45D00"/>
    <w:rsid w:val="00B474E8"/>
    <w:rsid w:val="00B53F6B"/>
    <w:rsid w:val="00B616B0"/>
    <w:rsid w:val="00B62F21"/>
    <w:rsid w:val="00B6643D"/>
    <w:rsid w:val="00B70154"/>
    <w:rsid w:val="00B7102D"/>
    <w:rsid w:val="00B7179E"/>
    <w:rsid w:val="00B739AD"/>
    <w:rsid w:val="00B84E19"/>
    <w:rsid w:val="00B85727"/>
    <w:rsid w:val="00B85D1D"/>
    <w:rsid w:val="00BA45EF"/>
    <w:rsid w:val="00BA5EA7"/>
    <w:rsid w:val="00BA6425"/>
    <w:rsid w:val="00BA65CF"/>
    <w:rsid w:val="00BB4485"/>
    <w:rsid w:val="00BB488F"/>
    <w:rsid w:val="00BB5D90"/>
    <w:rsid w:val="00BC35AF"/>
    <w:rsid w:val="00BD0840"/>
    <w:rsid w:val="00BD1BFC"/>
    <w:rsid w:val="00BE51A7"/>
    <w:rsid w:val="00BF33E6"/>
    <w:rsid w:val="00BF5253"/>
    <w:rsid w:val="00BF68A1"/>
    <w:rsid w:val="00BF79F0"/>
    <w:rsid w:val="00C07DD0"/>
    <w:rsid w:val="00C14A94"/>
    <w:rsid w:val="00C25D37"/>
    <w:rsid w:val="00C36CEC"/>
    <w:rsid w:val="00C41D34"/>
    <w:rsid w:val="00C42723"/>
    <w:rsid w:val="00C45169"/>
    <w:rsid w:val="00C456CA"/>
    <w:rsid w:val="00C509DB"/>
    <w:rsid w:val="00C51A1F"/>
    <w:rsid w:val="00C5675C"/>
    <w:rsid w:val="00C57B60"/>
    <w:rsid w:val="00C60305"/>
    <w:rsid w:val="00C6124C"/>
    <w:rsid w:val="00C61978"/>
    <w:rsid w:val="00C67E0C"/>
    <w:rsid w:val="00C74AB5"/>
    <w:rsid w:val="00C7684B"/>
    <w:rsid w:val="00C779E8"/>
    <w:rsid w:val="00C80ECA"/>
    <w:rsid w:val="00C8124B"/>
    <w:rsid w:val="00C90CF7"/>
    <w:rsid w:val="00CA5FEE"/>
    <w:rsid w:val="00CB0DAF"/>
    <w:rsid w:val="00CB2197"/>
    <w:rsid w:val="00CB25A0"/>
    <w:rsid w:val="00CB4412"/>
    <w:rsid w:val="00CB441B"/>
    <w:rsid w:val="00CC2591"/>
    <w:rsid w:val="00CC30FE"/>
    <w:rsid w:val="00CC49FC"/>
    <w:rsid w:val="00CD7BA5"/>
    <w:rsid w:val="00CE5B2D"/>
    <w:rsid w:val="00CE5EA5"/>
    <w:rsid w:val="00CF2C2A"/>
    <w:rsid w:val="00CF4BF1"/>
    <w:rsid w:val="00D16177"/>
    <w:rsid w:val="00D2288B"/>
    <w:rsid w:val="00D26678"/>
    <w:rsid w:val="00D31B02"/>
    <w:rsid w:val="00D33CC1"/>
    <w:rsid w:val="00D35CD9"/>
    <w:rsid w:val="00D4164E"/>
    <w:rsid w:val="00D41F6F"/>
    <w:rsid w:val="00D4345F"/>
    <w:rsid w:val="00D46A80"/>
    <w:rsid w:val="00D54C1E"/>
    <w:rsid w:val="00D57944"/>
    <w:rsid w:val="00D62A82"/>
    <w:rsid w:val="00D807F1"/>
    <w:rsid w:val="00D80D58"/>
    <w:rsid w:val="00D86331"/>
    <w:rsid w:val="00D863E3"/>
    <w:rsid w:val="00D87FCC"/>
    <w:rsid w:val="00D93399"/>
    <w:rsid w:val="00D96AD7"/>
    <w:rsid w:val="00D9736D"/>
    <w:rsid w:val="00DA7164"/>
    <w:rsid w:val="00DA7C89"/>
    <w:rsid w:val="00DB1811"/>
    <w:rsid w:val="00DB520A"/>
    <w:rsid w:val="00DB6633"/>
    <w:rsid w:val="00DC2836"/>
    <w:rsid w:val="00DC647F"/>
    <w:rsid w:val="00DD1685"/>
    <w:rsid w:val="00DF14CE"/>
    <w:rsid w:val="00DF5C7E"/>
    <w:rsid w:val="00E03BA3"/>
    <w:rsid w:val="00E04985"/>
    <w:rsid w:val="00E05599"/>
    <w:rsid w:val="00E13121"/>
    <w:rsid w:val="00E143C5"/>
    <w:rsid w:val="00E21D4A"/>
    <w:rsid w:val="00E22C91"/>
    <w:rsid w:val="00E23767"/>
    <w:rsid w:val="00E2624A"/>
    <w:rsid w:val="00E27506"/>
    <w:rsid w:val="00E40D4F"/>
    <w:rsid w:val="00E528E8"/>
    <w:rsid w:val="00E532C1"/>
    <w:rsid w:val="00E57773"/>
    <w:rsid w:val="00E62783"/>
    <w:rsid w:val="00E63EB8"/>
    <w:rsid w:val="00E71899"/>
    <w:rsid w:val="00E72B8F"/>
    <w:rsid w:val="00E75EA3"/>
    <w:rsid w:val="00E802CA"/>
    <w:rsid w:val="00E845A9"/>
    <w:rsid w:val="00E908D7"/>
    <w:rsid w:val="00E92A10"/>
    <w:rsid w:val="00EA3287"/>
    <w:rsid w:val="00EA5565"/>
    <w:rsid w:val="00EA5C90"/>
    <w:rsid w:val="00EB2433"/>
    <w:rsid w:val="00EC6C1F"/>
    <w:rsid w:val="00ED0C9C"/>
    <w:rsid w:val="00ED37BF"/>
    <w:rsid w:val="00ED6668"/>
    <w:rsid w:val="00ED7DA4"/>
    <w:rsid w:val="00EE1477"/>
    <w:rsid w:val="00EE1769"/>
    <w:rsid w:val="00EE1DC8"/>
    <w:rsid w:val="00EE5DE5"/>
    <w:rsid w:val="00EE6FF5"/>
    <w:rsid w:val="00EF213B"/>
    <w:rsid w:val="00EF5B95"/>
    <w:rsid w:val="00EF6B60"/>
    <w:rsid w:val="00F01380"/>
    <w:rsid w:val="00F02062"/>
    <w:rsid w:val="00F039EF"/>
    <w:rsid w:val="00F1475D"/>
    <w:rsid w:val="00F14F7E"/>
    <w:rsid w:val="00F152E3"/>
    <w:rsid w:val="00F20630"/>
    <w:rsid w:val="00F41245"/>
    <w:rsid w:val="00F44C7A"/>
    <w:rsid w:val="00F47E6E"/>
    <w:rsid w:val="00F5142F"/>
    <w:rsid w:val="00F561E0"/>
    <w:rsid w:val="00F57A84"/>
    <w:rsid w:val="00F60BE8"/>
    <w:rsid w:val="00F662EA"/>
    <w:rsid w:val="00F67349"/>
    <w:rsid w:val="00F72E80"/>
    <w:rsid w:val="00F77926"/>
    <w:rsid w:val="00F812CF"/>
    <w:rsid w:val="00F923B8"/>
    <w:rsid w:val="00FA6650"/>
    <w:rsid w:val="00FB2E22"/>
    <w:rsid w:val="00FB3EB5"/>
    <w:rsid w:val="00FB782D"/>
    <w:rsid w:val="00FC21F5"/>
    <w:rsid w:val="00FC24F0"/>
    <w:rsid w:val="00FC5D1A"/>
    <w:rsid w:val="00FD2E33"/>
    <w:rsid w:val="00FE37B8"/>
    <w:rsid w:val="00FF69A1"/>
    <w:rsid w:val="012B63B4"/>
    <w:rsid w:val="094520BA"/>
    <w:rsid w:val="095920F7"/>
    <w:rsid w:val="0FC8627B"/>
    <w:rsid w:val="12E6DAE0"/>
    <w:rsid w:val="14F23FEE"/>
    <w:rsid w:val="1628CDC6"/>
    <w:rsid w:val="1BC540BA"/>
    <w:rsid w:val="1D8D012D"/>
    <w:rsid w:val="25792939"/>
    <w:rsid w:val="25F995FA"/>
    <w:rsid w:val="27E346EF"/>
    <w:rsid w:val="2817CC55"/>
    <w:rsid w:val="2FEBFAF4"/>
    <w:rsid w:val="3094D2AB"/>
    <w:rsid w:val="30F09417"/>
    <w:rsid w:val="326E1217"/>
    <w:rsid w:val="361FC6A6"/>
    <w:rsid w:val="3C19E4D2"/>
    <w:rsid w:val="42E4504A"/>
    <w:rsid w:val="4526D411"/>
    <w:rsid w:val="495366B6"/>
    <w:rsid w:val="4C9B7901"/>
    <w:rsid w:val="534EBAD3"/>
    <w:rsid w:val="55AFB695"/>
    <w:rsid w:val="567AE978"/>
    <w:rsid w:val="5EA36F00"/>
    <w:rsid w:val="5FB05A50"/>
    <w:rsid w:val="6CEA73AC"/>
    <w:rsid w:val="70C1E07B"/>
    <w:rsid w:val="71A029E6"/>
    <w:rsid w:val="7209CC2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9257E"/>
  <w15:chartTrackingRefBased/>
  <w15:docId w15:val="{417D58A3-8D86-4276-B9F6-1636639E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jc w:val="both"/>
      <w:textAlignment w:val="baseline"/>
    </w:pPr>
    <w:rPr>
      <w:rFonts w:ascii="Arial" w:hAnsi="Arial"/>
      <w:sz w:val="24"/>
    </w:rPr>
  </w:style>
  <w:style w:type="paragraph" w:styleId="Nadpis1">
    <w:name w:val="heading 1"/>
    <w:basedOn w:val="Normln"/>
    <w:next w:val="Normln"/>
    <w:link w:val="Nadpis1Char"/>
    <w:qFormat/>
    <w:rsid w:val="00F662EA"/>
    <w:pPr>
      <w:spacing w:line="276" w:lineRule="auto"/>
      <w:jc w:val="center"/>
      <w:outlineLvl w:val="0"/>
    </w:pPr>
    <w:rPr>
      <w:rFonts w:cs="Arial"/>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F923B8"/>
    <w:rPr>
      <w:rFonts w:ascii="Tahoma" w:hAnsi="Tahoma" w:cs="Tahoma"/>
      <w:sz w:val="16"/>
      <w:szCs w:val="16"/>
    </w:rPr>
  </w:style>
  <w:style w:type="character" w:customStyle="1" w:styleId="Nadpis1Char">
    <w:name w:val="Nadpis 1 Char"/>
    <w:link w:val="Nadpis1"/>
    <w:rsid w:val="00F662EA"/>
    <w:rPr>
      <w:rFonts w:ascii="Arial" w:hAnsi="Arial" w:cs="Arial"/>
      <w:b/>
      <w:sz w:val="32"/>
      <w:szCs w:val="32"/>
    </w:rPr>
  </w:style>
  <w:style w:type="character" w:styleId="Odkaznakoment">
    <w:name w:val="annotation reference"/>
    <w:rsid w:val="006769C3"/>
    <w:rPr>
      <w:sz w:val="16"/>
      <w:szCs w:val="16"/>
    </w:rPr>
  </w:style>
  <w:style w:type="paragraph" w:styleId="Textkomente">
    <w:name w:val="annotation text"/>
    <w:basedOn w:val="Normln"/>
    <w:link w:val="TextkomenteChar"/>
    <w:rsid w:val="006769C3"/>
    <w:rPr>
      <w:sz w:val="20"/>
    </w:rPr>
  </w:style>
  <w:style w:type="character" w:customStyle="1" w:styleId="TextkomenteChar">
    <w:name w:val="Text komentáře Char"/>
    <w:link w:val="Textkomente"/>
    <w:rsid w:val="006769C3"/>
    <w:rPr>
      <w:rFonts w:ascii="Arial" w:hAnsi="Arial"/>
    </w:rPr>
  </w:style>
  <w:style w:type="paragraph" w:styleId="Pedmtkomente">
    <w:name w:val="annotation subject"/>
    <w:basedOn w:val="Textkomente"/>
    <w:next w:val="Textkomente"/>
    <w:link w:val="PedmtkomenteChar"/>
    <w:rsid w:val="006769C3"/>
    <w:rPr>
      <w:b/>
      <w:bCs/>
    </w:rPr>
  </w:style>
  <w:style w:type="character" w:customStyle="1" w:styleId="PedmtkomenteChar">
    <w:name w:val="Předmět komentáře Char"/>
    <w:link w:val="Pedmtkomente"/>
    <w:rsid w:val="006769C3"/>
    <w:rPr>
      <w:rFonts w:ascii="Arial" w:hAnsi="Arial"/>
      <w:b/>
      <w:bCs/>
    </w:rPr>
  </w:style>
  <w:style w:type="paragraph" w:styleId="Zkladntextodsazen">
    <w:name w:val="Body Text Indent"/>
    <w:basedOn w:val="Normln"/>
    <w:link w:val="ZkladntextodsazenChar"/>
    <w:rsid w:val="00B44300"/>
    <w:pPr>
      <w:overflowPunct/>
      <w:autoSpaceDE/>
      <w:autoSpaceDN/>
      <w:adjustRightInd/>
      <w:ind w:left="360"/>
      <w:jc w:val="left"/>
      <w:textAlignment w:val="auto"/>
    </w:pPr>
    <w:rPr>
      <w:rFonts w:ascii="Times New Roman" w:hAnsi="Times New Roman"/>
      <w:szCs w:val="24"/>
    </w:rPr>
  </w:style>
  <w:style w:type="character" w:customStyle="1" w:styleId="ZkladntextodsazenChar">
    <w:name w:val="Základní text odsazený Char"/>
    <w:link w:val="Zkladntextodsazen"/>
    <w:rsid w:val="00B44300"/>
    <w:rPr>
      <w:sz w:val="24"/>
      <w:szCs w:val="24"/>
    </w:rPr>
  </w:style>
  <w:style w:type="paragraph" w:styleId="Revize">
    <w:name w:val="Revision"/>
    <w:hidden/>
    <w:uiPriority w:val="99"/>
    <w:semiHidden/>
    <w:rsid w:val="004508D0"/>
    <w:rPr>
      <w:rFonts w:ascii="Arial" w:hAnsi="Arial"/>
      <w:sz w:val="24"/>
    </w:rPr>
  </w:style>
  <w:style w:type="paragraph" w:styleId="Zhlav">
    <w:name w:val="header"/>
    <w:basedOn w:val="Normln"/>
    <w:link w:val="ZhlavChar"/>
    <w:rsid w:val="00E802CA"/>
    <w:pPr>
      <w:tabs>
        <w:tab w:val="center" w:pos="4536"/>
        <w:tab w:val="right" w:pos="9072"/>
      </w:tabs>
    </w:pPr>
  </w:style>
  <w:style w:type="character" w:customStyle="1" w:styleId="ZhlavChar">
    <w:name w:val="Záhlaví Char"/>
    <w:link w:val="Zhlav"/>
    <w:rsid w:val="00E802CA"/>
    <w:rPr>
      <w:rFonts w:ascii="Arial" w:hAnsi="Arial"/>
      <w:sz w:val="24"/>
    </w:rPr>
  </w:style>
  <w:style w:type="character" w:styleId="Zmnka">
    <w:name w:val="Mention"/>
    <w:uiPriority w:val="99"/>
    <w:unhideWhenUsed/>
    <w:rsid w:val="001B0321"/>
    <w:rPr>
      <w:color w:val="2B579A"/>
      <w:shd w:val="clear" w:color="auto" w:fill="E1DFDD"/>
    </w:rPr>
  </w:style>
  <w:style w:type="paragraph" w:styleId="Odstavecseseznamem">
    <w:name w:val="List Paragraph"/>
    <w:basedOn w:val="Normln"/>
    <w:uiPriority w:val="34"/>
    <w:qFormat/>
    <w:rsid w:val="00BA45E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492646">
      <w:bodyDiv w:val="1"/>
      <w:marLeft w:val="0"/>
      <w:marRight w:val="0"/>
      <w:marTop w:val="0"/>
      <w:marBottom w:val="0"/>
      <w:divBdr>
        <w:top w:val="none" w:sz="0" w:space="0" w:color="auto"/>
        <w:left w:val="none" w:sz="0" w:space="0" w:color="auto"/>
        <w:bottom w:val="none" w:sz="0" w:space="0" w:color="auto"/>
        <w:right w:val="none" w:sz="0" w:space="0" w:color="auto"/>
      </w:divBdr>
    </w:div>
    <w:div w:id="797146316">
      <w:bodyDiv w:val="1"/>
      <w:marLeft w:val="0"/>
      <w:marRight w:val="0"/>
      <w:marTop w:val="0"/>
      <w:marBottom w:val="0"/>
      <w:divBdr>
        <w:top w:val="none" w:sz="0" w:space="0" w:color="auto"/>
        <w:left w:val="none" w:sz="0" w:space="0" w:color="auto"/>
        <w:bottom w:val="none" w:sz="0" w:space="0" w:color="auto"/>
        <w:right w:val="none" w:sz="0" w:space="0" w:color="auto"/>
      </w:divBdr>
    </w:div>
    <w:div w:id="948007875">
      <w:bodyDiv w:val="1"/>
      <w:marLeft w:val="0"/>
      <w:marRight w:val="0"/>
      <w:marTop w:val="0"/>
      <w:marBottom w:val="0"/>
      <w:divBdr>
        <w:top w:val="none" w:sz="0" w:space="0" w:color="auto"/>
        <w:left w:val="none" w:sz="0" w:space="0" w:color="auto"/>
        <w:bottom w:val="none" w:sz="0" w:space="0" w:color="auto"/>
        <w:right w:val="none" w:sz="0" w:space="0" w:color="auto"/>
      </w:divBdr>
    </w:div>
    <w:div w:id="14795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1xxx\1700\1730\Sponzorstv&#237;\Vzory%20smluv\Smlouva%20o%20reklam&#28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MediaLengthInSeconds xmlns="f2771b88-1327-4397-9b82-f6b9853e87c2" xsi:nil="true"/>
    <SharedWithUsers xmlns="e4071070-07aa-4dbc-a507-d0e287755ab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34CA4-2575-43C3-BEDE-7F5C3D223A17}">
  <ds:schemaRefs>
    <ds:schemaRef ds:uri="http://schemas.openxmlformats.org/officeDocument/2006/bibliography"/>
  </ds:schemaRefs>
</ds:datastoreItem>
</file>

<file path=customXml/itemProps2.xml><?xml version="1.0" encoding="utf-8"?>
<ds:datastoreItem xmlns:ds="http://schemas.openxmlformats.org/officeDocument/2006/customXml" ds:itemID="{7573C5AF-C478-41EB-AF39-F238ABFCC3AF}">
  <ds:schemaRefs>
    <ds:schemaRef ds:uri="http://schemas.microsoft.com/office/2006/metadata/properties"/>
    <ds:schemaRef ds:uri="http://schemas.microsoft.com/office/infopath/2007/PartnerControls"/>
    <ds:schemaRef ds:uri="f2771b88-1327-4397-9b82-f6b9853e87c2"/>
    <ds:schemaRef ds:uri="e4071070-07aa-4dbc-a507-d0e287755ab7"/>
  </ds:schemaRefs>
</ds:datastoreItem>
</file>

<file path=customXml/itemProps3.xml><?xml version="1.0" encoding="utf-8"?>
<ds:datastoreItem xmlns:ds="http://schemas.openxmlformats.org/officeDocument/2006/customXml" ds:itemID="{515FCD6F-343E-453E-9F9B-76A8513B8262}">
  <ds:schemaRefs>
    <ds:schemaRef ds:uri="http://schemas.microsoft.com/sharepoint/v3/contenttype/forms"/>
  </ds:schemaRefs>
</ds:datastoreItem>
</file>

<file path=customXml/itemProps4.xml><?xml version="1.0" encoding="utf-8"?>
<ds:datastoreItem xmlns:ds="http://schemas.openxmlformats.org/officeDocument/2006/customXml" ds:itemID="{0436296B-AC16-4B7B-9121-7B23CE27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92d246-d363-40e2-82bc-6f0655128b68}" enabled="1" method="Standard" siteId="{372ee9e0-9ce0-4033-a64a-c07073a91ecd}" contentBits="0" removed="0"/>
</clbl:labelList>
</file>

<file path=docProps/app.xml><?xml version="1.0" encoding="utf-8"?>
<Properties xmlns="http://schemas.openxmlformats.org/officeDocument/2006/extended-properties" xmlns:vt="http://schemas.openxmlformats.org/officeDocument/2006/docPropsVTypes">
  <Template>Smlouva o reklamě</Template>
  <TotalTime>28</TotalTime>
  <Pages>4</Pages>
  <Words>931</Words>
  <Characters>5495</Characters>
  <Application>Microsoft Office Word</Application>
  <DocSecurity>0</DocSecurity>
  <Lines>45</Lines>
  <Paragraphs>12</Paragraphs>
  <ScaleCrop>false</ScaleCrop>
  <Company>Ceska sporitelna, a.s.</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sponzorské spolupráci</dc:title>
  <dc:subject/>
  <dc:creator>Háková Anna</dc:creator>
  <cp:keywords/>
  <cp:lastModifiedBy>Lucie Balharová</cp:lastModifiedBy>
  <cp:revision>19</cp:revision>
  <cp:lastPrinted>2023-12-11T13:11:00Z</cp:lastPrinted>
  <dcterms:created xsi:type="dcterms:W3CDTF">2024-09-03T14:08:00Z</dcterms:created>
  <dcterms:modified xsi:type="dcterms:W3CDTF">2024-10-29T15:28:00Z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