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1240700048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Smolotely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687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Smolotely,</w:t>
      </w:r>
      <w:r>
        <w:rPr>
          <w:spacing w:val="-4"/>
        </w:rPr>
        <w:t> </w:t>
      </w:r>
      <w:r>
        <w:rPr/>
        <w:t>č.p.</w:t>
      </w:r>
      <w:r>
        <w:rPr>
          <w:spacing w:val="-3"/>
        </w:rPr>
        <w:t> </w:t>
      </w:r>
      <w:r>
        <w:rPr/>
        <w:t>21,</w:t>
      </w:r>
      <w:r>
        <w:rPr>
          <w:spacing w:val="-6"/>
        </w:rPr>
        <w:t> </w:t>
      </w:r>
      <w:r>
        <w:rPr/>
        <w:t>262</w:t>
      </w:r>
      <w:r>
        <w:rPr>
          <w:spacing w:val="-3"/>
        </w:rPr>
        <w:t> </w:t>
      </w:r>
      <w:r>
        <w:rPr/>
        <w:t>63</w:t>
      </w:r>
      <w:r>
        <w:rPr>
          <w:spacing w:val="-4"/>
        </w:rPr>
        <w:t> </w:t>
      </w:r>
      <w:r>
        <w:rPr/>
        <w:t>Kamýk</w:t>
      </w:r>
      <w:r>
        <w:rPr>
          <w:spacing w:val="-6"/>
        </w:rPr>
        <w:t> </w:t>
      </w:r>
      <w:r>
        <w:rPr/>
        <w:t>n.</w:t>
      </w:r>
      <w:r>
        <w:rPr>
          <w:spacing w:val="-5"/>
        </w:rPr>
        <w:t> </w:t>
      </w:r>
      <w:r>
        <w:rPr/>
        <w:t>Vltavou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00243302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Štěpánem</w:t>
      </w:r>
      <w:r>
        <w:rPr>
          <w:spacing w:val="-2"/>
        </w:rPr>
        <w:t> </w:t>
      </w:r>
      <w:r>
        <w:rPr/>
        <w:t>Š e</w:t>
      </w:r>
      <w:r>
        <w:rPr>
          <w:spacing w:val="-4"/>
        </w:rPr>
        <w:t> </w:t>
      </w:r>
      <w:r>
        <w:rPr/>
        <w:t>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v ý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4810211/0710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60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1240700048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596"/>
        <w:jc w:val="both"/>
      </w:pPr>
      <w:r>
        <w:rPr/>
        <w:t>„Smolotely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Draha,</w:t>
      </w:r>
      <w:r>
        <w:rPr>
          <w:spacing w:val="-7"/>
        </w:rPr>
        <w:t> </w:t>
      </w:r>
      <w:r>
        <w:rPr>
          <w:spacing w:val="-2"/>
        </w:rPr>
        <w:t>kanalizace“</w:t>
      </w:r>
    </w:p>
    <w:p>
      <w:pPr>
        <w:pStyle w:val="BodyText"/>
        <w:spacing w:before="120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643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115,43 Kč </w:t>
      </w:r>
      <w:r>
        <w:rPr>
          <w:sz w:val="20"/>
        </w:rPr>
        <w:t>(slovy: šest milionů šest set čtyřicet tři tisíc sto patnáct korun českých a čtyřicet tři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11 071 859,06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splní účel akce „Smolotely - Draha, kanalizace“ tím, že akce bude 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1,63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55 EO na zlepšené čištění odpadních vod, na ČOV Smolotely bude odstraňováno navíc znečištění 2,29 </w:t>
      </w:r>
      <w:r>
        <w:rPr>
          <w:position w:val="2"/>
          <w:sz w:val="20"/>
        </w:rPr>
        <w:t>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114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jinou</w:t>
      </w:r>
      <w:r>
        <w:rPr>
          <w:spacing w:val="-9"/>
          <w:sz w:val="20"/>
        </w:rPr>
        <w:t> </w:t>
      </w:r>
      <w:r>
        <w:rPr>
          <w:sz w:val="20"/>
        </w:rPr>
        <w:t>osobu</w:t>
      </w:r>
      <w:r>
        <w:rPr>
          <w:spacing w:val="-9"/>
          <w:sz w:val="20"/>
        </w:rPr>
        <w:t> </w:t>
      </w:r>
      <w:r>
        <w:rPr>
          <w:sz w:val="20"/>
        </w:rPr>
        <w:t>nejméně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let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284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09" w:hanging="284"/>
        <w:jc w:val="both"/>
        <w:rPr>
          <w:sz w:val="20"/>
        </w:rPr>
      </w:pPr>
      <w:r>
        <w:rPr>
          <w:sz w:val="20"/>
        </w:rPr>
        <w:t>se zavazuje dokončit projekt do konce 12/2025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0" w:hanging="284"/>
        <w:jc w:val="both"/>
        <w:rPr>
          <w:sz w:val="20"/>
        </w:rPr>
      </w:pPr>
      <w:r>
        <w:rPr>
          <w:sz w:val="20"/>
        </w:rPr>
        <w:t>se zavazuje nejpozději do konce 06/2026 předložit prostřednictvím AIS SFŽP ČR Fondu 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4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9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" w:after="0"/>
        <w:ind w:left="809" w:right="110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3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8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0" w:hanging="346"/>
        <w:jc w:val="both"/>
        <w:rPr>
          <w:sz w:val="20"/>
        </w:rPr>
      </w:pPr>
      <w:r>
        <w:rPr>
          <w:sz w:val="20"/>
        </w:rPr>
        <w:t>Příjemce ukončí Servisní smlouvu o provozu a údržbě kanalizace a ČOV, uzavřenou mezi Příjemcem a společností 1. SčV, a.s., popřípadě jinou smlouvu, uzavřenou za účelem provozování infrastrukturního majetku vodovodu a/nebo kanalizací tak, aby vodohospodářská infrastruktura ve vlastnictví příjemce byla od 1. 1. kalendářního roku následujícího po roku, ve kterém došlo k získání posledního kolaudačního souhlasu/rozhodnutí k projektu provozována v souladu s Metodikou.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11" w:hanging="365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8" w:after="0"/>
        <w:ind w:left="809" w:right="113" w:hanging="310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2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2"/>
          <w:sz w:val="20"/>
        </w:rPr>
        <w:t> </w:t>
      </w:r>
      <w:r>
        <w:rPr>
          <w:sz w:val="20"/>
        </w:rPr>
        <w:t>infrastruktury,</w:t>
      </w:r>
      <w:r>
        <w:rPr>
          <w:spacing w:val="-8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2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4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6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2024-10-11T05:22:35Z</dcterms:created>
  <dcterms:modified xsi:type="dcterms:W3CDTF">2024-10-11T05:22:35Z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2024-10-11T00:00:00Z</vt:filetime>
  </property>
</Properties>
</file>