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sdružený objekt — kompresory bublinkování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Teba Montáže s.r.o., Javorová 1814, 432 01 Kadaň, ič: 02475600, za kterého jedná - jednatel (dále jen „dodavatel”), tímto čestně prohlašuje, že, bude-li s ním uzavřena smlouva na plnění veřejné zakázky, zajistí po celou dobu provádění díla: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30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/>
        <w:ind w:left="30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060"/>
        <w:ind w:left="30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630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firstLine="0"/>
        <w:jc w:val="right"/>
        <w:sectPr>
          <w:footnotePr>
            <w:pos w:val="pageBottom"/>
            <w:numFmt w:val="decimal"/>
            <w:numRestart w:val="continuous"/>
          </w:footnotePr>
          <w:pgSz w:w="11909" w:h="16838"/>
          <w:pgMar w:top="1392" w:left="1542" w:right="1087" w:bottom="1392" w:header="964" w:footer="96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Javorová 432 Kadaň tel.: </w:t>
      </w:r>
      <w:r>
        <w:fldChar w:fldCharType="begin"/>
      </w:r>
      <w:r>
        <w:rPr/>
        <w:instrText> HYPERLINK "http://www.tebamontaze.cz"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www.tebamontaze.cz</w:t>
      </w:r>
      <w:r>
        <w:fldChar w:fldCharType="end"/>
      </w:r>
    </w:p>
    <w:p>
      <w:pPr>
        <w:pStyle w:val="Style11"/>
        <w:keepNext w:val="0"/>
        <w:keepLines w:val="0"/>
        <w:framePr w:w="312" w:h="326" w:wrap="none" w:hAnchor="page" w:x="104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1/1</w:t>
      </w:r>
    </w:p>
    <w:p>
      <w:pPr>
        <w:widowControl w:val="0"/>
        <w:spacing w:after="32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1392" w:left="10469" w:right="1127" w:bottom="1392" w:header="964" w:footer="96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2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2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40" w:line="307" w:lineRule="auto"/>
      <w:ind w:left="6420" w:right="7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right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SKM_C250i24081307251</dc:title>
  <dc:subject/>
  <dc:creator>Romana Chaloupková</dc:creator>
  <cp:keywords/>
</cp:coreProperties>
</file>