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421/2024</w:t>
        <w:br/>
        <w:t>č. smlouvy zhotovitele: 12-4167-0100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„VD Nechranice, areál vrátnice – zpevněné plochy, poklopy provizorního</w:t>
        <w:br/>
        <w:t>hrazení“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Projektová dokumentace DSP/DPS</w: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008" w:left="1360" w:right="1394" w:bottom="2222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7800" distB="0" distL="0" distR="0" simplePos="0" relativeHeight="125829378" behindDoc="0" locked="0" layoutInCell="1" allowOverlap="1">
                <wp:simplePos x="0" y="0"/>
                <wp:positionH relativeFrom="page">
                  <wp:posOffset>863600</wp:posOffset>
                </wp:positionH>
                <wp:positionV relativeFrom="paragraph">
                  <wp:posOffset>177800</wp:posOffset>
                </wp:positionV>
                <wp:extent cx="2444750" cy="151511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4750" cy="1515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 zástupce ve věcech smluvních: oprávněn jednat o věcech technických: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8.pt;margin-top:14.pt;width:192.5pt;height:119.3pt;z-index:-12582937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 zástupce ve věcech smluvních: oprávněn jednat o věcech technických: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805180" distL="0" distR="0" simplePos="0" relativeHeight="12582938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177800</wp:posOffset>
                </wp:positionV>
                <wp:extent cx="2225040" cy="70993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67.69999999999999pt;margin-top:14.pt;width:175.20000000000002pt;height:55.899999999999999pt;z-index:-125829373;mso-wrap-distance-left:0;mso-wrap-distance-top:14.pt;mso-wrap-distance-right:0;mso-wrap-distance-bottom:63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64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08" w:left="0" w:right="0" w:bottom="2222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88900" distB="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88900</wp:posOffset>
                </wp:positionV>
                <wp:extent cx="1969135" cy="57912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69135" cy="579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13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700000000000003pt;margin-top:7.pt;width:155.05000000000001pt;height:45.600000000000001pt;z-index:-125829371;mso-wrap-distance-left:0;mso-wrap-distance-top:7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</w:t>
                      </w:r>
                      <w:bookmarkEnd w:id="0"/>
                      <w:bookmarkEnd w:id="1"/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8900" distB="158750" distL="0" distR="0" simplePos="0" relativeHeight="125829384" behindDoc="0" locked="0" layoutInCell="1" allowOverlap="1">
                <wp:simplePos x="0" y="0"/>
                <wp:positionH relativeFrom="page">
                  <wp:posOffset>3555365</wp:posOffset>
                </wp:positionH>
                <wp:positionV relativeFrom="paragraph">
                  <wp:posOffset>88900</wp:posOffset>
                </wp:positionV>
                <wp:extent cx="2118360" cy="42037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18360" cy="420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Sweco a.s.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Táborská 940/31, 140 16 Praha 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79.94999999999999pt;margin-top:7.pt;width:166.80000000000001pt;height:33.100000000000001pt;z-index:-125829369;mso-wrap-distance-left:0;mso-wrap-distance-top:7.pt;mso-wrap-distance-right:0;mso-wrap-distance-bottom:12.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Sweco a.s.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Táborská 940/31, 140 16 Praha 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72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3"/>
      <w:bookmarkEnd w:id="4"/>
      <w:bookmarkEnd w:id="5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zastupuje vůči třetím osobám v celém rozsahu představenstvo, a to vždy dvěma členy představenstva, nebo písemně pověřeným členem představenstva.</w:t>
      </w:r>
      <w:bookmarkEnd w:id="6"/>
      <w:bookmarkEnd w:id="7"/>
      <w:bookmarkEnd w:id="8"/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shd w:val="clear" w:color="auto" w:fill="auto"/>
        <w:tabs>
          <w:tab w:pos="42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26475081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20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CZ26475081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08" w:left="1360" w:right="1394" w:bottom="2222" w:header="0" w:footer="3" w:gutter="0"/>
          <w:cols w:space="720"/>
          <w:noEndnote/>
          <w:rtlGutter w:val="0"/>
          <w:docGrid w:linePitch="360"/>
        </w:sectPr>
      </w:pPr>
      <w:bookmarkStart w:id="12" w:name="bookmark12"/>
      <w:bookmarkStart w:id="13" w:name="bookmark13"/>
      <w:bookmarkStart w:id="14" w:name="bookmark14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zapsán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obchodním rejstříku: vedeném u Městského soudu v Praze v oddílu B, vložce 7326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36" w:lineRule="auto"/>
        <w:ind w:left="0" w:right="0" w:firstLine="648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1 k SoD 421/2024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nutnosti projednání detailů dokumentace na dalším výrobním výboru. Dále jsou dodatkem řešeny změny v legislativě.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32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Dílo a způsob provedení díla, a Čl. III. Termíny plnění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24" w:val="left"/>
        </w:tabs>
        <w:bidi w:val="0"/>
        <w:spacing w:before="0" w:after="4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</w:t>
        <w:tab/>
        <w:t>DÍLO A ZPŮSOB PROVEDENÍ DÍLA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Kompletní projektová dokumentace bude předána celkem v počtu 6x paré tištěné + elektronicky, a to 1x ve formátu (_.pdf), a 1x v editovatelných formátech pro potřeby objednatele (_.doc, _.docx, _.xls, _.xlsx, _.dwg a dalších), výkresy budou v souřadnicovém systému S-JTSK.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Dílo bude označeno otiskem autorizačního razítka a vlastnoručním podpisem autorizované osoby v příslušném oboru či specializaci.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Kompletní projektová dokumentace bude předána celkem v počtu 3x paré tištěné + elektronicky, a to 1x ve formátu (_.pdf), a 1x v editovatelných formátech pro potřeby objednatele (_.doc, _.docx, _.xls, _.xlsx, _.dwg a dalších), výkresy budou v souřadnicovém systému S-JTSK.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Elektronická dokumentace bude tvořena souborem elektronických výkresů a dokumentů, které budou strukturované dle vyhlášky 190/2024 Sb. o podrobnostech provozu informačních systémů stavební správy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Tištěná paré budou označena otiskem autorizačního razítka a vlastnoručním podpisem autorizované osoby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elektronická verze dokumentace určená pro podání přes informační systém stavební správy bude opatřena kvalifikovaným časovým razítkem a elektronickým autorizačním podpisem v příslušném oboru či specializaci.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TERMÍNY PLNĚNÍ</w:t>
      </w:r>
      <w:bookmarkEnd w:id="15"/>
      <w:bookmarkEnd w:id="16"/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4" w:bottom="1420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  <w:bookmarkEnd w:id="18"/>
      <w:bookmarkEnd w:id="19"/>
      <w:bookmarkEnd w:id="20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line="240" w:lineRule="auto"/>
        <w:ind w:left="720" w:right="0" w:hanging="32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zahájení prací na předmětu plnění: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97" w:val="left"/>
        </w:tabs>
        <w:bidi w:val="0"/>
        <w:spacing w:before="0" w:line="240" w:lineRule="auto"/>
        <w:ind w:left="720" w:right="0" w:hanging="320"/>
        <w:jc w:val="both"/>
      </w:pPr>
      <w:bookmarkStart w:id="22" w:name="bookmark22"/>
      <w:bookmarkEnd w:id="2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PD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 09. 2024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(4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Termín provedení díla: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zahájení prací na předmětu plnění: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zbytečného odkladu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97" w:val="left"/>
        </w:tabs>
        <w:bidi w:val="0"/>
        <w:spacing w:before="0" w:line="240" w:lineRule="auto"/>
        <w:ind w:left="720" w:right="0" w:hanging="3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první dílčí termín – předání kompletní PD (2 x tištěné + elektronicky) po projednání na ZVV: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nejpozději do 30. 10. 2024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7" w:val="left"/>
        </w:tabs>
        <w:bidi w:val="0"/>
        <w:spacing w:before="0" w:after="0" w:line="240" w:lineRule="auto"/>
        <w:ind w:left="0" w:right="0" w:firstLine="38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předání a převzetí kompletní PD (3 x tištěné + elektronicky):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 měsíc po schválení v dokumentační komisi (dále jen DK)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380" w:right="0" w:hanging="38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29" w:name="bookmark29"/>
      <w:bookmarkEnd w:id="2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440" w:line="240" w:lineRule="auto"/>
        <w:ind w:left="380" w:right="0" w:hanging="380"/>
        <w:jc w:val="both"/>
      </w:pPr>
      <w:bookmarkStart w:id="30" w:name="bookmark30"/>
      <w:bookmarkEnd w:id="3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819785" cy="225425"/>
                <wp:wrapSquare wrapText="left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1978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17.40000000000003pt;margin-top:1.pt;width:64.549999999999997pt;height:17.7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90500" distB="15240" distL="0" distR="0" simplePos="0" relativeHeight="12582938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190500</wp:posOffset>
                </wp:positionV>
                <wp:extent cx="1993265" cy="62484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 ekonomický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9.700000000000003pt;margin-top:15.pt;width:156.95000000000002pt;height:49.200000000000003pt;z-index:-125829365;mso-wrap-distance-left:0;mso-wrap-distance-top:15.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 ekonomický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90500" distB="0" distL="0" distR="0" simplePos="0" relativeHeight="125829390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190500</wp:posOffset>
                </wp:positionV>
                <wp:extent cx="2030095" cy="64008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0095" cy="640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……………………………………. místopředseda představenstva Sweco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17.40000000000003pt;margin-top:15.pt;width:159.84999999999999pt;height:50.399999999999999pt;z-index:-125829363;mso-wrap-distance-left:0;mso-wrap-distance-top:1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……………………………………. místopředseda představenstva Sweco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4920" w:right="10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členka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sectPr>
      <w:footnotePr>
        <w:pos w:val="pageBottom"/>
        <w:numFmt w:val="decimal"/>
        <w:numRestart w:val="continuous"/>
      </w:footnotePr>
      <w:pgSz w:w="11909" w:h="16838"/>
      <w:pgMar w:top="1027" w:left="1394" w:right="1389" w:bottom="179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435610</wp:posOffset>
              </wp:positionV>
              <wp:extent cx="1654810" cy="1739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421/2024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94.19999999999999pt;margin-top:34.300000000000004pt;width:130.3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421/2024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2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after="20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