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C5" w:rsidRDefault="00E01DC5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E01DC5" w:rsidRDefault="0022105F">
      <w:pPr>
        <w:pStyle w:val="Nzev"/>
        <w:spacing w:before="99"/>
        <w:ind w:left="3143" w:right="3168"/>
      </w:pPr>
      <w:r>
        <w:rPr>
          <w:color w:val="808080"/>
        </w:rPr>
        <w:t>Smlouva č. 7221300352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E01DC5" w:rsidRDefault="0022105F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E01DC5" w:rsidRDefault="00E01DC5">
      <w:pPr>
        <w:pStyle w:val="Zkladntext"/>
        <w:spacing w:before="11"/>
        <w:rPr>
          <w:sz w:val="59"/>
        </w:rPr>
      </w:pPr>
    </w:p>
    <w:p w:rsidR="00E01DC5" w:rsidRDefault="0022105F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E01DC5" w:rsidRDefault="00E01DC5">
      <w:pPr>
        <w:pStyle w:val="Zkladntext"/>
        <w:rPr>
          <w:sz w:val="26"/>
        </w:rPr>
      </w:pPr>
    </w:p>
    <w:p w:rsidR="00E01DC5" w:rsidRDefault="0022105F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01DC5" w:rsidRDefault="0022105F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01DC5" w:rsidRDefault="0022105F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E01DC5" w:rsidRDefault="0022105F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E01DC5" w:rsidRDefault="0022105F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E01DC5" w:rsidRDefault="0022105F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01DC5" w:rsidRDefault="0022105F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E01DC5" w:rsidRDefault="00E01DC5">
      <w:pPr>
        <w:pStyle w:val="Zkladntext"/>
        <w:spacing w:before="12"/>
        <w:rPr>
          <w:sz w:val="19"/>
        </w:rPr>
      </w:pPr>
    </w:p>
    <w:p w:rsidR="00E01DC5" w:rsidRDefault="0022105F">
      <w:pPr>
        <w:pStyle w:val="Zkladntext"/>
        <w:ind w:left="102"/>
      </w:pPr>
      <w:r>
        <w:rPr>
          <w:w w:val="99"/>
        </w:rPr>
        <w:t>a</w:t>
      </w:r>
    </w:p>
    <w:p w:rsidR="00E01DC5" w:rsidRDefault="00E01DC5">
      <w:pPr>
        <w:pStyle w:val="Zkladntext"/>
        <w:spacing w:before="1"/>
      </w:pPr>
    </w:p>
    <w:p w:rsidR="00E01DC5" w:rsidRDefault="0022105F">
      <w:pPr>
        <w:pStyle w:val="Nadpis2"/>
        <w:jc w:val="left"/>
      </w:pPr>
      <w:r>
        <w:t>obec</w:t>
      </w:r>
      <w:r>
        <w:rPr>
          <w:spacing w:val="-8"/>
        </w:rPr>
        <w:t xml:space="preserve"> </w:t>
      </w:r>
      <w:r>
        <w:t>Chuchelná</w:t>
      </w:r>
    </w:p>
    <w:p w:rsidR="00E01DC5" w:rsidRDefault="0022105F">
      <w:pPr>
        <w:pStyle w:val="Zkladntext"/>
        <w:tabs>
          <w:tab w:val="left" w:pos="2982"/>
        </w:tabs>
        <w:ind w:left="102" w:right="869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4"/>
        </w:rPr>
        <w:t xml:space="preserve"> </w:t>
      </w:r>
      <w:r>
        <w:t>Chuchelná,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Lichnovského</w:t>
      </w:r>
      <w:r>
        <w:rPr>
          <w:spacing w:val="-2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747</w:t>
      </w:r>
      <w:r>
        <w:rPr>
          <w:spacing w:val="-1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Chuchelná</w:t>
      </w:r>
      <w:r>
        <w:rPr>
          <w:spacing w:val="-52"/>
        </w:rPr>
        <w:t xml:space="preserve"> </w:t>
      </w:r>
      <w:r>
        <w:t>IČO:</w:t>
      </w:r>
      <w:r>
        <w:tab/>
        <w:t>00300161</w:t>
      </w:r>
    </w:p>
    <w:p w:rsidR="00E01DC5" w:rsidRDefault="0022105F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Ing.</w:t>
      </w:r>
      <w:r>
        <w:rPr>
          <w:spacing w:val="-2"/>
        </w:rPr>
        <w:t xml:space="preserve"> </w:t>
      </w:r>
      <w:r>
        <w:t>Rudolfem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ě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o t</w:t>
      </w:r>
      <w:r>
        <w:rPr>
          <w:spacing w:val="-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starostou</w:t>
      </w:r>
    </w:p>
    <w:p w:rsidR="00E01DC5" w:rsidRDefault="0022105F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01DC5" w:rsidRDefault="0022105F">
      <w:pPr>
        <w:pStyle w:val="Zkladntext"/>
        <w:tabs>
          <w:tab w:val="left" w:pos="2982"/>
        </w:tabs>
        <w:ind w:left="102" w:right="5095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94-7215821/0710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E01DC5" w:rsidRDefault="00E01DC5">
      <w:pPr>
        <w:pStyle w:val="Zkladntext"/>
        <w:spacing w:before="1"/>
      </w:pPr>
    </w:p>
    <w:p w:rsidR="00E01DC5" w:rsidRDefault="0022105F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01DC5" w:rsidRDefault="00E01DC5">
      <w:pPr>
        <w:pStyle w:val="Zkladntext"/>
        <w:spacing w:before="12"/>
        <w:rPr>
          <w:sz w:val="19"/>
        </w:rPr>
      </w:pPr>
    </w:p>
    <w:p w:rsidR="00E01DC5" w:rsidRDefault="0022105F">
      <w:pPr>
        <w:pStyle w:val="Nadpis1"/>
        <w:ind w:left="4726" w:right="4755"/>
      </w:pPr>
      <w:r>
        <w:t>I.</w:t>
      </w:r>
    </w:p>
    <w:p w:rsidR="00E01DC5" w:rsidRDefault="0022105F">
      <w:pPr>
        <w:pStyle w:val="Nadpis2"/>
        <w:ind w:left="3135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E01DC5" w:rsidRDefault="00E01DC5">
      <w:pPr>
        <w:pStyle w:val="Zkladntext"/>
        <w:spacing w:before="1"/>
        <w:rPr>
          <w:b/>
        </w:rPr>
      </w:pPr>
    </w:p>
    <w:p w:rsidR="00E01DC5" w:rsidRDefault="0022105F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01DC5" w:rsidRDefault="0022105F">
      <w:pPr>
        <w:pStyle w:val="Zkladntext"/>
        <w:ind w:left="385" w:right="131"/>
        <w:jc w:val="both"/>
      </w:pPr>
      <w:r>
        <w:t>„Smlouva“) se uzavírá na základě Rozhodnutí ministra životního prostředí č. 7221300352 o poskytnutí</w:t>
      </w:r>
      <w:r>
        <w:rPr>
          <w:spacing w:val="1"/>
        </w:rPr>
        <w:t xml:space="preserve"> </w:t>
      </w:r>
      <w:r>
        <w:t>finančních prostředků ze Státního fondu životního prostředí ČR ze dne 22. 11.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E01DC5" w:rsidRDefault="0022105F">
      <w:pPr>
        <w:pStyle w:val="Odstavecseseznamem"/>
        <w:numPr>
          <w:ilvl w:val="0"/>
          <w:numId w:val="8"/>
        </w:numPr>
        <w:tabs>
          <w:tab w:val="left" w:pos="38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01DC5" w:rsidRDefault="0022105F">
      <w:pPr>
        <w:pStyle w:val="Odstavecseseznamem"/>
        <w:numPr>
          <w:ilvl w:val="0"/>
          <w:numId w:val="8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01DC5" w:rsidRDefault="0022105F">
      <w:pPr>
        <w:pStyle w:val="Nadpis2"/>
        <w:spacing w:before="120"/>
        <w:ind w:left="2312"/>
        <w:jc w:val="both"/>
      </w:pPr>
      <w:r>
        <w:t>„Pořízení</w:t>
      </w:r>
      <w:r>
        <w:rPr>
          <w:spacing w:val="-3"/>
        </w:rPr>
        <w:t xml:space="preserve"> </w:t>
      </w:r>
      <w:r>
        <w:t>fotovoltaického</w:t>
      </w:r>
      <w:r>
        <w:rPr>
          <w:spacing w:val="-1"/>
        </w:rPr>
        <w:t xml:space="preserve"> </w:t>
      </w:r>
      <w:r>
        <w:t>systému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2"/>
        </w:rPr>
        <w:t xml:space="preserve"> </w:t>
      </w:r>
      <w:r>
        <w:t>Chuchelná“</w:t>
      </w:r>
    </w:p>
    <w:p w:rsidR="00E01DC5" w:rsidRDefault="0022105F">
      <w:pPr>
        <w:pStyle w:val="Zkladntext"/>
        <w:spacing w:before="118"/>
        <w:ind w:left="385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E01DC5" w:rsidRDefault="00E01DC5">
      <w:pPr>
        <w:jc w:val="both"/>
        <w:sectPr w:rsidR="00E01DC5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E01DC5" w:rsidRDefault="00E01DC5">
      <w:pPr>
        <w:pStyle w:val="Zkladntext"/>
        <w:spacing w:before="12"/>
        <w:rPr>
          <w:sz w:val="29"/>
        </w:rPr>
      </w:pPr>
    </w:p>
    <w:p w:rsidR="00E01DC5" w:rsidRDefault="0022105F">
      <w:pPr>
        <w:pStyle w:val="Nadpis1"/>
        <w:spacing w:before="99" w:line="265" w:lineRule="exact"/>
        <w:ind w:left="3143" w:right="2819"/>
      </w:pPr>
      <w:r>
        <w:t>II.</w:t>
      </w:r>
    </w:p>
    <w:p w:rsidR="00E01DC5" w:rsidRDefault="0022105F">
      <w:pPr>
        <w:pStyle w:val="Nadpis2"/>
        <w:spacing w:line="265" w:lineRule="exact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01DC5" w:rsidRDefault="00E01DC5">
      <w:pPr>
        <w:pStyle w:val="Zkladntext"/>
        <w:spacing w:before="1"/>
        <w:rPr>
          <w:b/>
        </w:rPr>
      </w:pPr>
    </w:p>
    <w:p w:rsidR="00E01DC5" w:rsidRDefault="0022105F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417 769,18 Kč </w:t>
      </w:r>
      <w:r>
        <w:rPr>
          <w:sz w:val="20"/>
        </w:rPr>
        <w:t>(slovy: čtyři sta sedmnáct tisíc sedm set šedesát devět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osmnáct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E01DC5" w:rsidRDefault="0022105F">
      <w:pPr>
        <w:pStyle w:val="Odstavecseseznamem"/>
        <w:numPr>
          <w:ilvl w:val="0"/>
          <w:numId w:val="7"/>
        </w:numPr>
        <w:tabs>
          <w:tab w:val="left" w:pos="386"/>
        </w:tabs>
        <w:spacing w:before="123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</w:t>
      </w:r>
      <w:r>
        <w:rPr>
          <w:sz w:val="20"/>
        </w:rPr>
        <w:t>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728</w:t>
      </w:r>
      <w:r>
        <w:rPr>
          <w:spacing w:val="1"/>
          <w:sz w:val="20"/>
        </w:rPr>
        <w:t xml:space="preserve"> </w:t>
      </w:r>
      <w:r>
        <w:rPr>
          <w:sz w:val="20"/>
        </w:rPr>
        <w:t>420,00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01DC5" w:rsidRDefault="0022105F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E01DC5" w:rsidRDefault="0022105F">
      <w:pPr>
        <w:pStyle w:val="Odstavecseseznamem"/>
        <w:numPr>
          <w:ilvl w:val="0"/>
          <w:numId w:val="7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01DC5" w:rsidRDefault="00E01DC5">
      <w:pPr>
        <w:pStyle w:val="Zkladntext"/>
        <w:rPr>
          <w:sz w:val="26"/>
        </w:rPr>
      </w:pPr>
    </w:p>
    <w:p w:rsidR="00E01DC5" w:rsidRDefault="0022105F">
      <w:pPr>
        <w:pStyle w:val="Nadpis1"/>
        <w:spacing w:before="185"/>
      </w:pPr>
      <w:r>
        <w:t>III.</w:t>
      </w:r>
    </w:p>
    <w:p w:rsidR="00E01DC5" w:rsidRDefault="0022105F">
      <w:pPr>
        <w:pStyle w:val="Nadpis2"/>
        <w:ind w:left="3135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E01DC5" w:rsidRDefault="00E01DC5">
      <w:pPr>
        <w:pStyle w:val="Zkladntext"/>
        <w:spacing w:before="3"/>
        <w:rPr>
          <w:b/>
        </w:rPr>
      </w:pPr>
    </w:p>
    <w:p w:rsidR="00E01DC5" w:rsidRDefault="0022105F">
      <w:pPr>
        <w:pStyle w:val="Odstavecseseznamem"/>
        <w:numPr>
          <w:ilvl w:val="0"/>
          <w:numId w:val="6"/>
        </w:numPr>
        <w:tabs>
          <w:tab w:val="left" w:pos="386"/>
        </w:tabs>
        <w:spacing w:before="0" w:line="237" w:lineRule="auto"/>
        <w:ind w:right="130"/>
        <w:jc w:val="both"/>
        <w:rPr>
          <w:sz w:val="20"/>
        </w:rPr>
      </w:pPr>
      <w:r>
        <w:rPr>
          <w:sz w:val="20"/>
        </w:rPr>
        <w:t>Podpora bude poskytnuta b</w:t>
      </w:r>
      <w:r>
        <w:rPr>
          <w:sz w:val="20"/>
        </w:rPr>
        <w:t>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01DC5" w:rsidRDefault="0022105F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E01DC5" w:rsidRDefault="0022105F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1"/>
          <w:sz w:val="20"/>
        </w:rPr>
        <w:t xml:space="preserve"> </w:t>
      </w:r>
      <w:r>
        <w:rPr>
          <w:sz w:val="20"/>
        </w:rPr>
        <w:t>věci,</w:t>
      </w:r>
      <w:r>
        <w:rPr>
          <w:spacing w:val="-2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podpory).</w:t>
      </w:r>
    </w:p>
    <w:p w:rsidR="00E01DC5" w:rsidRDefault="0022105F">
      <w:pPr>
        <w:pStyle w:val="Odstavecseseznamem"/>
        <w:numPr>
          <w:ilvl w:val="0"/>
          <w:numId w:val="6"/>
        </w:numPr>
        <w:tabs>
          <w:tab w:val="left" w:pos="38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</w:t>
      </w:r>
      <w:r>
        <w:rPr>
          <w:sz w:val="20"/>
        </w:rPr>
        <w:t xml:space="preserve">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E01DC5" w:rsidRDefault="0022105F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</w:t>
      </w:r>
      <w:r>
        <w:rPr>
          <w:sz w:val="20"/>
        </w:rPr>
        <w:t xml:space="preserve">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E01DC5" w:rsidRDefault="0022105F">
      <w:pPr>
        <w:pStyle w:val="Odstavecseseznamem"/>
        <w:numPr>
          <w:ilvl w:val="0"/>
          <w:numId w:val="6"/>
        </w:numPr>
        <w:tabs>
          <w:tab w:val="left" w:pos="386"/>
        </w:tabs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E01DC5" w:rsidRDefault="00E01DC5">
      <w:pPr>
        <w:jc w:val="both"/>
        <w:rPr>
          <w:sz w:val="20"/>
        </w:rPr>
        <w:sectPr w:rsidR="00E01DC5">
          <w:pgSz w:w="12240" w:h="15840"/>
          <w:pgMar w:top="2040" w:right="1000" w:bottom="960" w:left="1600" w:header="708" w:footer="771" w:gutter="0"/>
          <w:cols w:space="708"/>
        </w:sectPr>
      </w:pPr>
    </w:p>
    <w:p w:rsidR="00E01DC5" w:rsidRDefault="00E01DC5">
      <w:pPr>
        <w:pStyle w:val="Zkladntext"/>
        <w:spacing w:before="12"/>
        <w:rPr>
          <w:sz w:val="9"/>
        </w:rPr>
      </w:pPr>
    </w:p>
    <w:p w:rsidR="00E01DC5" w:rsidRDefault="0022105F">
      <w:pPr>
        <w:pStyle w:val="Odstavecseseznamem"/>
        <w:numPr>
          <w:ilvl w:val="0"/>
          <w:numId w:val="6"/>
        </w:numPr>
        <w:tabs>
          <w:tab w:val="left" w:pos="386"/>
        </w:tabs>
        <w:spacing w:before="99"/>
        <w:ind w:right="128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základě smluvního vztahu mezi příjemcem faktury a fakturujícím zhotovitelem, podepsanou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odlišného variabilního symbolu oproti číslu faktury </w:t>
      </w:r>
      <w:r>
        <w:rPr>
          <w:sz w:val="20"/>
        </w:rPr>
        <w:t>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E01DC5" w:rsidRDefault="0022105F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E01DC5" w:rsidRDefault="00E01DC5">
      <w:pPr>
        <w:pStyle w:val="Zkladntext"/>
        <w:rPr>
          <w:sz w:val="26"/>
        </w:rPr>
      </w:pPr>
    </w:p>
    <w:p w:rsidR="00E01DC5" w:rsidRDefault="0022105F">
      <w:pPr>
        <w:pStyle w:val="Nadpis1"/>
        <w:spacing w:before="189"/>
        <w:ind w:left="3140"/>
      </w:pPr>
      <w:r>
        <w:t>IV.</w:t>
      </w:r>
    </w:p>
    <w:p w:rsidR="00E01DC5" w:rsidRDefault="0022105F">
      <w:pPr>
        <w:pStyle w:val="Nadpis2"/>
        <w:ind w:left="1017" w:right="1048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E01DC5" w:rsidRDefault="00E01DC5">
      <w:pPr>
        <w:pStyle w:val="Zkladntext"/>
        <w:spacing w:before="11"/>
        <w:rPr>
          <w:b/>
          <w:sz w:val="19"/>
        </w:rPr>
      </w:pPr>
    </w:p>
    <w:p w:rsidR="00E01DC5" w:rsidRDefault="0022105F">
      <w:pPr>
        <w:pStyle w:val="Odstavecseseznamem"/>
        <w:numPr>
          <w:ilvl w:val="0"/>
          <w:numId w:val="5"/>
        </w:numPr>
        <w:tabs>
          <w:tab w:val="left" w:pos="325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4"/>
        <w:rPr>
          <w:sz w:val="20"/>
        </w:rPr>
      </w:pPr>
      <w:r>
        <w:rPr>
          <w:sz w:val="20"/>
        </w:rPr>
        <w:t>splní</w:t>
      </w:r>
      <w:r>
        <w:rPr>
          <w:spacing w:val="13"/>
          <w:sz w:val="20"/>
        </w:rPr>
        <w:t xml:space="preserve"> </w:t>
      </w:r>
      <w:r>
        <w:rPr>
          <w:sz w:val="20"/>
        </w:rPr>
        <w:t>účel</w:t>
      </w:r>
      <w:r>
        <w:rPr>
          <w:spacing w:val="14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„Pořízení</w:t>
      </w:r>
      <w:r>
        <w:rPr>
          <w:spacing w:val="14"/>
          <w:sz w:val="20"/>
        </w:rPr>
        <w:t xml:space="preserve"> </w:t>
      </w:r>
      <w:r>
        <w:rPr>
          <w:sz w:val="20"/>
        </w:rPr>
        <w:t>fotovoltaického</w:t>
      </w:r>
      <w:r>
        <w:rPr>
          <w:spacing w:val="14"/>
          <w:sz w:val="20"/>
        </w:rPr>
        <w:t xml:space="preserve"> </w:t>
      </w:r>
      <w:r>
        <w:rPr>
          <w:sz w:val="20"/>
        </w:rPr>
        <w:t>systému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obci</w:t>
      </w:r>
      <w:r>
        <w:rPr>
          <w:spacing w:val="13"/>
          <w:sz w:val="20"/>
        </w:rPr>
        <w:t xml:space="preserve"> </w:t>
      </w:r>
      <w:r>
        <w:rPr>
          <w:sz w:val="20"/>
        </w:rPr>
        <w:t>Chuchelná“</w:t>
      </w:r>
      <w:r>
        <w:rPr>
          <w:spacing w:val="14"/>
          <w:sz w:val="20"/>
        </w:rPr>
        <w:t xml:space="preserve"> </w:t>
      </w:r>
      <w:r>
        <w:rPr>
          <w:sz w:val="20"/>
        </w:rPr>
        <w:t>tím,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provedena</w:t>
      </w:r>
      <w:r>
        <w:rPr>
          <w:spacing w:val="-51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 Výzvou,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2"/>
          <w:sz w:val="20"/>
        </w:rPr>
        <w:t xml:space="preserve"> </w:t>
      </w:r>
      <w:r>
        <w:rPr>
          <w:sz w:val="20"/>
        </w:rPr>
        <w:t>jejími</w:t>
      </w:r>
      <w:r>
        <w:rPr>
          <w:spacing w:val="-2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6"/>
          <w:tab w:val="left" w:pos="3352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spacing w:before="1"/>
        <w:ind w:right="136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3"/>
          <w:sz w:val="20"/>
        </w:rPr>
        <w:t xml:space="preserve"> </w:t>
      </w:r>
      <w:r>
        <w:rPr>
          <w:sz w:val="20"/>
        </w:rPr>
        <w:t>výkonem</w:t>
      </w:r>
      <w:r>
        <w:rPr>
          <w:spacing w:val="-2"/>
          <w:sz w:val="20"/>
        </w:rPr>
        <w:t xml:space="preserve"> </w:t>
      </w:r>
      <w:r>
        <w:rPr>
          <w:sz w:val="20"/>
        </w:rPr>
        <w:t>12,0</w:t>
      </w:r>
      <w:r>
        <w:rPr>
          <w:spacing w:val="-1"/>
          <w:sz w:val="20"/>
        </w:rPr>
        <w:t xml:space="preserve"> </w:t>
      </w:r>
      <w:r>
        <w:rPr>
          <w:sz w:val="20"/>
        </w:rPr>
        <w:t>kWp a</w:t>
      </w:r>
      <w:r>
        <w:rPr>
          <w:spacing w:val="-2"/>
          <w:sz w:val="20"/>
        </w:rPr>
        <w:t xml:space="preserve"> </w:t>
      </w:r>
      <w:r>
        <w:rPr>
          <w:sz w:val="20"/>
        </w:rPr>
        <w:t>instalaci</w:t>
      </w:r>
      <w:r>
        <w:rPr>
          <w:spacing w:val="-2"/>
          <w:sz w:val="20"/>
        </w:rPr>
        <w:t xml:space="preserve"> </w:t>
      </w:r>
      <w:r>
        <w:rPr>
          <w:sz w:val="20"/>
        </w:rPr>
        <w:t>akumulace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kapacitě</w:t>
      </w:r>
      <w:r>
        <w:rPr>
          <w:spacing w:val="6"/>
          <w:sz w:val="20"/>
        </w:rPr>
        <w:t xml:space="preserve"> </w:t>
      </w:r>
      <w:r>
        <w:rPr>
          <w:sz w:val="20"/>
        </w:rPr>
        <w:t>10,4 kWh,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8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p w:rsidR="00E01DC5" w:rsidRDefault="00E01DC5">
      <w:pPr>
        <w:pStyle w:val="Zkladntext"/>
        <w:spacing w:before="11"/>
        <w:rPr>
          <w:sz w:val="8"/>
        </w:rPr>
      </w:pP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E01DC5">
        <w:trPr>
          <w:trHeight w:val="772"/>
        </w:trPr>
        <w:tc>
          <w:tcPr>
            <w:tcW w:w="3771" w:type="dxa"/>
          </w:tcPr>
          <w:p w:rsidR="00E01DC5" w:rsidRDefault="0022105F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E01DC5" w:rsidRDefault="0022105F">
            <w:pPr>
              <w:pStyle w:val="TableParagraph"/>
              <w:spacing w:before="12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E01DC5" w:rsidRDefault="0022105F">
            <w:pPr>
              <w:pStyle w:val="TableParagraph"/>
              <w:spacing w:before="120"/>
              <w:ind w:left="105" w:right="79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51" w:type="dxa"/>
          </w:tcPr>
          <w:p w:rsidR="00E01DC5" w:rsidRDefault="0022105F"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E01DC5">
        <w:trPr>
          <w:trHeight w:val="532"/>
        </w:trPr>
        <w:tc>
          <w:tcPr>
            <w:tcW w:w="3771" w:type="dxa"/>
          </w:tcPr>
          <w:p w:rsidR="00E01DC5" w:rsidRDefault="0022105F">
            <w:pPr>
              <w:pStyle w:val="TableParagraph"/>
              <w:spacing w:before="0" w:line="266" w:lineRule="exact"/>
              <w:ind w:left="388" w:right="22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kapacita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akumulace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OZE (kWh)</w:t>
            </w:r>
          </w:p>
        </w:tc>
        <w:tc>
          <w:tcPr>
            <w:tcW w:w="1688" w:type="dxa"/>
          </w:tcPr>
          <w:p w:rsidR="00E01DC5" w:rsidRDefault="0022105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kWh</w:t>
            </w:r>
          </w:p>
        </w:tc>
        <w:tc>
          <w:tcPr>
            <w:tcW w:w="1719" w:type="dxa"/>
          </w:tcPr>
          <w:p w:rsidR="00E01DC5" w:rsidRDefault="0022105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E01DC5" w:rsidRDefault="0022105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10.40</w:t>
            </w:r>
          </w:p>
        </w:tc>
      </w:tr>
      <w:tr w:rsidR="00E01DC5">
        <w:trPr>
          <w:trHeight w:val="506"/>
        </w:trPr>
        <w:tc>
          <w:tcPr>
            <w:tcW w:w="3771" w:type="dxa"/>
          </w:tcPr>
          <w:p w:rsidR="00E01DC5" w:rsidRDefault="0022105F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E01DC5" w:rsidRDefault="0022105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E01DC5" w:rsidRDefault="0022105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E01DC5" w:rsidRDefault="0022105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</w:tr>
      <w:tr w:rsidR="00E01DC5">
        <w:trPr>
          <w:trHeight w:val="505"/>
        </w:trPr>
        <w:tc>
          <w:tcPr>
            <w:tcW w:w="3771" w:type="dxa"/>
          </w:tcPr>
          <w:p w:rsidR="00E01DC5" w:rsidRDefault="0022105F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E01DC5" w:rsidRDefault="0022105F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E01DC5" w:rsidRDefault="0022105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E01DC5" w:rsidRDefault="0022105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8.94</w:t>
            </w:r>
          </w:p>
        </w:tc>
      </w:tr>
      <w:tr w:rsidR="00E01DC5">
        <w:trPr>
          <w:trHeight w:val="532"/>
        </w:trPr>
        <w:tc>
          <w:tcPr>
            <w:tcW w:w="3771" w:type="dxa"/>
          </w:tcPr>
          <w:p w:rsidR="00E01DC5" w:rsidRDefault="0022105F">
            <w:pPr>
              <w:pStyle w:val="TableParagraph"/>
              <w:spacing w:before="0" w:line="266" w:lineRule="exact"/>
              <w:ind w:left="388" w:right="25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E01DC5" w:rsidRDefault="0022105F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E01DC5" w:rsidRDefault="0022105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E01DC5" w:rsidRDefault="0022105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27.02</w:t>
            </w:r>
          </w:p>
        </w:tc>
      </w:tr>
      <w:tr w:rsidR="00E01DC5">
        <w:trPr>
          <w:trHeight w:val="505"/>
        </w:trPr>
        <w:tc>
          <w:tcPr>
            <w:tcW w:w="3771" w:type="dxa"/>
          </w:tcPr>
          <w:p w:rsidR="00E01DC5" w:rsidRDefault="0022105F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E01DC5" w:rsidRDefault="0022105F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E01DC5" w:rsidRDefault="0022105F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E01DC5" w:rsidRDefault="0022105F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12.67</w:t>
            </w:r>
          </w:p>
        </w:tc>
      </w:tr>
    </w:tbl>
    <w:p w:rsidR="00E01DC5" w:rsidRDefault="00E01DC5">
      <w:pPr>
        <w:pStyle w:val="Zkladntext"/>
        <w:spacing w:before="2"/>
        <w:rPr>
          <w:sz w:val="38"/>
        </w:rPr>
      </w:pP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5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746"/>
        </w:tabs>
        <w:spacing w:before="119" w:line="276" w:lineRule="auto"/>
        <w:ind w:right="132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</w:t>
      </w:r>
      <w:r>
        <w:rPr>
          <w:sz w:val="20"/>
        </w:rPr>
        <w:t>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</w:p>
    <w:p w:rsidR="00E01DC5" w:rsidRDefault="00E01DC5">
      <w:pPr>
        <w:spacing w:line="276" w:lineRule="auto"/>
        <w:jc w:val="both"/>
        <w:rPr>
          <w:sz w:val="20"/>
        </w:rPr>
        <w:sectPr w:rsidR="00E01DC5">
          <w:pgSz w:w="12240" w:h="15840"/>
          <w:pgMar w:top="2040" w:right="1000" w:bottom="960" w:left="1600" w:header="708" w:footer="771" w:gutter="0"/>
          <w:cols w:space="708"/>
        </w:sectPr>
      </w:pPr>
    </w:p>
    <w:p w:rsidR="00E01DC5" w:rsidRDefault="00E01DC5">
      <w:pPr>
        <w:pStyle w:val="Zkladntext"/>
        <w:spacing w:before="9"/>
        <w:rPr>
          <w:sz w:val="9"/>
        </w:rPr>
      </w:pPr>
    </w:p>
    <w:p w:rsidR="00E01DC5" w:rsidRDefault="0022105F">
      <w:pPr>
        <w:pStyle w:val="Zkladntext"/>
        <w:spacing w:before="100" w:line="276" w:lineRule="auto"/>
        <w:ind w:left="745" w:right="129"/>
        <w:jc w:val="both"/>
      </w:pPr>
      <w:r>
        <w:t>díla,</w:t>
      </w:r>
      <w:r>
        <w:rPr>
          <w:spacing w:val="1"/>
        </w:rPr>
        <w:t xml:space="preserve"> </w:t>
      </w:r>
      <w:r>
        <w:t>případně</w:t>
      </w:r>
      <w:r>
        <w:rPr>
          <w:spacing w:val="1"/>
        </w:rPr>
        <w:t xml:space="preserve"> </w:t>
      </w:r>
      <w:r>
        <w:t>jiný</w:t>
      </w:r>
      <w:r>
        <w:rPr>
          <w:spacing w:val="1"/>
        </w:rPr>
        <w:t xml:space="preserve"> </w:t>
      </w:r>
      <w:r>
        <w:t>termín</w:t>
      </w:r>
      <w:r>
        <w:rPr>
          <w:spacing w:val="1"/>
        </w:rPr>
        <w:t xml:space="preserve"> </w:t>
      </w:r>
      <w:r>
        <w:t>dle</w:t>
      </w:r>
      <w:r>
        <w:rPr>
          <w:spacing w:val="1"/>
        </w:rPr>
        <w:t xml:space="preserve"> </w:t>
      </w:r>
      <w:r>
        <w:t>charakteru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(v</w:t>
      </w:r>
      <w:r>
        <w:rPr>
          <w:spacing w:val="1"/>
        </w:rPr>
        <w:t xml:space="preserve"> </w:t>
      </w:r>
      <w:r>
        <w:t>případech,</w:t>
      </w:r>
      <w:r>
        <w:rPr>
          <w:spacing w:val="1"/>
        </w:rPr>
        <w:t xml:space="preserve"> </w:t>
      </w:r>
      <w:r>
        <w:t>kde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realizaci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nevyžaduje stavební povolení). Bude-li vydán jak Kolaudační</w:t>
      </w:r>
      <w:r>
        <w:rPr>
          <w:spacing w:val="1"/>
        </w:rPr>
        <w:t xml:space="preserve"> </w:t>
      </w:r>
      <w:r>
        <w:t>souhlas, tak oznámení o</w:t>
      </w:r>
      <w:r>
        <w:rPr>
          <w:spacing w:val="1"/>
        </w:rPr>
        <w:t xml:space="preserve"> </w:t>
      </w:r>
      <w:r>
        <w:t>užívání,</w:t>
      </w:r>
      <w:r>
        <w:rPr>
          <w:spacing w:val="1"/>
        </w:rPr>
        <w:t xml:space="preserve"> </w:t>
      </w:r>
      <w:r>
        <w:t>považuje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termín</w:t>
      </w:r>
      <w:r>
        <w:rPr>
          <w:spacing w:val="-1"/>
        </w:rPr>
        <w:t xml:space="preserve"> </w:t>
      </w:r>
      <w:r>
        <w:t>ukončení</w:t>
      </w:r>
      <w:r>
        <w:rPr>
          <w:spacing w:val="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datum</w:t>
      </w:r>
      <w:r>
        <w:rPr>
          <w:spacing w:val="-2"/>
        </w:rPr>
        <w:t xml:space="preserve"> </w:t>
      </w:r>
      <w:r>
        <w:t>dokumentu</w:t>
      </w:r>
      <w:r>
        <w:rPr>
          <w:spacing w:val="-1"/>
        </w:rPr>
        <w:t xml:space="preserve"> </w:t>
      </w:r>
      <w:r>
        <w:t>vydaného</w:t>
      </w:r>
      <w:r>
        <w:rPr>
          <w:spacing w:val="1"/>
        </w:rPr>
        <w:t xml:space="preserve"> </w:t>
      </w:r>
      <w:r>
        <w:t>později,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746"/>
        </w:tabs>
        <w:ind w:right="133"/>
        <w:jc w:val="both"/>
        <w:rPr>
          <w:sz w:val="20"/>
        </w:rPr>
      </w:pPr>
      <w:r>
        <w:rPr>
          <w:sz w:val="20"/>
        </w:rPr>
        <w:t>předloží Fondu současně s žádostí o platbu podklady k ZVA podle čl. 14.4 Výzvy, a to nejpozději do</w:t>
      </w:r>
      <w:r>
        <w:rPr>
          <w:spacing w:val="-52"/>
          <w:sz w:val="20"/>
        </w:rPr>
        <w:t xml:space="preserve"> </w:t>
      </w:r>
      <w:r>
        <w:rPr>
          <w:sz w:val="20"/>
        </w:rPr>
        <w:t>3 měsíců, počítáno od celého kalendářního měsíce, následujícího po dni, kdy tato Smlouva nabude</w:t>
      </w:r>
      <w:r>
        <w:rPr>
          <w:spacing w:val="1"/>
          <w:sz w:val="20"/>
        </w:rPr>
        <w:t xml:space="preserve"> </w:t>
      </w:r>
      <w:r>
        <w:rPr>
          <w:sz w:val="20"/>
        </w:rPr>
        <w:t>účinnosti,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746"/>
        </w:tabs>
        <w:ind w:right="133"/>
        <w:jc w:val="both"/>
        <w:rPr>
          <w:sz w:val="20"/>
        </w:rPr>
      </w:pPr>
      <w:r>
        <w:rPr>
          <w:sz w:val="20"/>
        </w:rPr>
        <w:t>nejpozději</w:t>
      </w:r>
      <w:r>
        <w:rPr>
          <w:sz w:val="20"/>
        </w:rPr>
        <w:t xml:space="preserve">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věci pořizované (či rekonstruované, upravené, nebo jinak výrazně zhodnocené) s </w:t>
      </w:r>
      <w:r>
        <w:rPr>
          <w:sz w:val="20"/>
        </w:rPr>
        <w:t>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</w:t>
      </w:r>
      <w:r>
        <w:rPr>
          <w:sz w:val="20"/>
        </w:rPr>
        <w:t>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předchozího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souhlasu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Fondu,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základě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písemné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žádosti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2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-12"/>
          <w:sz w:val="20"/>
        </w:rPr>
        <w:t xml:space="preserve"> </w:t>
      </w:r>
      <w:r>
        <w:rPr>
          <w:sz w:val="20"/>
        </w:rPr>
        <w:t>zaslané</w:t>
      </w:r>
      <w:r>
        <w:rPr>
          <w:spacing w:val="-12"/>
          <w:sz w:val="20"/>
        </w:rPr>
        <w:t xml:space="preserve"> </w:t>
      </w:r>
      <w:r>
        <w:rPr>
          <w:sz w:val="20"/>
        </w:rPr>
        <w:t>Fondu,</w:t>
      </w:r>
      <w:r>
        <w:rPr>
          <w:spacing w:val="-12"/>
          <w:sz w:val="20"/>
        </w:rPr>
        <w:t xml:space="preserve"> </w:t>
      </w:r>
      <w:r>
        <w:rPr>
          <w:sz w:val="20"/>
        </w:rPr>
        <w:t>který</w:t>
      </w:r>
      <w:r>
        <w:rPr>
          <w:spacing w:val="-52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5"/>
          <w:sz w:val="20"/>
        </w:rPr>
        <w:t xml:space="preserve"> </w:t>
      </w:r>
      <w:r>
        <w:rPr>
          <w:sz w:val="20"/>
        </w:rPr>
        <w:t>nejméně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4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doložení oslovení s</w:t>
      </w:r>
      <w:r>
        <w:rPr>
          <w:sz w:val="20"/>
        </w:rPr>
        <w:t>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E01DC5" w:rsidRDefault="0022105F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</w:t>
      </w:r>
      <w:r>
        <w:rPr>
          <w:spacing w:val="4"/>
        </w:rPr>
        <w:t xml:space="preserve"> </w:t>
      </w:r>
      <w:r>
        <w:t>stavu,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746"/>
        </w:tabs>
        <w:spacing w:before="106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746"/>
        </w:tabs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 odděleně identi</w:t>
      </w:r>
      <w:r>
        <w:rPr>
          <w:sz w:val="20"/>
        </w:rPr>
        <w:t>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74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E01DC5" w:rsidRDefault="00E01DC5">
      <w:pPr>
        <w:jc w:val="both"/>
        <w:rPr>
          <w:sz w:val="20"/>
        </w:rPr>
        <w:sectPr w:rsidR="00E01DC5">
          <w:pgSz w:w="12240" w:h="15840"/>
          <w:pgMar w:top="2040" w:right="1000" w:bottom="960" w:left="1600" w:header="708" w:footer="771" w:gutter="0"/>
          <w:cols w:space="708"/>
        </w:sectPr>
      </w:pPr>
    </w:p>
    <w:p w:rsidR="00E01DC5" w:rsidRDefault="00E01DC5">
      <w:pPr>
        <w:pStyle w:val="Zkladntext"/>
        <w:spacing w:before="12"/>
        <w:rPr>
          <w:sz w:val="9"/>
        </w:rPr>
      </w:pPr>
    </w:p>
    <w:p w:rsidR="00E01DC5" w:rsidRDefault="0022105F">
      <w:pPr>
        <w:pStyle w:val="Odstavecseseznamem"/>
        <w:numPr>
          <w:ilvl w:val="0"/>
          <w:numId w:val="5"/>
        </w:numPr>
        <w:tabs>
          <w:tab w:val="left" w:pos="325"/>
        </w:tabs>
        <w:spacing w:before="9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right="139" w:hanging="284"/>
        <w:jc w:val="both"/>
        <w:rPr>
          <w:sz w:val="20"/>
        </w:rPr>
      </w:pPr>
      <w:r>
        <w:rPr>
          <w:sz w:val="20"/>
        </w:rPr>
        <w:t>vrátit poskytnuté finanční prostředky, p</w:t>
      </w:r>
      <w:r>
        <w:rPr>
          <w:sz w:val="20"/>
        </w:rPr>
        <w:t>opřípadě jejich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1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9"/>
          <w:sz w:val="20"/>
        </w:rPr>
        <w:t xml:space="preserve"> </w:t>
      </w:r>
      <w:r>
        <w:rPr>
          <w:sz w:val="20"/>
        </w:rPr>
        <w:t>nárok</w:t>
      </w:r>
      <w:r>
        <w:rPr>
          <w:spacing w:val="-12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1"/>
          <w:sz w:val="20"/>
        </w:rPr>
        <w:t xml:space="preserve"> </w:t>
      </w:r>
      <w:r>
        <w:rPr>
          <w:sz w:val="20"/>
        </w:rPr>
        <w:t>odpočet,</w:t>
      </w:r>
      <w:r>
        <w:rPr>
          <w:spacing w:val="-10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0"/>
          <w:sz w:val="20"/>
        </w:rPr>
        <w:t xml:space="preserve"> </w:t>
      </w:r>
      <w:r>
        <w:rPr>
          <w:sz w:val="20"/>
        </w:rPr>
        <w:t>ohledu</w:t>
      </w:r>
      <w:r>
        <w:rPr>
          <w:spacing w:val="-53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669"/>
        </w:tabs>
        <w:spacing w:before="123" w:line="237" w:lineRule="auto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</w:t>
      </w:r>
      <w:r>
        <w:rPr>
          <w:spacing w:val="8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669"/>
        </w:tabs>
        <w:spacing w:before="123"/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5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</w:t>
      </w:r>
      <w:r>
        <w:rPr>
          <w:sz w:val="20"/>
        </w:rPr>
        <w:t>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669"/>
        </w:tabs>
        <w:spacing w:before="118"/>
        <w:ind w:left="668" w:right="13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53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669"/>
        </w:tabs>
        <w:spacing w:before="120"/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z w:val="20"/>
        </w:rPr>
        <w:t>mi</w:t>
      </w:r>
      <w:r>
        <w:rPr>
          <w:spacing w:val="-4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E01DC5" w:rsidRDefault="0022105F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finanční 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prohlašují určité kategorie </w:t>
      </w:r>
      <w:r>
        <w:rPr>
          <w:w w:val="95"/>
          <w:sz w:val="20"/>
        </w:rPr>
        <w:t>podpory za slučitelné s vnitřním trhem, pokud se prokáže, že byly porušeny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E01DC5" w:rsidRDefault="00E01DC5">
      <w:pPr>
        <w:pStyle w:val="Zkladntext"/>
        <w:spacing w:before="13"/>
        <w:rPr>
          <w:sz w:val="19"/>
        </w:rPr>
      </w:pPr>
    </w:p>
    <w:p w:rsidR="00E01DC5" w:rsidRDefault="0022105F">
      <w:pPr>
        <w:pStyle w:val="Nadpis1"/>
      </w:pPr>
      <w:r>
        <w:t>V.</w:t>
      </w:r>
    </w:p>
    <w:p w:rsidR="00E01DC5" w:rsidRDefault="0022105F">
      <w:pPr>
        <w:pStyle w:val="Nadpis2"/>
        <w:ind w:left="1017" w:right="104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01DC5" w:rsidRDefault="00E01DC5">
      <w:pPr>
        <w:pStyle w:val="Zkladntext"/>
        <w:spacing w:before="3"/>
        <w:rPr>
          <w:b/>
        </w:rPr>
      </w:pPr>
    </w:p>
    <w:p w:rsidR="00E01DC5" w:rsidRDefault="0022105F">
      <w:pPr>
        <w:pStyle w:val="Odstavecseseznamem"/>
        <w:numPr>
          <w:ilvl w:val="0"/>
          <w:numId w:val="4"/>
        </w:numPr>
        <w:tabs>
          <w:tab w:val="left" w:pos="386"/>
        </w:tabs>
        <w:spacing w:before="0" w:line="237" w:lineRule="auto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</w:p>
    <w:p w:rsidR="00E01DC5" w:rsidRDefault="0022105F">
      <w:pPr>
        <w:pStyle w:val="Zkladntext"/>
        <w:spacing w:before="2"/>
        <w:ind w:left="385"/>
        <w:jc w:val="both"/>
      </w:pP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4"/>
        </w:rPr>
        <w:t xml:space="preserve"> </w:t>
      </w:r>
      <w:r>
        <w:t>některých</w:t>
      </w:r>
      <w:r>
        <w:rPr>
          <w:spacing w:val="-2"/>
        </w:rPr>
        <w:t xml:space="preserve"> </w:t>
      </w:r>
      <w:r>
        <w:t>souvisejících</w:t>
      </w:r>
      <w:r>
        <w:rPr>
          <w:spacing w:val="-3"/>
        </w:rPr>
        <w:t xml:space="preserve"> </w:t>
      </w:r>
      <w:r>
        <w:t>zákonů</w:t>
      </w:r>
      <w:r>
        <w:rPr>
          <w:spacing w:val="-3"/>
        </w:rPr>
        <w:t xml:space="preserve"> </w:t>
      </w:r>
      <w:r>
        <w:t>(rozpočtová</w:t>
      </w:r>
      <w:r>
        <w:rPr>
          <w:spacing w:val="-3"/>
        </w:rPr>
        <w:t xml:space="preserve"> </w:t>
      </w:r>
      <w:r>
        <w:t>pravidla),</w:t>
      </w:r>
      <w:r>
        <w:rPr>
          <w:spacing w:val="-4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4"/>
        </w:rPr>
        <w:t xml:space="preserve"> </w:t>
      </w:r>
      <w:r>
        <w:t>znění.</w:t>
      </w:r>
    </w:p>
    <w:p w:rsidR="00E01DC5" w:rsidRDefault="0022105F">
      <w:pPr>
        <w:pStyle w:val="Odstavecseseznamem"/>
        <w:numPr>
          <w:ilvl w:val="0"/>
          <w:numId w:val="4"/>
        </w:numPr>
        <w:tabs>
          <w:tab w:val="left" w:pos="386"/>
        </w:tabs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E01DC5" w:rsidRDefault="0022105F">
      <w:pPr>
        <w:pStyle w:val="Odstavecseseznamem"/>
        <w:numPr>
          <w:ilvl w:val="0"/>
          <w:numId w:val="4"/>
        </w:numPr>
        <w:tabs>
          <w:tab w:val="left" w:pos="386"/>
        </w:tabs>
        <w:spacing w:before="120"/>
        <w:ind w:right="136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 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E01DC5" w:rsidRDefault="0022105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9"/>
        <w:ind w:hanging="36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 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E01DC5" w:rsidRDefault="00E01DC5">
      <w:pPr>
        <w:jc w:val="both"/>
        <w:rPr>
          <w:sz w:val="20"/>
        </w:rPr>
        <w:sectPr w:rsidR="00E01DC5">
          <w:pgSz w:w="12240" w:h="15840"/>
          <w:pgMar w:top="2040" w:right="1000" w:bottom="960" w:left="1600" w:header="708" w:footer="771" w:gutter="0"/>
          <w:cols w:space="708"/>
        </w:sectPr>
      </w:pPr>
    </w:p>
    <w:p w:rsidR="00E01DC5" w:rsidRDefault="00E01DC5">
      <w:pPr>
        <w:pStyle w:val="Zkladntext"/>
        <w:spacing w:before="12"/>
        <w:rPr>
          <w:sz w:val="9"/>
        </w:rPr>
      </w:pPr>
    </w:p>
    <w:p w:rsidR="00E01DC5" w:rsidRDefault="0022105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9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E01DC5" w:rsidRDefault="0022105F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E01DC5" w:rsidRDefault="0022105F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E01DC5" w:rsidRDefault="0022105F">
      <w:pPr>
        <w:pStyle w:val="Zkladntext"/>
        <w:spacing w:before="121"/>
        <w:ind w:left="385" w:right="131"/>
        <w:jc w:val="both"/>
      </w:pPr>
      <w:r>
        <w:t>V případě nesplnění nebo částečného naplnění více než jednoho ze závazných indikátorů akce podl</w:t>
      </w:r>
      <w:r>
        <w:t>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E01DC5" w:rsidRDefault="0022105F">
      <w:pPr>
        <w:pStyle w:val="Odstavecseseznamem"/>
        <w:numPr>
          <w:ilvl w:val="0"/>
          <w:numId w:val="4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42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39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01DC5" w:rsidRDefault="0022105F">
      <w:pPr>
        <w:pStyle w:val="Odstavecseseznamem"/>
        <w:numPr>
          <w:ilvl w:val="0"/>
          <w:numId w:val="4"/>
        </w:numPr>
        <w:tabs>
          <w:tab w:val="left" w:pos="38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44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01DC5" w:rsidRDefault="0022105F">
      <w:pPr>
        <w:pStyle w:val="Odstavecseseznamem"/>
        <w:numPr>
          <w:ilvl w:val="0"/>
          <w:numId w:val="4"/>
        </w:numPr>
        <w:tabs>
          <w:tab w:val="left" w:pos="38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E01DC5" w:rsidRDefault="0022105F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E01DC5" w:rsidRDefault="0022105F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 xml:space="preserve">Porušení ostatních povinností podle této Smlouvy bude postiženo odvodem ve výši 0,1 % z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E01DC5" w:rsidRDefault="00E01DC5">
      <w:pPr>
        <w:pStyle w:val="Zkladntext"/>
      </w:pPr>
    </w:p>
    <w:p w:rsidR="00E01DC5" w:rsidRDefault="0022105F">
      <w:pPr>
        <w:pStyle w:val="Nadpis1"/>
        <w:spacing w:before="1" w:line="265" w:lineRule="exact"/>
        <w:ind w:left="3140"/>
      </w:pPr>
      <w:r>
        <w:t>VI.</w:t>
      </w:r>
    </w:p>
    <w:p w:rsidR="00E01DC5" w:rsidRDefault="0022105F">
      <w:pPr>
        <w:pStyle w:val="Nadpis2"/>
        <w:spacing w:line="265" w:lineRule="exact"/>
        <w:ind w:left="3137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01DC5" w:rsidRDefault="00E01DC5">
      <w:pPr>
        <w:pStyle w:val="Zkladntext"/>
        <w:spacing w:before="1"/>
        <w:rPr>
          <w:b/>
        </w:rPr>
      </w:pPr>
    </w:p>
    <w:p w:rsidR="00E01DC5" w:rsidRDefault="0022105F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01DC5" w:rsidRDefault="0022105F">
      <w:pPr>
        <w:pStyle w:val="Odstavecseseznamem"/>
        <w:numPr>
          <w:ilvl w:val="0"/>
          <w:numId w:val="3"/>
        </w:numPr>
        <w:tabs>
          <w:tab w:val="left" w:pos="386"/>
        </w:tabs>
        <w:spacing w:before="124" w:line="237" w:lineRule="auto"/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 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týkat.</w:t>
      </w:r>
    </w:p>
    <w:p w:rsidR="00E01DC5" w:rsidRDefault="0022105F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</w:t>
      </w:r>
      <w:r>
        <w:rPr>
          <w:sz w:val="20"/>
        </w:rPr>
        <w:t>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01DC5" w:rsidRDefault="0022105F">
      <w:pPr>
        <w:pStyle w:val="Odstavecseseznamem"/>
        <w:numPr>
          <w:ilvl w:val="0"/>
          <w:numId w:val="3"/>
        </w:numPr>
        <w:tabs>
          <w:tab w:val="left" w:pos="386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</w:t>
      </w:r>
      <w:r>
        <w:rPr>
          <w:sz w:val="20"/>
        </w:rPr>
        <w:t>ou.</w:t>
      </w:r>
    </w:p>
    <w:p w:rsidR="00E01DC5" w:rsidRDefault="0022105F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9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3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E01DC5" w:rsidRDefault="0022105F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01DC5" w:rsidRDefault="0022105F">
      <w:pPr>
        <w:pStyle w:val="Odstavecseseznamem"/>
        <w:numPr>
          <w:ilvl w:val="0"/>
          <w:numId w:val="3"/>
        </w:numPr>
        <w:tabs>
          <w:tab w:val="left" w:pos="386"/>
        </w:tabs>
        <w:ind w:right="139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E01DC5" w:rsidRDefault="00E01DC5">
      <w:pPr>
        <w:jc w:val="both"/>
        <w:rPr>
          <w:sz w:val="20"/>
        </w:rPr>
        <w:sectPr w:rsidR="00E01DC5">
          <w:pgSz w:w="12240" w:h="15840"/>
          <w:pgMar w:top="2040" w:right="1000" w:bottom="960" w:left="1600" w:header="708" w:footer="771" w:gutter="0"/>
          <w:cols w:space="708"/>
        </w:sectPr>
      </w:pPr>
    </w:p>
    <w:p w:rsidR="00E01DC5" w:rsidRDefault="00E01DC5">
      <w:pPr>
        <w:pStyle w:val="Zkladntext"/>
        <w:spacing w:before="12"/>
        <w:rPr>
          <w:sz w:val="9"/>
        </w:rPr>
      </w:pPr>
    </w:p>
    <w:p w:rsidR="00E01DC5" w:rsidRDefault="0022105F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9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E01DC5" w:rsidRDefault="0022105F">
      <w:pPr>
        <w:pStyle w:val="Zkladntext"/>
        <w:ind w:left="385" w:right="141"/>
        <w:jc w:val="both"/>
      </w:pPr>
      <w:r>
        <w:t>o registru smluv (zákon o registru smluv), ve znění pozdějších předpisů, pokud zveřejnění této Smlouvy</w:t>
      </w:r>
      <w:r>
        <w:rPr>
          <w:spacing w:val="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E01DC5" w:rsidRDefault="0022105F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</w:t>
      </w:r>
      <w:r>
        <w:rPr>
          <w:sz w:val="20"/>
        </w:rPr>
        <w:t>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3"/>
          <w:sz w:val="20"/>
        </w:rPr>
        <w:t xml:space="preserve"> </w:t>
      </w:r>
      <w:r>
        <w:rPr>
          <w:sz w:val="20"/>
        </w:rPr>
        <w:t>exemplář.</w:t>
      </w:r>
    </w:p>
    <w:p w:rsidR="00E01DC5" w:rsidRDefault="00E01DC5">
      <w:pPr>
        <w:pStyle w:val="Zkladntext"/>
        <w:rPr>
          <w:sz w:val="26"/>
        </w:rPr>
      </w:pPr>
    </w:p>
    <w:p w:rsidR="00E01DC5" w:rsidRDefault="00E01DC5">
      <w:pPr>
        <w:pStyle w:val="Zkladntext"/>
        <w:spacing w:before="1"/>
        <w:rPr>
          <w:sz w:val="23"/>
        </w:rPr>
      </w:pPr>
    </w:p>
    <w:p w:rsidR="00E01DC5" w:rsidRDefault="0022105F">
      <w:pPr>
        <w:pStyle w:val="Zkladntext"/>
        <w:ind w:left="102"/>
      </w:pPr>
      <w:r>
        <w:t>V:</w:t>
      </w:r>
    </w:p>
    <w:p w:rsidR="00E01DC5" w:rsidRDefault="00E01DC5">
      <w:pPr>
        <w:pStyle w:val="Zkladntext"/>
      </w:pPr>
    </w:p>
    <w:p w:rsidR="00E01DC5" w:rsidRDefault="0022105F">
      <w:pPr>
        <w:pStyle w:val="Zkladntext"/>
        <w:tabs>
          <w:tab w:val="left" w:pos="6582"/>
        </w:tabs>
        <w:spacing w:before="1"/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E01DC5" w:rsidRDefault="00E01DC5">
      <w:pPr>
        <w:pStyle w:val="Zkladntext"/>
        <w:rPr>
          <w:sz w:val="26"/>
        </w:rPr>
      </w:pPr>
    </w:p>
    <w:p w:rsidR="00E01DC5" w:rsidRDefault="00E01DC5">
      <w:pPr>
        <w:pStyle w:val="Zkladntext"/>
        <w:rPr>
          <w:sz w:val="26"/>
        </w:rPr>
      </w:pPr>
    </w:p>
    <w:p w:rsidR="00E01DC5" w:rsidRDefault="00E01DC5">
      <w:pPr>
        <w:pStyle w:val="Zkladntext"/>
        <w:spacing w:before="12"/>
        <w:rPr>
          <w:sz w:val="27"/>
        </w:rPr>
      </w:pPr>
    </w:p>
    <w:p w:rsidR="00E01DC5" w:rsidRDefault="0022105F">
      <w:pPr>
        <w:tabs>
          <w:tab w:val="left" w:pos="6582"/>
        </w:tabs>
        <w:spacing w:before="1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E01DC5" w:rsidRDefault="0022105F">
      <w:pPr>
        <w:pStyle w:val="Zkladntext"/>
        <w:tabs>
          <w:tab w:val="left" w:pos="6582"/>
        </w:tabs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E01DC5" w:rsidRDefault="00E01DC5">
      <w:pPr>
        <w:pStyle w:val="Zkladntext"/>
        <w:spacing w:before="12"/>
        <w:rPr>
          <w:sz w:val="28"/>
        </w:rPr>
      </w:pPr>
    </w:p>
    <w:p w:rsidR="00E01DC5" w:rsidRDefault="0022105F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</w:t>
      </w:r>
      <w:r>
        <w:t>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01DC5" w:rsidRDefault="00E01DC5">
      <w:pPr>
        <w:sectPr w:rsidR="00E01DC5">
          <w:pgSz w:w="12240" w:h="15840"/>
          <w:pgMar w:top="2040" w:right="1000" w:bottom="960" w:left="1600" w:header="708" w:footer="771" w:gutter="0"/>
          <w:cols w:space="708"/>
        </w:sectPr>
      </w:pPr>
    </w:p>
    <w:p w:rsidR="00E01DC5" w:rsidRDefault="00E01DC5">
      <w:pPr>
        <w:pStyle w:val="Zkladntext"/>
        <w:spacing w:before="12"/>
        <w:rPr>
          <w:sz w:val="9"/>
        </w:rPr>
      </w:pPr>
    </w:p>
    <w:p w:rsidR="00E01DC5" w:rsidRDefault="0022105F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E01DC5" w:rsidRDefault="00E01DC5">
      <w:pPr>
        <w:pStyle w:val="Zkladntext"/>
        <w:rPr>
          <w:i/>
          <w:sz w:val="26"/>
        </w:rPr>
      </w:pPr>
    </w:p>
    <w:p w:rsidR="00E01DC5" w:rsidRDefault="00E01DC5">
      <w:pPr>
        <w:pStyle w:val="Zkladntext"/>
        <w:spacing w:before="1"/>
        <w:rPr>
          <w:i/>
          <w:sz w:val="21"/>
        </w:rPr>
      </w:pPr>
    </w:p>
    <w:p w:rsidR="00E01DC5" w:rsidRDefault="0022105F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E01DC5" w:rsidRDefault="00E01DC5">
      <w:pPr>
        <w:pStyle w:val="Zkladntext"/>
        <w:spacing w:before="4"/>
        <w:rPr>
          <w:b/>
          <w:sz w:val="27"/>
        </w:rPr>
      </w:pPr>
    </w:p>
    <w:p w:rsidR="00E01DC5" w:rsidRDefault="0022105F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ustanovení</w:t>
      </w:r>
    </w:p>
    <w:p w:rsidR="00E01DC5" w:rsidRDefault="00E01DC5">
      <w:pPr>
        <w:pStyle w:val="Zkladntext"/>
        <w:spacing w:before="1"/>
        <w:rPr>
          <w:b/>
          <w:sz w:val="18"/>
        </w:rPr>
      </w:pPr>
    </w:p>
    <w:p w:rsidR="00E01DC5" w:rsidRDefault="0022105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0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2"/>
          <w:sz w:val="20"/>
        </w:rPr>
        <w:t xml:space="preserve"> </w:t>
      </w:r>
      <w:r>
        <w:rPr>
          <w:sz w:val="20"/>
        </w:rPr>
        <w:t>2 písm. g) Smlouvy, při zadávání zakázek/veřejných zakázek</w:t>
      </w:r>
      <w:r>
        <w:rPr>
          <w:sz w:val="20"/>
        </w:rPr>
        <w:t xml:space="preserve">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4"/>
          <w:sz w:val="20"/>
        </w:rPr>
        <w:t xml:space="preserve"> </w:t>
      </w:r>
      <w:r>
        <w:rPr>
          <w:sz w:val="20"/>
        </w:rPr>
        <w:t>SFŽP ČR“).</w:t>
      </w:r>
    </w:p>
    <w:p w:rsidR="00E01DC5" w:rsidRDefault="00E01DC5">
      <w:pPr>
        <w:pStyle w:val="Zkladntext"/>
        <w:spacing w:before="3"/>
      </w:pPr>
    </w:p>
    <w:p w:rsidR="00E01DC5" w:rsidRDefault="0022105F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7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9"/>
          <w:sz w:val="20"/>
        </w:rPr>
        <w:t xml:space="preserve"> </w:t>
      </w:r>
      <w:r>
        <w:rPr>
          <w:sz w:val="20"/>
        </w:rPr>
        <w:t>dopad,</w:t>
      </w:r>
      <w:r>
        <w:rPr>
          <w:spacing w:val="-8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E01DC5" w:rsidRDefault="00E01DC5">
      <w:pPr>
        <w:pStyle w:val="Zkladntext"/>
        <w:spacing w:before="1"/>
      </w:pPr>
    </w:p>
    <w:p w:rsidR="00E01DC5" w:rsidRDefault="0022105F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E01DC5" w:rsidRDefault="00E01DC5">
      <w:pPr>
        <w:pStyle w:val="Zkladntext"/>
        <w:spacing w:before="1"/>
      </w:pPr>
    </w:p>
    <w:p w:rsidR="00E01DC5" w:rsidRDefault="0022105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E01DC5" w:rsidRDefault="00E01DC5">
      <w:pPr>
        <w:pStyle w:val="Zkladntext"/>
        <w:spacing w:before="13"/>
        <w:rPr>
          <w:sz w:val="19"/>
        </w:rPr>
      </w:pPr>
    </w:p>
    <w:p w:rsidR="00E01DC5" w:rsidRDefault="0022105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 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E01DC5" w:rsidRDefault="00E01DC5">
      <w:pPr>
        <w:pStyle w:val="Zkladntext"/>
        <w:spacing w:before="1"/>
      </w:pPr>
    </w:p>
    <w:p w:rsidR="00E01DC5" w:rsidRDefault="0022105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</w:t>
      </w:r>
      <w:r>
        <w:rPr>
          <w:sz w:val="20"/>
        </w:rPr>
        <w:t xml:space="preserve">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E01DC5" w:rsidRDefault="00E01DC5">
      <w:pPr>
        <w:pStyle w:val="Zkladntext"/>
      </w:pPr>
    </w:p>
    <w:p w:rsidR="00E01DC5" w:rsidRDefault="0022105F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E01DC5" w:rsidRDefault="00E01DC5">
      <w:pPr>
        <w:jc w:val="both"/>
        <w:rPr>
          <w:sz w:val="20"/>
        </w:rPr>
        <w:sectPr w:rsidR="00E01DC5">
          <w:pgSz w:w="12240" w:h="15840"/>
          <w:pgMar w:top="2040" w:right="1000" w:bottom="960" w:left="1600" w:header="708" w:footer="771" w:gutter="0"/>
          <w:cols w:space="708"/>
        </w:sectPr>
      </w:pPr>
    </w:p>
    <w:p w:rsidR="00E01DC5" w:rsidRDefault="00E01DC5">
      <w:pPr>
        <w:pStyle w:val="Zkladntext"/>
        <w:spacing w:before="12"/>
        <w:rPr>
          <w:sz w:val="29"/>
        </w:rPr>
      </w:pPr>
    </w:p>
    <w:p w:rsidR="00E01DC5" w:rsidRDefault="0022105F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E01DC5" w:rsidRDefault="00E01DC5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1DC5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1DC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E01DC5" w:rsidRDefault="0022105F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E01DC5" w:rsidRDefault="0022105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1DC5" w:rsidRDefault="0022105F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01DC5" w:rsidRDefault="0022105F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01DC5" w:rsidRDefault="0022105F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01DC5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01DC5" w:rsidRDefault="0022105F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01DC5" w:rsidRDefault="0022105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01DC5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E01DC5" w:rsidRDefault="0022105F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E01DC5" w:rsidRDefault="0022105F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E01DC5" w:rsidRDefault="0022105F">
            <w:pPr>
              <w:pStyle w:val="TableParagraph"/>
              <w:spacing w:before="1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E01DC5" w:rsidRDefault="0022105F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E01DC5" w:rsidRDefault="0022105F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E01DC5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01DC5" w:rsidRDefault="0022105F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01DC5" w:rsidRDefault="0022105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01DC5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E01DC5" w:rsidRDefault="0022105F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E01DC5" w:rsidRDefault="0022105F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E01DC5" w:rsidRDefault="0022105F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1DC5" w:rsidRDefault="0022105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E01DC5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01DC5" w:rsidRDefault="0022105F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01DC5" w:rsidRDefault="0022105F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1DC5" w:rsidRDefault="0022105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01DC5" w:rsidRDefault="0022105F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E01DC5" w:rsidRDefault="00E01DC5">
      <w:pPr>
        <w:rPr>
          <w:sz w:val="20"/>
        </w:rPr>
        <w:sectPr w:rsidR="00E01DC5">
          <w:pgSz w:w="12240" w:h="15840"/>
          <w:pgMar w:top="2040" w:right="1000" w:bottom="960" w:left="1600" w:header="708" w:footer="771" w:gutter="0"/>
          <w:cols w:space="708"/>
        </w:sectPr>
      </w:pPr>
    </w:p>
    <w:p w:rsidR="00E01DC5" w:rsidRDefault="00E01DC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1DC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1DC5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01DC5" w:rsidRDefault="00E01DC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01DC5" w:rsidRDefault="0022105F">
            <w:pPr>
              <w:pStyle w:val="TableParagraph"/>
              <w:spacing w:before="3" w:line="237" w:lineRule="auto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1DC5" w:rsidRDefault="0022105F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E01DC5" w:rsidRDefault="0022105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E01DC5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E01DC5" w:rsidRDefault="0022105F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1DC5" w:rsidRDefault="0022105F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01DC5" w:rsidRDefault="0022105F">
            <w:pPr>
              <w:pStyle w:val="TableParagraph"/>
              <w:spacing w:before="0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E01DC5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E01DC5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E01DC5" w:rsidRDefault="0022105F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1DC5" w:rsidRDefault="0022105F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E01DC5" w:rsidRDefault="0022105F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E01DC5" w:rsidRDefault="0022105F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01DC5" w:rsidRDefault="0022105F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</w:t>
            </w:r>
            <w:r>
              <w:rPr>
                <w:sz w:val="20"/>
              </w:rPr>
              <w:t>ek</w:t>
            </w:r>
          </w:p>
        </w:tc>
      </w:tr>
      <w:tr w:rsidR="00E01DC5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01DC5" w:rsidRDefault="0022105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01DC5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E01DC5" w:rsidRDefault="0022105F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E01DC5" w:rsidRDefault="0022105F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01DC5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E01DC5" w:rsidRDefault="00E01DC5">
      <w:pPr>
        <w:jc w:val="center"/>
        <w:rPr>
          <w:sz w:val="20"/>
        </w:rPr>
        <w:sectPr w:rsidR="00E01DC5">
          <w:pgSz w:w="12240" w:h="15840"/>
          <w:pgMar w:top="2040" w:right="1000" w:bottom="960" w:left="1600" w:header="708" w:footer="771" w:gutter="0"/>
          <w:cols w:space="708"/>
        </w:sectPr>
      </w:pPr>
    </w:p>
    <w:p w:rsidR="00E01DC5" w:rsidRDefault="00E01DC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1DC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1DC5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01DC5" w:rsidRDefault="00E01DC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01DC5" w:rsidRDefault="0022105F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1DC5" w:rsidRDefault="0022105F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01DC5" w:rsidRDefault="0022105F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E01DC5" w:rsidRDefault="0022105F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E01DC5" w:rsidRDefault="002210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E01DC5" w:rsidRDefault="0022105F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E01DC5" w:rsidRDefault="0022105F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1DC5" w:rsidRDefault="0022105F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E01DC5" w:rsidRDefault="0022105F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E01DC5" w:rsidRDefault="0022105F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E01DC5" w:rsidRDefault="0022105F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01DC5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E01DC5" w:rsidRDefault="0022105F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01DC5" w:rsidRDefault="0022105F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01DC5" w:rsidRDefault="0022105F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01DC5" w:rsidRDefault="0022105F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E01DC5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1DC5" w:rsidRDefault="0022105F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1DC5" w:rsidRDefault="0022105F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E01DC5" w:rsidRDefault="0022105F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E01DC5" w:rsidRDefault="0022105F">
            <w:pPr>
              <w:pStyle w:val="TableParagraph"/>
              <w:spacing w:before="0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E01DC5" w:rsidRDefault="0022105F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1DC5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E01DC5" w:rsidRDefault="0022105F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E01DC5" w:rsidRDefault="0022105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E01DC5" w:rsidRDefault="0022105F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E01DC5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01DC5" w:rsidRDefault="0022105F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01DC5" w:rsidRDefault="0022105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E01DC5" w:rsidRDefault="00E01DC5">
      <w:pPr>
        <w:rPr>
          <w:sz w:val="20"/>
        </w:rPr>
        <w:sectPr w:rsidR="00E01DC5">
          <w:pgSz w:w="12240" w:h="15840"/>
          <w:pgMar w:top="2040" w:right="1000" w:bottom="960" w:left="1600" w:header="708" w:footer="771" w:gutter="0"/>
          <w:cols w:space="708"/>
        </w:sectPr>
      </w:pPr>
    </w:p>
    <w:p w:rsidR="00E01DC5" w:rsidRDefault="00E01DC5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1DC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1DC5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E01DC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E01DC5" w:rsidRDefault="0022105F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E01DC5" w:rsidRDefault="0022105F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01DC5" w:rsidRDefault="0022105F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E01DC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1DC5" w:rsidRDefault="0022105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E01DC5" w:rsidRDefault="0022105F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E01DC5" w:rsidRDefault="0022105F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1DC5" w:rsidRDefault="0022105F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01DC5" w:rsidRDefault="0022105F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E01DC5" w:rsidRDefault="0022105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E01DC5" w:rsidRDefault="0022105F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E01DC5" w:rsidRDefault="002210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E01DC5" w:rsidRDefault="0022105F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E01DC5" w:rsidRDefault="0022105F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1DC5" w:rsidRDefault="0022105F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E01DC5" w:rsidRDefault="002210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01DC5" w:rsidRDefault="0022105F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E01DC5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E01DC5" w:rsidRDefault="0022105F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01DC5" w:rsidRDefault="0022105F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E01DC5" w:rsidRDefault="0022105F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E01DC5" w:rsidRDefault="0022105F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E01DC5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01DC5" w:rsidRDefault="0022105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01DC5" w:rsidRDefault="0022105F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1DC5" w:rsidRDefault="0022105F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E01DC5" w:rsidRDefault="0022105F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E01DC5" w:rsidRDefault="0022105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01DC5" w:rsidRDefault="0022105F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01DC5" w:rsidRDefault="0022105F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01DC5" w:rsidRDefault="0022105F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01DC5" w:rsidRDefault="0022105F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01DC5" w:rsidRDefault="0022105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01DC5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E01DC5" w:rsidRDefault="005670C0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A1F10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01DC5" w:rsidRDefault="00E01DC5">
      <w:pPr>
        <w:pStyle w:val="Zkladntext"/>
        <w:rPr>
          <w:b/>
        </w:rPr>
      </w:pPr>
    </w:p>
    <w:p w:rsidR="00E01DC5" w:rsidRDefault="00E01DC5">
      <w:pPr>
        <w:pStyle w:val="Zkladntext"/>
        <w:spacing w:before="3"/>
        <w:rPr>
          <w:b/>
          <w:sz w:val="14"/>
        </w:rPr>
      </w:pPr>
    </w:p>
    <w:p w:rsidR="00E01DC5" w:rsidRDefault="0022105F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E01DC5" w:rsidRDefault="00E01DC5">
      <w:pPr>
        <w:rPr>
          <w:sz w:val="16"/>
        </w:rPr>
        <w:sectPr w:rsidR="00E01DC5">
          <w:pgSz w:w="12240" w:h="15840"/>
          <w:pgMar w:top="2040" w:right="1000" w:bottom="960" w:left="1600" w:header="708" w:footer="771" w:gutter="0"/>
          <w:cols w:space="708"/>
        </w:sectPr>
      </w:pPr>
    </w:p>
    <w:p w:rsidR="00E01DC5" w:rsidRDefault="00E01DC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1DC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1DC5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E01DC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E01DC5" w:rsidRDefault="002210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E01DC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E01DC5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01DC5" w:rsidRDefault="0022105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01DC5" w:rsidRDefault="0022105F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1DC5" w:rsidRDefault="0022105F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E01DC5" w:rsidRDefault="0022105F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01DC5" w:rsidRDefault="0022105F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01DC5" w:rsidRDefault="0022105F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01DC5" w:rsidRDefault="0022105F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01DC5" w:rsidRDefault="0022105F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E01DC5" w:rsidRDefault="002210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E01DC5" w:rsidRDefault="0022105F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E01DC5" w:rsidRDefault="0022105F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E01DC5" w:rsidRDefault="0022105F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1DC5" w:rsidRDefault="0022105F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E01DC5" w:rsidRDefault="0022105F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E01DC5" w:rsidRDefault="0022105F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01DC5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E01DC5" w:rsidRDefault="0022105F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01DC5" w:rsidRDefault="0022105F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E01DC5" w:rsidRDefault="0022105F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E01DC5" w:rsidRDefault="0022105F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1DC5" w:rsidRDefault="0022105F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01DC5" w:rsidRDefault="0022105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01DC5" w:rsidRDefault="0022105F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01DC5" w:rsidRDefault="0022105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E01DC5" w:rsidRDefault="00E01DC5">
      <w:pPr>
        <w:rPr>
          <w:sz w:val="20"/>
        </w:rPr>
        <w:sectPr w:rsidR="00E01DC5">
          <w:pgSz w:w="12240" w:h="15840"/>
          <w:pgMar w:top="2040" w:right="1000" w:bottom="960" w:left="1600" w:header="708" w:footer="771" w:gutter="0"/>
          <w:cols w:space="708"/>
        </w:sectPr>
      </w:pPr>
    </w:p>
    <w:p w:rsidR="00E01DC5" w:rsidRDefault="00E01DC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1DC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1DC5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E01DC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E01DC5" w:rsidRDefault="0022105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01DC5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01DC5" w:rsidRDefault="0022105F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E01DC5" w:rsidRDefault="0022105F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01DC5" w:rsidRDefault="0022105F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01DC5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01DC5" w:rsidRDefault="0022105F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01DC5" w:rsidRDefault="0022105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E01DC5" w:rsidRDefault="0022105F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E01DC5" w:rsidRDefault="00E01DC5">
      <w:pPr>
        <w:rPr>
          <w:sz w:val="20"/>
        </w:rPr>
        <w:sectPr w:rsidR="00E01DC5">
          <w:pgSz w:w="12240" w:h="15840"/>
          <w:pgMar w:top="2040" w:right="1000" w:bottom="960" w:left="1600" w:header="708" w:footer="771" w:gutter="0"/>
          <w:cols w:space="708"/>
        </w:sectPr>
      </w:pPr>
    </w:p>
    <w:p w:rsidR="00E01DC5" w:rsidRDefault="00E01DC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1DC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1DC5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E01DC5" w:rsidRDefault="0022105F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01DC5" w:rsidRDefault="0022105F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01DC5" w:rsidRDefault="0022105F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01DC5" w:rsidRDefault="0022105F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E01DC5" w:rsidRDefault="0022105F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01DC5" w:rsidRDefault="0022105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E01DC5" w:rsidRDefault="0022105F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01DC5" w:rsidRDefault="0022105F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1DC5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E01DC5" w:rsidRDefault="0022105F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E01DC5" w:rsidRDefault="0022105F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01DC5" w:rsidRDefault="0022105F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E01DC5" w:rsidRDefault="002210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01DC5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01DC5" w:rsidRDefault="0022105F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E01DC5" w:rsidRDefault="0022105F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E01DC5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E01DC5" w:rsidRDefault="0022105F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E01DC5" w:rsidRDefault="0022105F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1DC5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E01DC5" w:rsidRDefault="00E01DC5">
      <w:pPr>
        <w:rPr>
          <w:sz w:val="20"/>
        </w:rPr>
        <w:sectPr w:rsidR="00E01DC5">
          <w:pgSz w:w="12240" w:h="15840"/>
          <w:pgMar w:top="2040" w:right="1000" w:bottom="960" w:left="1600" w:header="708" w:footer="771" w:gutter="0"/>
          <w:cols w:space="708"/>
        </w:sectPr>
      </w:pPr>
    </w:p>
    <w:p w:rsidR="00E01DC5" w:rsidRDefault="00E01DC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1DC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1DC5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E01DC5" w:rsidRDefault="0022105F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01DC5" w:rsidRDefault="0022105F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E01DC5" w:rsidRDefault="0022105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E01DC5" w:rsidRDefault="0022105F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01DC5" w:rsidRDefault="0022105F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01DC5" w:rsidRDefault="0022105F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E01DC5" w:rsidRDefault="0022105F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1DC5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E01DC5" w:rsidRDefault="0022105F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E01DC5" w:rsidRDefault="002210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E01DC5" w:rsidRDefault="0022105F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E01DC5" w:rsidRDefault="0022105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E01DC5" w:rsidRDefault="0022105F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1DC5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E01DC5" w:rsidRDefault="0022105F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01DC5" w:rsidRDefault="0022105F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01DC5" w:rsidRDefault="0022105F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01DC5" w:rsidRDefault="00E01DC5">
      <w:pPr>
        <w:rPr>
          <w:sz w:val="20"/>
        </w:rPr>
        <w:sectPr w:rsidR="00E01DC5">
          <w:pgSz w:w="12240" w:h="15840"/>
          <w:pgMar w:top="2040" w:right="1000" w:bottom="960" w:left="1600" w:header="708" w:footer="771" w:gutter="0"/>
          <w:cols w:space="708"/>
        </w:sectPr>
      </w:pPr>
    </w:p>
    <w:p w:rsidR="00E01DC5" w:rsidRDefault="00E01DC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1DC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1DC5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E01DC5" w:rsidRDefault="0022105F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E01DC5" w:rsidRDefault="0022105F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01DC5" w:rsidRDefault="0022105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01DC5" w:rsidRDefault="0022105F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E01DC5" w:rsidRDefault="0022105F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01DC5" w:rsidRDefault="0022105F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1DC5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E01DC5" w:rsidRDefault="0022105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E01DC5" w:rsidRDefault="0022105F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E01DC5" w:rsidRDefault="0022105F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01DC5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01DC5" w:rsidRDefault="0022105F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01DC5" w:rsidRDefault="0022105F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01DC5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E01DC5" w:rsidRDefault="0022105F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E01DC5" w:rsidRDefault="005670C0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6724A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E01DC5" w:rsidRDefault="00E01DC5">
      <w:pPr>
        <w:pStyle w:val="Zkladntext"/>
      </w:pPr>
    </w:p>
    <w:p w:rsidR="00E01DC5" w:rsidRDefault="00E01DC5">
      <w:pPr>
        <w:pStyle w:val="Zkladntext"/>
        <w:spacing w:before="3"/>
        <w:rPr>
          <w:sz w:val="14"/>
        </w:rPr>
      </w:pPr>
    </w:p>
    <w:p w:rsidR="00E01DC5" w:rsidRDefault="0022105F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E01DC5" w:rsidRDefault="00E01DC5">
      <w:pPr>
        <w:rPr>
          <w:sz w:val="16"/>
        </w:rPr>
        <w:sectPr w:rsidR="00E01DC5">
          <w:pgSz w:w="12240" w:h="15840"/>
          <w:pgMar w:top="2040" w:right="1000" w:bottom="960" w:left="1600" w:header="708" w:footer="771" w:gutter="0"/>
          <w:cols w:space="708"/>
        </w:sectPr>
      </w:pPr>
    </w:p>
    <w:p w:rsidR="00E01DC5" w:rsidRDefault="00E01DC5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1DC5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E01DC5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E01DC5" w:rsidRDefault="00E01DC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E01DC5" w:rsidRDefault="0022105F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E01DC5" w:rsidRDefault="0022105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01DC5" w:rsidRDefault="0022105F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01DC5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1DC5" w:rsidRDefault="0022105F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01DC5" w:rsidRDefault="00E01DC5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01DC5" w:rsidRDefault="0022105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01DC5" w:rsidRDefault="00E01DC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01DC5" w:rsidRDefault="0022105F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E01DC5" w:rsidRDefault="0022105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E01DC5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01DC5" w:rsidRDefault="00E01DC5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01DC5" w:rsidRDefault="0022105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01DC5" w:rsidRDefault="00E01DC5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01DC5" w:rsidRDefault="0022105F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01DC5" w:rsidRDefault="0022105F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01DC5" w:rsidRDefault="0022105F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E01DC5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1DC5" w:rsidRDefault="0022105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E01DC5" w:rsidRDefault="0022105F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E01DC5" w:rsidRDefault="0022105F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1DC5" w:rsidRDefault="0022105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1DC5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1DC5" w:rsidRDefault="00E01DC5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1DC5" w:rsidRDefault="0022105F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2105F" w:rsidRDefault="0022105F"/>
    <w:sectPr w:rsidR="0022105F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05F" w:rsidRDefault="0022105F">
      <w:r>
        <w:separator/>
      </w:r>
    </w:p>
  </w:endnote>
  <w:endnote w:type="continuationSeparator" w:id="0">
    <w:p w:rsidR="0022105F" w:rsidRDefault="0022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DC5" w:rsidRDefault="005670C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1DC5" w:rsidRDefault="0022105F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670C0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E01DC5" w:rsidRDefault="0022105F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670C0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05F" w:rsidRDefault="0022105F">
      <w:r>
        <w:separator/>
      </w:r>
    </w:p>
  </w:footnote>
  <w:footnote w:type="continuationSeparator" w:id="0">
    <w:p w:rsidR="0022105F" w:rsidRDefault="0022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DC5" w:rsidRDefault="0022105F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D690B"/>
    <w:multiLevelType w:val="hybridMultilevel"/>
    <w:tmpl w:val="54440626"/>
    <w:lvl w:ilvl="0" w:tplc="17C67D4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BBE380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8C7CD366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1A2D6D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26E81FE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6D6C2AB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62388CF8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97A8987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381AA6E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2701270"/>
    <w:multiLevelType w:val="hybridMultilevel"/>
    <w:tmpl w:val="06FC2A30"/>
    <w:lvl w:ilvl="0" w:tplc="E222C996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AAEEE4C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7466D34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FFB2E50E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F92EFD3C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9C68C118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38465F36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31C82574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45647334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187877C4"/>
    <w:multiLevelType w:val="hybridMultilevel"/>
    <w:tmpl w:val="EC806802"/>
    <w:lvl w:ilvl="0" w:tplc="8CA6682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BEA1CE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65FCDF2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4588E22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89A027A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2396B08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52C59B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7066074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9DCE57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8F05C57"/>
    <w:multiLevelType w:val="hybridMultilevel"/>
    <w:tmpl w:val="5B88CFFE"/>
    <w:lvl w:ilvl="0" w:tplc="FAD2135C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3328D56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330EB3A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AF4445A2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B98CCF2E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9FAAC4AE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D5187F8A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4D226C98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A66C021C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61CA51AF"/>
    <w:multiLevelType w:val="hybridMultilevel"/>
    <w:tmpl w:val="DAA6CD60"/>
    <w:lvl w:ilvl="0" w:tplc="87E280A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8AA990E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4300CD34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D93EA672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324919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0E58A1A0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E7DEDD5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9D40F2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37E59E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A382D46"/>
    <w:multiLevelType w:val="hybridMultilevel"/>
    <w:tmpl w:val="409AB264"/>
    <w:lvl w:ilvl="0" w:tplc="369A083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E7C6CB2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5936E12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34B6A020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9084AC5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7116BE6C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B962698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BE2403A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A3405AE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753E142C"/>
    <w:multiLevelType w:val="hybridMultilevel"/>
    <w:tmpl w:val="21262B8A"/>
    <w:lvl w:ilvl="0" w:tplc="CD607942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FD27E08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0840E06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6440816E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0104705E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46A2451C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9A1CC4C4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14CAC8E2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3F5CF8C4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7FCF028C"/>
    <w:multiLevelType w:val="hybridMultilevel"/>
    <w:tmpl w:val="A3EACA46"/>
    <w:lvl w:ilvl="0" w:tplc="86E8F8D8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23CAFAA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D6CF80A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2CC4D36E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CB9CD914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698C9C6A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1926317A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9CBA2646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97E4863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DC5"/>
    <w:rsid w:val="0022105F"/>
    <w:rsid w:val="005670C0"/>
    <w:rsid w:val="00E0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04B175-9164-48CA-875F-9B643F7C7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017" w:right="105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4857</Words>
  <Characters>28658</Characters>
  <Application>Microsoft Office Word</Application>
  <DocSecurity>0</DocSecurity>
  <Lines>238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2024-10-25T08:30:00Z</dcterms:created>
  <dcterms:modified xsi:type="dcterms:W3CDTF">2024-10-25T08:30:00Z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2024-10-25T00:00:00Z</vt:filetime>
  </property>
</Properties>
</file>