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45802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BC0F296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54271E43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097AFF" w:rsidRPr="00097AFF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Nábytek - Vybavení inspekční místnosti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7BC0D766" w14:textId="4FC64C88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F24644">
        <w:rPr>
          <w:rFonts w:ascii="TimesNewRomanPS-BoldMT" w:hAnsi="TimesNewRomanPS-BoldMT" w:cs="TimesNewRomanPS-BoldMT"/>
          <w:b/>
          <w:bCs/>
          <w:sz w:val="36"/>
          <w:szCs w:val="36"/>
        </w:rPr>
        <w:t>240</w:t>
      </w:r>
      <w:r w:rsidR="00C52130">
        <w:rPr>
          <w:rFonts w:ascii="TimesNewRomanPS-BoldMT" w:hAnsi="TimesNewRomanPS-BoldMT" w:cs="TimesNewRomanPS-BoldMT"/>
          <w:b/>
          <w:bCs/>
          <w:sz w:val="36"/>
          <w:szCs w:val="36"/>
        </w:rPr>
        <w:t>23</w:t>
      </w:r>
    </w:p>
    <w:p w14:paraId="1B53D2C3" w14:textId="1EDCEE21" w:rsidR="00B857E7" w:rsidRPr="00B857E7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</w:t>
      </w:r>
      <w:r w:rsidR="007818C1">
        <w:rPr>
          <w:rFonts w:ascii="TimesNewRomanPS-BoldMT" w:hAnsi="TimesNewRomanPS-BoldMT" w:cs="TimesNewRomanPS-BoldMT"/>
          <w:b/>
          <w:bCs/>
        </w:rPr>
        <w:t xml:space="preserve">na základě poptávky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r w:rsidR="00E02120">
        <w:rPr>
          <w:rFonts w:ascii="TimesNewRomanPS-BoldMT" w:hAnsi="TimesNewRomanPS-BoldMT" w:cs="TimesNewRomanPS-BoldMT"/>
          <w:b/>
          <w:bCs/>
        </w:rPr>
        <w:t xml:space="preserve"> </w:t>
      </w:r>
      <w:r w:rsidR="00097AFF" w:rsidRPr="00097AFF">
        <w:rPr>
          <w:rFonts w:ascii="TimesNewRomanPS-BoldMT" w:hAnsi="TimesNewRomanPS-BoldMT" w:cs="TimesNewRomanPS-BoldMT"/>
          <w:b/>
          <w:bCs/>
        </w:rPr>
        <w:t>Nábytek - Vybavení inspekční místnosti</w:t>
      </w:r>
      <w:r w:rsidRPr="00B857E7">
        <w:rPr>
          <w:rFonts w:ascii="TimesNewRomanPS-BoldMT" w:hAnsi="TimesNewRomanPS-BoldMT" w:cs="TimesNewRomanPS-BoldMT"/>
          <w:b/>
          <w:bCs/>
        </w:rPr>
        <w:t>)</w:t>
      </w:r>
    </w:p>
    <w:p w14:paraId="79C93557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71034C8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03C59EF9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F70606B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252FB7EC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2AFA46A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17433B85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094F1BF6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AF05A26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31BF3CF8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6C200B68" w14:textId="1FEAD4F7" w:rsidR="00D172D4" w:rsidRDefault="00D172D4" w:rsidP="006A6D2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6A6D22">
        <w:rPr>
          <w:rFonts w:ascii="Tahoma" w:hAnsi="Tahoma" w:cs="Tahoma"/>
          <w:color w:val="000000"/>
          <w:sz w:val="20"/>
          <w:szCs w:val="20"/>
        </w:rPr>
        <w:t>XXX</w:t>
      </w:r>
    </w:p>
    <w:p w14:paraId="24628600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72BB7328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C3DB879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6DAC603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11EB2295" w14:textId="2C45B463" w:rsidR="00D22365" w:rsidRDefault="002033AF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Vladimír Skalník</w:t>
      </w:r>
    </w:p>
    <w:p w14:paraId="049A582B" w14:textId="377377BC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2033AF">
        <w:rPr>
          <w:rFonts w:ascii="Tahoma" w:hAnsi="Tahoma" w:cs="Tahoma"/>
          <w:sz w:val="20"/>
          <w:szCs w:val="20"/>
        </w:rPr>
        <w:t>Křídla 26</w:t>
      </w:r>
    </w:p>
    <w:p w14:paraId="30351947" w14:textId="3ED5D367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2033AF">
        <w:rPr>
          <w:rFonts w:ascii="Tahoma" w:hAnsi="Tahoma" w:cs="Tahoma"/>
          <w:sz w:val="20"/>
          <w:szCs w:val="20"/>
        </w:rPr>
        <w:t>Vladimír Skalník</w:t>
      </w:r>
    </w:p>
    <w:p w14:paraId="0017805B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0A3C215" w14:textId="02F642B9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2033AF">
        <w:rPr>
          <w:rFonts w:ascii="Tahoma" w:hAnsi="Tahoma" w:cs="Tahoma"/>
          <w:sz w:val="20"/>
          <w:szCs w:val="20"/>
        </w:rPr>
        <w:t>06557279</w:t>
      </w:r>
    </w:p>
    <w:p w14:paraId="45595AC0" w14:textId="5319CB61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2033AF">
        <w:rPr>
          <w:rFonts w:ascii="Tahoma" w:hAnsi="Tahoma" w:cs="Tahoma"/>
          <w:sz w:val="20"/>
          <w:szCs w:val="20"/>
        </w:rPr>
        <w:t>CZ8804205300</w:t>
      </w:r>
    </w:p>
    <w:p w14:paraId="26D41574" w14:textId="0E16AF88" w:rsidR="002033AF" w:rsidRDefault="00715A2F" w:rsidP="006A6D22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6A6D22">
        <w:rPr>
          <w:rFonts w:ascii="Tahoma" w:hAnsi="Tahoma" w:cs="Tahoma"/>
          <w:sz w:val="20"/>
          <w:szCs w:val="20"/>
        </w:rPr>
        <w:t>XXX</w:t>
      </w:r>
    </w:p>
    <w:p w14:paraId="35901562" w14:textId="55557C76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zapsaná v </w:t>
      </w:r>
      <w:r w:rsidR="002033AF">
        <w:rPr>
          <w:rFonts w:ascii="Tahoma" w:hAnsi="Tahoma" w:cs="Tahoma"/>
          <w:sz w:val="20"/>
          <w:szCs w:val="20"/>
        </w:rPr>
        <w:t>živnostenském</w:t>
      </w:r>
      <w:r w:rsidRPr="00EA43D3">
        <w:rPr>
          <w:rFonts w:ascii="Tahoma" w:hAnsi="Tahoma" w:cs="Tahoma"/>
          <w:sz w:val="20"/>
          <w:szCs w:val="20"/>
        </w:rPr>
        <w:t xml:space="preserve"> rejstříku vedeného </w:t>
      </w:r>
      <w:r w:rsidR="002033AF">
        <w:rPr>
          <w:rFonts w:ascii="Tahoma" w:hAnsi="Tahoma" w:cs="Tahoma"/>
          <w:sz w:val="20"/>
          <w:szCs w:val="20"/>
        </w:rPr>
        <w:t>v Novém Městě na Moravě</w:t>
      </w:r>
    </w:p>
    <w:p w14:paraId="73912FE8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23E7D949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877EB1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914167B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2AF3FC7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2E9FFE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1FBC9FED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225019F8" w14:textId="77777777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097AFF" w:rsidRPr="00097AFF">
        <w:rPr>
          <w:rFonts w:ascii="Tahoma" w:hAnsi="Tahoma" w:cs="Tahoma"/>
          <w:b/>
          <w:i/>
          <w:sz w:val="20"/>
          <w:szCs w:val="20"/>
        </w:rPr>
        <w:t>Nábytek - Vybavení inspekční místnosti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221E5CFF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114E2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B217B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E903D6E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1855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FB464E4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468F715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B1F40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7EA802A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0A43A1A7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5F9D47B4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49B8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0A5F93C4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4742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8D82375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36D4F095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5E25D112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26673" w14:textId="77777777" w:rsidR="00340801" w:rsidRPr="00966F44" w:rsidRDefault="00097AFF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097AFF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Nábytek - Vybavení inspekční místnosti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10C03" w14:textId="77777777" w:rsidR="00340801" w:rsidRDefault="00097AF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6BED0" w14:textId="26A5D752" w:rsidR="00340801" w:rsidRDefault="002033AF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114</w:t>
            </w:r>
            <w:r w:rsidR="00347AF8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600,-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2F55F" w14:textId="43422826" w:rsidR="00340801" w:rsidRDefault="00347A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138 666,-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C261C" w14:textId="6245C41F" w:rsidR="00340801" w:rsidRDefault="00347A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114 600,-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EEFE4" w14:textId="72D45AAE" w:rsidR="00340801" w:rsidRDefault="00347AF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6BD2982C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24BAC3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097AFF" w:rsidRPr="00097AFF">
        <w:rPr>
          <w:rFonts w:ascii="Tahoma" w:hAnsi="Tahoma" w:cs="Tahoma"/>
          <w:sz w:val="20"/>
          <w:szCs w:val="20"/>
        </w:rPr>
        <w:t>Nábytek - Vybavení inspekční místnosti</w:t>
      </w:r>
      <w:r w:rsidR="007436FA">
        <w:rPr>
          <w:rFonts w:ascii="Tahoma" w:hAnsi="Tahoma" w:cs="Tahoma"/>
          <w:sz w:val="20"/>
          <w:szCs w:val="20"/>
        </w:rPr>
        <w:t>“</w:t>
      </w:r>
      <w:r w:rsidR="00097AFF">
        <w:rPr>
          <w:rFonts w:ascii="Tahoma" w:hAnsi="Tahoma" w:cs="Tahoma"/>
          <w:sz w:val="20"/>
          <w:szCs w:val="20"/>
        </w:rPr>
        <w:t xml:space="preserve"> dle přílohy č.1 (položkový seznam)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611D782B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29805B4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5D1F9C70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0C14A8F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2560992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9B9F3AB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DC5A17D" w14:textId="77777777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Pavilon </w:t>
      </w:r>
      <w:r w:rsidR="00097AFF">
        <w:rPr>
          <w:rFonts w:ascii="Tahoma" w:hAnsi="Tahoma" w:cs="Tahoma"/>
          <w:sz w:val="20"/>
          <w:szCs w:val="20"/>
        </w:rPr>
        <w:t>A2</w:t>
      </w:r>
    </w:p>
    <w:p w14:paraId="01D1255C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F92F1F1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53589B3F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9489190" w14:textId="78391B05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4004F457" w14:textId="799FC6E3" w:rsidR="00071A0F" w:rsidRPr="006A6D22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6A6D22">
        <w:rPr>
          <w:rFonts w:ascii="Tahoma" w:hAnsi="Tahoma" w:cs="Tahoma"/>
          <w:sz w:val="20"/>
          <w:szCs w:val="20"/>
        </w:rPr>
        <w:t xml:space="preserve">Cena bez DPH:                   </w:t>
      </w:r>
      <w:r w:rsidR="00347AF8" w:rsidRPr="006A6D22">
        <w:rPr>
          <w:rFonts w:ascii="Tahoma" w:hAnsi="Tahoma" w:cs="Tahoma"/>
          <w:sz w:val="20"/>
          <w:szCs w:val="20"/>
        </w:rPr>
        <w:t>114 600</w:t>
      </w:r>
      <w:r w:rsidRPr="006A6D22">
        <w:rPr>
          <w:rFonts w:ascii="Tahoma" w:hAnsi="Tahoma" w:cs="Tahoma"/>
          <w:sz w:val="20"/>
          <w:szCs w:val="20"/>
        </w:rPr>
        <w:t xml:space="preserve"> Kč</w:t>
      </w:r>
    </w:p>
    <w:p w14:paraId="191E7BD5" w14:textId="019DE2B6" w:rsidR="00071A0F" w:rsidRPr="006A6D22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6A6D22">
        <w:rPr>
          <w:rFonts w:ascii="Tahoma" w:hAnsi="Tahoma" w:cs="Tahoma"/>
          <w:sz w:val="20"/>
          <w:szCs w:val="20"/>
        </w:rPr>
        <w:t xml:space="preserve">DPH 21%:                          </w:t>
      </w:r>
      <w:r w:rsidR="00347AF8" w:rsidRPr="006A6D22">
        <w:rPr>
          <w:rFonts w:ascii="Tahoma" w:hAnsi="Tahoma" w:cs="Tahoma"/>
          <w:sz w:val="20"/>
          <w:szCs w:val="20"/>
        </w:rPr>
        <w:t>24 066</w:t>
      </w:r>
      <w:r w:rsidRPr="006A6D22">
        <w:rPr>
          <w:rFonts w:ascii="Tahoma" w:hAnsi="Tahoma" w:cs="Tahoma"/>
          <w:sz w:val="20"/>
          <w:szCs w:val="20"/>
        </w:rPr>
        <w:t xml:space="preserve"> Kč</w:t>
      </w:r>
    </w:p>
    <w:p w14:paraId="41816622" w14:textId="210F177E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6A6D22">
        <w:rPr>
          <w:rFonts w:ascii="Tahoma" w:hAnsi="Tahoma" w:cs="Tahoma"/>
          <w:sz w:val="20"/>
          <w:szCs w:val="20"/>
        </w:rPr>
        <w:t xml:space="preserve">Cena s DPH:                      </w:t>
      </w:r>
      <w:r w:rsidR="00347AF8" w:rsidRPr="006A6D22">
        <w:rPr>
          <w:rFonts w:ascii="Tahoma" w:hAnsi="Tahoma" w:cs="Tahoma"/>
          <w:sz w:val="20"/>
          <w:szCs w:val="20"/>
        </w:rPr>
        <w:t>138 666</w:t>
      </w:r>
      <w:r w:rsidRPr="006A6D22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1C37F255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>upujícího na pořízení zboží jako např. dopravné, balné,</w:t>
      </w:r>
      <w:r w:rsidR="00E36E78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apod. </w:t>
      </w:r>
    </w:p>
    <w:p w14:paraId="29586166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3E9D5A93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35A88F0C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848A71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5DBFC4AD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0E90075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25C359A7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2532AA4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5B97C0A6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7C68FCC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478769BD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F04F54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0E2010ED" w14:textId="77777777" w:rsidR="00E16E03" w:rsidRDefault="00E16E03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360B8B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65BD38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18F292" w14:textId="77777777" w:rsidR="00723B6B" w:rsidRDefault="00723B6B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1EB416" w14:textId="77777777" w:rsidR="00DC5D89" w:rsidRDefault="00DC5D89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9EFA34F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4958D614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019A8EF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372D9B4" w14:textId="42A3BE18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lastRenderedPageBreak/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7818C1">
        <w:rPr>
          <w:rFonts w:ascii="Tahoma" w:hAnsi="Tahoma" w:cs="Tahoma"/>
          <w:sz w:val="20"/>
          <w:szCs w:val="20"/>
        </w:rPr>
        <w:t>60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0816920E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EDD762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136CC291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E70E0BC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5B6A5EA4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1ABDAB52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79623849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8163E02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1855A560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8B614C4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6C476237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98FCEF8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6D03C4A7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49C1C3A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33F3A3BB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4DCFB6D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CA64ACE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2290A23F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1AD0376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0,02% z dlužné částky za každý den prodlení s tím, že se Prodávající může k penalizaci přistoupit nejdříve po uplynutí 60 dnů po lhůtě splatnosti faktur.</w:t>
      </w:r>
    </w:p>
    <w:p w14:paraId="056A7EAB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618A0D75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5</w:t>
      </w:r>
      <w:r w:rsidRPr="00117CD5">
        <w:rPr>
          <w:rFonts w:ascii="Tahoma" w:hAnsi="Tahoma" w:cs="Tahoma"/>
          <w:sz w:val="20"/>
          <w:szCs w:val="20"/>
        </w:rPr>
        <w:t xml:space="preserve">.000,-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>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08332935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2DC098B7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50AF82BD" w14:textId="77777777" w:rsidR="004A0AF2" w:rsidRP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783779D4" w14:textId="77777777" w:rsidR="00966F44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349ACCF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3C773F2A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45BF106B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DE5A167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 w:rsidRPr="00723B6B">
        <w:rPr>
          <w:rFonts w:ascii="Tahoma" w:hAnsi="Tahoma" w:cs="Tahoma"/>
          <w:b/>
          <w:bCs/>
          <w:sz w:val="20"/>
          <w:szCs w:val="20"/>
        </w:rPr>
        <w:t>24</w:t>
      </w:r>
      <w:r w:rsidRPr="00723B6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7D6DBFA9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5EAF07" w14:textId="6571EA32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Reklamace se uplatňují na e-mailové adrese:</w:t>
      </w:r>
      <w:r w:rsidR="002033AF">
        <w:rPr>
          <w:rFonts w:ascii="Tahoma" w:hAnsi="Tahoma" w:cs="Tahoma"/>
          <w:sz w:val="20"/>
          <w:szCs w:val="20"/>
        </w:rPr>
        <w:t xml:space="preserve"> </w:t>
      </w:r>
      <w:r w:rsidR="006A6D22">
        <w:rPr>
          <w:rFonts w:ascii="Tahoma" w:hAnsi="Tahoma" w:cs="Tahoma"/>
          <w:sz w:val="20"/>
          <w:szCs w:val="20"/>
        </w:rPr>
        <w:t>XXX</w:t>
      </w:r>
      <w:r w:rsidR="00347AF8">
        <w:rPr>
          <w:rFonts w:ascii="Tahoma" w:hAnsi="Tahoma" w:cs="Tahoma"/>
          <w:sz w:val="20"/>
          <w:szCs w:val="20"/>
        </w:rPr>
        <w:t>.</w:t>
      </w:r>
      <w:r w:rsidR="002033A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296D8A78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lastRenderedPageBreak/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6A65D8DC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3D63C2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2902A3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7656F609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129BAC6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EEE904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406E02F0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73973D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087DE823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13F4C8C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61C18F" w14:textId="1D70A929" w:rsidR="0058628F" w:rsidRPr="00E775E2" w:rsidRDefault="000E3421" w:rsidP="000B67D6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sz w:val="20"/>
          <w:szCs w:val="20"/>
        </w:rPr>
      </w:pPr>
      <w:r w:rsidRPr="00E775E2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E775E2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E775E2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E775E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</w:t>
      </w:r>
      <w:r w:rsidR="00E775E2" w:rsidRPr="00E775E2">
        <w:rPr>
          <w:rFonts w:ascii="Tahoma" w:eastAsia="Calibri" w:hAnsi="Tahoma" w:cs="Tahoma"/>
          <w:color w:val="000000" w:themeColor="text1"/>
          <w:sz w:val="20"/>
          <w:szCs w:val="20"/>
        </w:rPr>
        <w:t xml:space="preserve"> XXX</w:t>
      </w:r>
    </w:p>
    <w:p w14:paraId="608F2876" w14:textId="77777777" w:rsidR="00E775E2" w:rsidRPr="00E775E2" w:rsidRDefault="00E775E2" w:rsidP="00E775E2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0C4B683D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gramStart"/>
      <w:r w:rsidRPr="0058628F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58628F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43EAA51B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1BCCD873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1C986CE0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959097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6AD8A1B5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C08715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5C0ADA83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76DC209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38B9A312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4B1AE2C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6F73B682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2D81FA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DE02B42" w14:textId="7EE4E449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2033AF">
        <w:rPr>
          <w:rFonts w:ascii="Tahoma" w:hAnsi="Tahoma" w:cs="Tahoma"/>
          <w:sz w:val="20"/>
          <w:szCs w:val="20"/>
        </w:rPr>
        <w:t>Křídlech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2033AF">
        <w:rPr>
          <w:rFonts w:ascii="Tahoma" w:hAnsi="Tahoma" w:cs="Tahoma"/>
          <w:sz w:val="20"/>
          <w:szCs w:val="20"/>
        </w:rPr>
        <w:t xml:space="preserve"> 9.10.2024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6A6D22">
        <w:rPr>
          <w:rFonts w:ascii="Tahoma" w:hAnsi="Tahoma" w:cs="Tahoma"/>
          <w:sz w:val="20"/>
          <w:szCs w:val="20"/>
        </w:rPr>
        <w:t xml:space="preserve"> 24.10.2024</w:t>
      </w:r>
    </w:p>
    <w:p w14:paraId="1BE88235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1D7EF37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1400E128" w14:textId="6DCCB73C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00CA7CA6" w14:textId="77777777" w:rsidR="0016113C" w:rsidRPr="0016113C" w:rsidRDefault="00DC6C55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.....................................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731C99DC" w14:textId="77777777" w:rsidR="002A723A" w:rsidRDefault="0016113C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2B47778C" w14:textId="1AFB2023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C577EA">
      <w:headerReference w:type="default" r:id="rId10"/>
      <w:footerReference w:type="even" r:id="rId11"/>
      <w:footerReference w:type="default" r:id="rId12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4949" w14:textId="77777777" w:rsidR="00F074E3" w:rsidRDefault="00F074E3">
      <w:r>
        <w:separator/>
      </w:r>
    </w:p>
  </w:endnote>
  <w:endnote w:type="continuationSeparator" w:id="0">
    <w:p w14:paraId="6E4AC581" w14:textId="77777777" w:rsidR="00F074E3" w:rsidRDefault="00F0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4415D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4C7CE1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61A06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684148F2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90536" w14:textId="77777777" w:rsidR="00F074E3" w:rsidRDefault="00F074E3">
      <w:r>
        <w:separator/>
      </w:r>
    </w:p>
  </w:footnote>
  <w:footnote w:type="continuationSeparator" w:id="0">
    <w:p w14:paraId="7F3490B3" w14:textId="77777777" w:rsidR="00F074E3" w:rsidRDefault="00F0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4FD7" w14:textId="0CE64030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F24644">
      <w:rPr>
        <w:i/>
        <w:sz w:val="22"/>
        <w:szCs w:val="22"/>
      </w:rPr>
      <w:t>240</w:t>
    </w:r>
    <w:r w:rsidR="00C52130">
      <w:rPr>
        <w:i/>
        <w:sz w:val="22"/>
        <w:szCs w:val="22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2786">
    <w:abstractNumId w:val="13"/>
  </w:num>
  <w:num w:numId="2" w16cid:durableId="1234507739">
    <w:abstractNumId w:val="29"/>
  </w:num>
  <w:num w:numId="3" w16cid:durableId="1930237107">
    <w:abstractNumId w:val="18"/>
  </w:num>
  <w:num w:numId="4" w16cid:durableId="1830827031">
    <w:abstractNumId w:val="21"/>
  </w:num>
  <w:num w:numId="5" w16cid:durableId="838235696">
    <w:abstractNumId w:val="31"/>
  </w:num>
  <w:num w:numId="6" w16cid:durableId="761335563">
    <w:abstractNumId w:val="26"/>
  </w:num>
  <w:num w:numId="7" w16cid:durableId="782722979">
    <w:abstractNumId w:val="16"/>
  </w:num>
  <w:num w:numId="8" w16cid:durableId="2059812901">
    <w:abstractNumId w:val="11"/>
  </w:num>
  <w:num w:numId="9" w16cid:durableId="676731351">
    <w:abstractNumId w:val="5"/>
  </w:num>
  <w:num w:numId="10" w16cid:durableId="441078164">
    <w:abstractNumId w:val="25"/>
  </w:num>
  <w:num w:numId="11" w16cid:durableId="1449082924">
    <w:abstractNumId w:val="8"/>
  </w:num>
  <w:num w:numId="12" w16cid:durableId="1431468167">
    <w:abstractNumId w:val="14"/>
  </w:num>
  <w:num w:numId="13" w16cid:durableId="748768667">
    <w:abstractNumId w:val="1"/>
  </w:num>
  <w:num w:numId="14" w16cid:durableId="1139303926">
    <w:abstractNumId w:val="12"/>
  </w:num>
  <w:num w:numId="15" w16cid:durableId="409617406">
    <w:abstractNumId w:val="32"/>
  </w:num>
  <w:num w:numId="16" w16cid:durableId="11274005">
    <w:abstractNumId w:val="28"/>
  </w:num>
  <w:num w:numId="17" w16cid:durableId="2130198946">
    <w:abstractNumId w:val="23"/>
  </w:num>
  <w:num w:numId="18" w16cid:durableId="1151287063">
    <w:abstractNumId w:val="22"/>
  </w:num>
  <w:num w:numId="19" w16cid:durableId="221714694">
    <w:abstractNumId w:val="17"/>
  </w:num>
  <w:num w:numId="20" w16cid:durableId="516121318">
    <w:abstractNumId w:val="10"/>
  </w:num>
  <w:num w:numId="21" w16cid:durableId="1265652684">
    <w:abstractNumId w:val="4"/>
  </w:num>
  <w:num w:numId="22" w16cid:durableId="383723283">
    <w:abstractNumId w:val="9"/>
  </w:num>
  <w:num w:numId="23" w16cid:durableId="157963035">
    <w:abstractNumId w:val="30"/>
  </w:num>
  <w:num w:numId="24" w16cid:durableId="1020011109">
    <w:abstractNumId w:val="3"/>
  </w:num>
  <w:num w:numId="25" w16cid:durableId="606741016">
    <w:abstractNumId w:val="27"/>
  </w:num>
  <w:num w:numId="26" w16cid:durableId="952253307">
    <w:abstractNumId w:val="0"/>
  </w:num>
  <w:num w:numId="27" w16cid:durableId="2101100518">
    <w:abstractNumId w:val="20"/>
  </w:num>
  <w:num w:numId="28" w16cid:durableId="257451473">
    <w:abstractNumId w:val="15"/>
  </w:num>
  <w:num w:numId="29" w16cid:durableId="981884395">
    <w:abstractNumId w:val="2"/>
  </w:num>
  <w:num w:numId="30" w16cid:durableId="1697803473">
    <w:abstractNumId w:val="6"/>
  </w:num>
  <w:num w:numId="31" w16cid:durableId="1218053006">
    <w:abstractNumId w:val="19"/>
  </w:num>
  <w:num w:numId="32" w16cid:durableId="626856271">
    <w:abstractNumId w:val="7"/>
  </w:num>
  <w:num w:numId="33" w16cid:durableId="15933963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6686"/>
    <w:rsid w:val="000504AA"/>
    <w:rsid w:val="000664E6"/>
    <w:rsid w:val="00071A0F"/>
    <w:rsid w:val="00071C20"/>
    <w:rsid w:val="00074200"/>
    <w:rsid w:val="00077C9B"/>
    <w:rsid w:val="00077F62"/>
    <w:rsid w:val="00081825"/>
    <w:rsid w:val="00083835"/>
    <w:rsid w:val="00097AFF"/>
    <w:rsid w:val="000A2364"/>
    <w:rsid w:val="000A324D"/>
    <w:rsid w:val="000A6F03"/>
    <w:rsid w:val="000B490C"/>
    <w:rsid w:val="000B5337"/>
    <w:rsid w:val="000B7AC2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4AC6"/>
    <w:rsid w:val="001540BD"/>
    <w:rsid w:val="001544FE"/>
    <w:rsid w:val="0016113C"/>
    <w:rsid w:val="00163538"/>
    <w:rsid w:val="00171092"/>
    <w:rsid w:val="001739A6"/>
    <w:rsid w:val="00190D2D"/>
    <w:rsid w:val="00195110"/>
    <w:rsid w:val="001A6E1B"/>
    <w:rsid w:val="001B6707"/>
    <w:rsid w:val="001C7883"/>
    <w:rsid w:val="001D18E0"/>
    <w:rsid w:val="001E1279"/>
    <w:rsid w:val="001E3786"/>
    <w:rsid w:val="001E4FAA"/>
    <w:rsid w:val="001E563A"/>
    <w:rsid w:val="002004E7"/>
    <w:rsid w:val="002033AF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746D4"/>
    <w:rsid w:val="0027661A"/>
    <w:rsid w:val="00276F64"/>
    <w:rsid w:val="0028044A"/>
    <w:rsid w:val="00285E4A"/>
    <w:rsid w:val="00286CDC"/>
    <w:rsid w:val="00297DD9"/>
    <w:rsid w:val="002A723A"/>
    <w:rsid w:val="002C38EF"/>
    <w:rsid w:val="002C6220"/>
    <w:rsid w:val="002D787C"/>
    <w:rsid w:val="002E438B"/>
    <w:rsid w:val="002E746F"/>
    <w:rsid w:val="002F0955"/>
    <w:rsid w:val="002F1819"/>
    <w:rsid w:val="002F7FC2"/>
    <w:rsid w:val="00314B0B"/>
    <w:rsid w:val="00321112"/>
    <w:rsid w:val="00324F6D"/>
    <w:rsid w:val="00326A9C"/>
    <w:rsid w:val="003311E7"/>
    <w:rsid w:val="00340801"/>
    <w:rsid w:val="00344F4E"/>
    <w:rsid w:val="00346DE5"/>
    <w:rsid w:val="00347AF8"/>
    <w:rsid w:val="00370F86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681A"/>
    <w:rsid w:val="00417F4E"/>
    <w:rsid w:val="00434A6B"/>
    <w:rsid w:val="00442668"/>
    <w:rsid w:val="00443916"/>
    <w:rsid w:val="0045248A"/>
    <w:rsid w:val="00457973"/>
    <w:rsid w:val="00465686"/>
    <w:rsid w:val="00471284"/>
    <w:rsid w:val="00486409"/>
    <w:rsid w:val="0049528F"/>
    <w:rsid w:val="004A0AF2"/>
    <w:rsid w:val="004A601B"/>
    <w:rsid w:val="004A67E1"/>
    <w:rsid w:val="004A69CE"/>
    <w:rsid w:val="004A71F6"/>
    <w:rsid w:val="004B0DBC"/>
    <w:rsid w:val="004B443B"/>
    <w:rsid w:val="004C5679"/>
    <w:rsid w:val="004D448D"/>
    <w:rsid w:val="004D45BB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406A7"/>
    <w:rsid w:val="00642A13"/>
    <w:rsid w:val="00646252"/>
    <w:rsid w:val="0065283E"/>
    <w:rsid w:val="006557B7"/>
    <w:rsid w:val="00656DB6"/>
    <w:rsid w:val="00664941"/>
    <w:rsid w:val="00670818"/>
    <w:rsid w:val="00677942"/>
    <w:rsid w:val="00680666"/>
    <w:rsid w:val="00681A59"/>
    <w:rsid w:val="006878FA"/>
    <w:rsid w:val="006912BB"/>
    <w:rsid w:val="006920F8"/>
    <w:rsid w:val="00696991"/>
    <w:rsid w:val="00696AC5"/>
    <w:rsid w:val="006A0A2D"/>
    <w:rsid w:val="006A6D22"/>
    <w:rsid w:val="006B3298"/>
    <w:rsid w:val="006B42B3"/>
    <w:rsid w:val="006C4BFD"/>
    <w:rsid w:val="006D0491"/>
    <w:rsid w:val="006D1CB8"/>
    <w:rsid w:val="006D41E4"/>
    <w:rsid w:val="006F1BC8"/>
    <w:rsid w:val="00702D49"/>
    <w:rsid w:val="00703B66"/>
    <w:rsid w:val="00715A2F"/>
    <w:rsid w:val="00723B6B"/>
    <w:rsid w:val="00723DD0"/>
    <w:rsid w:val="00731C6F"/>
    <w:rsid w:val="007401A2"/>
    <w:rsid w:val="00740243"/>
    <w:rsid w:val="007436FA"/>
    <w:rsid w:val="00743C0E"/>
    <w:rsid w:val="00761D52"/>
    <w:rsid w:val="0076439C"/>
    <w:rsid w:val="00771D7E"/>
    <w:rsid w:val="00772A6D"/>
    <w:rsid w:val="00774094"/>
    <w:rsid w:val="007767EC"/>
    <w:rsid w:val="007818C1"/>
    <w:rsid w:val="007935B1"/>
    <w:rsid w:val="007947AC"/>
    <w:rsid w:val="007A0639"/>
    <w:rsid w:val="007A4599"/>
    <w:rsid w:val="007B40A9"/>
    <w:rsid w:val="007D316C"/>
    <w:rsid w:val="007E201B"/>
    <w:rsid w:val="007E24E4"/>
    <w:rsid w:val="007E4F0D"/>
    <w:rsid w:val="007E7B91"/>
    <w:rsid w:val="00802609"/>
    <w:rsid w:val="00811D73"/>
    <w:rsid w:val="00813DFE"/>
    <w:rsid w:val="00814789"/>
    <w:rsid w:val="00814AAF"/>
    <w:rsid w:val="0081601B"/>
    <w:rsid w:val="00817BBE"/>
    <w:rsid w:val="008205E3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B3625"/>
    <w:rsid w:val="008C0ADF"/>
    <w:rsid w:val="008C6BBD"/>
    <w:rsid w:val="008D5042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17C7C"/>
    <w:rsid w:val="00B32556"/>
    <w:rsid w:val="00B346FC"/>
    <w:rsid w:val="00B50358"/>
    <w:rsid w:val="00B61AFE"/>
    <w:rsid w:val="00B73265"/>
    <w:rsid w:val="00B857E7"/>
    <w:rsid w:val="00B85B1D"/>
    <w:rsid w:val="00BA5A56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2130"/>
    <w:rsid w:val="00C52AD5"/>
    <w:rsid w:val="00C5409A"/>
    <w:rsid w:val="00C577EA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33931"/>
    <w:rsid w:val="00D43CD3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3EB7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4353"/>
    <w:rsid w:val="00DF5BF1"/>
    <w:rsid w:val="00DF5E02"/>
    <w:rsid w:val="00E0126E"/>
    <w:rsid w:val="00E02120"/>
    <w:rsid w:val="00E12DC3"/>
    <w:rsid w:val="00E15A2C"/>
    <w:rsid w:val="00E16E03"/>
    <w:rsid w:val="00E225F1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71AC1"/>
    <w:rsid w:val="00E775E2"/>
    <w:rsid w:val="00E83708"/>
    <w:rsid w:val="00E850C4"/>
    <w:rsid w:val="00E85516"/>
    <w:rsid w:val="00E97E72"/>
    <w:rsid w:val="00EA15CB"/>
    <w:rsid w:val="00EA43D3"/>
    <w:rsid w:val="00EB653D"/>
    <w:rsid w:val="00ED5705"/>
    <w:rsid w:val="00ED6D99"/>
    <w:rsid w:val="00ED71C3"/>
    <w:rsid w:val="00EE2897"/>
    <w:rsid w:val="00EF32ED"/>
    <w:rsid w:val="00F017F9"/>
    <w:rsid w:val="00F03815"/>
    <w:rsid w:val="00F074E3"/>
    <w:rsid w:val="00F1298C"/>
    <w:rsid w:val="00F2181C"/>
    <w:rsid w:val="00F219AE"/>
    <w:rsid w:val="00F24644"/>
    <w:rsid w:val="00F30A42"/>
    <w:rsid w:val="00F360BD"/>
    <w:rsid w:val="00F46BA6"/>
    <w:rsid w:val="00F539D2"/>
    <w:rsid w:val="00F56F7D"/>
    <w:rsid w:val="00F573FC"/>
    <w:rsid w:val="00F574AC"/>
    <w:rsid w:val="00F722A0"/>
    <w:rsid w:val="00F81DF9"/>
    <w:rsid w:val="00F82EE2"/>
    <w:rsid w:val="00F834BF"/>
    <w:rsid w:val="00F9293C"/>
    <w:rsid w:val="00F960C7"/>
    <w:rsid w:val="00F97D00"/>
    <w:rsid w:val="00FA19A9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BE6E6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347AF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6DA21-A87F-4634-BB26-ABAEFD3DE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D18492-DE07-4425-81CA-09D4B8F99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DAE70-2546-49D3-BE39-44069A0F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2024-10-11T08:31:00Z</cp:lastPrinted>
  <dcterms:created xsi:type="dcterms:W3CDTF">2024-10-25T06:45:00Z</dcterms:created>
  <dcterms:modified xsi:type="dcterms:W3CDTF">2024-10-25T06:45:00Z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2024-06-17T08:52:38Z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df0eac73-bf18-46ee-9e40-c21c18750023</vt:lpwstr>
  </property>
  <property fmtid="{D5CDD505-2E9C-101B-9397-08002B2CF9AE}" pid="8" name="MSIP_Label_c93be096-951f-40f1-830d-c27b8a8c2c27_ContentBits">
    <vt:lpwstr>0</vt:lpwstr>
  </property>
</Properties>
</file>