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6351" w14:textId="77777777" w:rsidR="00936291" w:rsidRDefault="00936291">
      <w:pPr>
        <w:rPr>
          <w:lang w:val="cs-CZ" w:eastAsia="cs-CZ" w:bidi="ar-SA"/>
        </w:rPr>
        <w:sectPr w:rsidR="009362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</w:p>
    <w:p w14:paraId="1D9DF338" w14:textId="77777777" w:rsidR="00936291" w:rsidRDefault="00936291">
      <w:pPr>
        <w:jc w:val="center"/>
        <w:rPr>
          <w:lang w:val="cs-CZ" w:eastAsia="cs-CZ" w:bidi="ar-SA"/>
        </w:rPr>
      </w:pPr>
      <w:r>
        <w:rPr>
          <w:b/>
          <w:bCs/>
          <w:lang w:val="cs-CZ" w:eastAsia="cs-CZ" w:bidi="ar-SA"/>
        </w:rPr>
        <w:lastRenderedPageBreak/>
        <w:t>Úvěrové obchodní podmínky ČSOB</w:t>
      </w:r>
    </w:p>
    <w:p w14:paraId="4F88682F" w14:textId="77777777" w:rsidR="00936291" w:rsidRDefault="00936291">
      <w:pPr>
        <w:jc w:val="center"/>
        <w:rPr>
          <w:lang w:val="cs-CZ" w:eastAsia="cs-CZ" w:bidi="ar-SA"/>
        </w:rPr>
      </w:pPr>
      <w:r>
        <w:rPr>
          <w:lang w:val="cs-CZ" w:eastAsia="cs-CZ" w:bidi="ar-SA"/>
        </w:rPr>
        <w:t>(„</w:t>
      </w:r>
      <w:r>
        <w:rPr>
          <w:b/>
          <w:bCs/>
          <w:lang w:val="cs-CZ" w:eastAsia="cs-CZ" w:bidi="ar-SA"/>
        </w:rPr>
        <w:t>ÚOP</w:t>
      </w:r>
      <w:r>
        <w:rPr>
          <w:lang w:val="cs-CZ" w:eastAsia="cs-CZ" w:bidi="ar-SA"/>
        </w:rPr>
        <w:t>“)</w:t>
      </w:r>
    </w:p>
    <w:p w14:paraId="3F11BFCC" w14:textId="77777777" w:rsidR="00936291" w:rsidRDefault="00936291">
      <w:pPr>
        <w:rPr>
          <w:lang w:val="cs-CZ" w:eastAsia="cs-CZ" w:bidi="ar-SA"/>
        </w:rPr>
      </w:pPr>
      <w:r>
        <w:rPr>
          <w:lang w:val="cs-CZ" w:eastAsia="cs-CZ" w:bidi="ar-SA"/>
        </w:rPr>
        <w:t> </w:t>
      </w:r>
    </w:p>
    <w:tbl>
      <w:tblPr>
        <w:tblW w:w="9072" w:type="dxa"/>
        <w:tblCellSpacing w:w="-10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87"/>
        <w:gridCol w:w="787"/>
        <w:gridCol w:w="7598"/>
      </w:tblGrid>
      <w:tr w:rsidR="00043B12" w14:paraId="09444F0D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7BE1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Úvodní ustanovení</w:t>
            </w:r>
          </w:p>
        </w:tc>
      </w:tr>
      <w:tr w:rsidR="00043B12" w14:paraId="42E8A0B9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95F4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4D2DCB4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ABE0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A320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ÚOP vydává Československá obchodní banka, a. s., se sídlem: Radlická 333/150, Praha 5, PSČ 150 57, IČO: 000 01 350, zapsaná v obchodním rejstříku vedeném Městským soudem v Praze, spisová značka B XXXVI 46 („</w:t>
            </w:r>
            <w:r w:rsidRPr="00936291">
              <w:rPr>
                <w:b/>
                <w:bCs/>
                <w:lang w:val="cs-CZ" w:eastAsia="cs-CZ" w:bidi="ar-SA"/>
              </w:rPr>
              <w:t>Banka</w:t>
            </w:r>
            <w:r w:rsidRPr="00936291">
              <w:rPr>
                <w:lang w:val="cs-CZ" w:eastAsia="cs-CZ" w:bidi="ar-SA"/>
              </w:rPr>
              <w:t>“).</w:t>
            </w:r>
          </w:p>
        </w:tc>
      </w:tr>
      <w:tr w:rsidR="00043B12" w14:paraId="0CCD42A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D088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C64A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ÚOP jsou součástí smlouvy o poskytnutí příslušného bankovního produktu („</w:t>
            </w:r>
            <w:r w:rsidRPr="00936291">
              <w:rPr>
                <w:b/>
                <w:bCs/>
                <w:lang w:val="cs-CZ" w:eastAsia="cs-CZ" w:bidi="ar-SA"/>
              </w:rPr>
              <w:t>Smlouva</w:t>
            </w:r>
            <w:r w:rsidRPr="00936291">
              <w:rPr>
                <w:lang w:val="cs-CZ" w:eastAsia="cs-CZ" w:bidi="ar-SA"/>
              </w:rPr>
              <w:t>“), uzavřené mezi Bankou a Klientem.</w:t>
            </w:r>
          </w:p>
        </w:tc>
      </w:tr>
      <w:tr w:rsidR="00043B12" w14:paraId="781C839B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2525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E89E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Nestanoví-li ÚOP jinak, termíny definované ve Smlouvě mají stejný význam i v ÚOP; bankovní záruka, akreditiv a jiný platební či zajišťovací instrument dále jen „</w:t>
            </w:r>
            <w:r w:rsidRPr="00936291">
              <w:rPr>
                <w:b/>
                <w:bCs/>
                <w:lang w:val="cs-CZ" w:eastAsia="cs-CZ" w:bidi="ar-SA"/>
              </w:rPr>
              <w:t>Instrument</w:t>
            </w:r>
            <w:r w:rsidRPr="00936291">
              <w:rPr>
                <w:lang w:val="cs-CZ" w:eastAsia="cs-CZ" w:bidi="ar-SA"/>
              </w:rPr>
              <w:t>“.</w:t>
            </w:r>
          </w:p>
        </w:tc>
      </w:tr>
      <w:tr w:rsidR="00043B12" w14:paraId="6FBA6370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1CFB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10AF7022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5B64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Úvěr / Limit a čerpání</w:t>
            </w:r>
          </w:p>
        </w:tc>
      </w:tr>
      <w:tr w:rsidR="00043B12" w14:paraId="43BE6AFD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D78C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004634BA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B54C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4.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16E6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Obecné podmínky čerpání podle ÚOP jsou splněny, pokud:</w:t>
            </w:r>
          </w:p>
        </w:tc>
      </w:tr>
      <w:tr w:rsidR="00936291" w14:paraId="42FC759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70F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8038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B6E8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byla Smlouva ze strany Klienta řádně podepsána a Banka obdržela všechny smluvně dohodnuté podklady a dokumenty,</w:t>
            </w:r>
          </w:p>
        </w:tc>
      </w:tr>
      <w:tr w:rsidR="00936291" w14:paraId="14681CA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7999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CF69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E22C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byly zaplaceny veškeré Smlouvou stanovené poplatky v dohodnutých dnech splatnosti a</w:t>
            </w:r>
          </w:p>
        </w:tc>
      </w:tr>
      <w:tr w:rsidR="00936291" w14:paraId="665E9C9B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2B13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1742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11C7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byl doložen vznik zajištění a věcných práv v souladu se zákonem a Smlouvou.</w:t>
            </w:r>
          </w:p>
        </w:tc>
      </w:tr>
      <w:tr w:rsidR="00043B12" w14:paraId="57FBCEB2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AE52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5.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6439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Je-li ve Smlouvě sjednáno účelové čerpání Úvěru či Limitu, může být čerpání pouze v souladu s účelem dohodnutým ve Smlouvě. Banka je oprávněna posuzovat účelovost každého dílčího čerpání Úvěru a Limitu a může odmítnout každé čerpání, které nebude řádně doloženo nebo kde vzniknou pochybnosti o účelovosti požadovaného (či kteréhokoliv dřívějšího) čerpání dle Smlouvy.</w:t>
            </w:r>
          </w:p>
        </w:tc>
      </w:tr>
      <w:tr w:rsidR="00043B12" w14:paraId="61FB460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5709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6.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CEF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 případě úmrtí Klienta - fyzické osoby, kterému byl poskytnut Úvěr nebo Limit, je Banka oprávněna čerpání Úvěru či Limitu zastavit.</w:t>
            </w:r>
          </w:p>
        </w:tc>
      </w:tr>
      <w:tr w:rsidR="00043B12" w14:paraId="0BAB05B1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98833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703498D8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FFD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Úroky a poplatky, splácení</w:t>
            </w:r>
          </w:p>
        </w:tc>
      </w:tr>
      <w:tr w:rsidR="00043B12" w14:paraId="0A362BF6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88A1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57057F55" w14:textId="77777777" w:rsidTr="00936291">
        <w:trPr>
          <w:cantSplit/>
          <w:trHeight w:val="112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1382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7.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454C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Není-li možné stanovit pohyblivou úrokovou sazbu s přechodnou fixací, resp. pohyblivou úrokovou sazbu při úročení na bázi O/N *IBOR, resp. €STR v případě čerpání v EUR, podle Smlouvy z důvodu dočasného – krátkodobého neuvedení referenční úrokové sazby v informačních médiích, použije se úroková sazba s přechodnou fixací, která se skládá z průměru kotací (zjištěných Bankou) na mezibankovním peněžním trhu nejméně tří referenčních bank, a to vždy 2 pracovní dny před prvním dnem příslušného období fixace, resp. dílčího úvěrového období při úročení na bázi *IBOR, resp. vždy v příslušný den, kdy je Úvěr čerpán, při úročení na bázi O/N*IBOR, resp. €STR v případě čerpání v EUR (pro nepracovní dny bude použita sazba kotovaná pro nejbližší předcházející pracovní den), a marže (přirážky) v pevné výši sjednané ve Smlouvě. Není-li možné stanovit ani tímto způsobem úrokovou sazbu z důvodu nekotování na mezibankovním peněžním trhu, použije se úroková sazba s přechodnou fixací, resp. pohyblivá sazba, skládající se z úrokové sazby ve výši nákladů Banky na financování Úvěru z jakýchkoli jí rozumně vybraných zdrojů peněžních prostředků včetně nákladů na zajištění rizik a marže v pevné výši uvedené ve Smlouvě. Klient je povinen takto stanovené úroky Bance uhradit nebo předčasně splatit své dluhy z poskytnutého Úvěru, a to do 30 dnů ode dne doručení oznámení Banky o výši stanovené úrokové sazby (přičemž v případě předčasného splacení Úvěru pak pro období, než předčasné splacení nastane, platí úroková sazba stanovená kotací Banky). V případě, že by úroková sazba stanovená výše sjednaným způsobem byla menší než nula, použije se pro výpočet úročení podle Smlouvy úroková sazba v hodnotě nula.</w:t>
            </w:r>
          </w:p>
        </w:tc>
      </w:tr>
      <w:tr w:rsidR="00043B12" w14:paraId="78FEE29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2B15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8.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9A80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Není-li možné stanovit pohyblivou úrokovou sazbu podle Smlouvy z důvodu, že (i) ve Smlouvě uvedená referenční úroková sazba („</w:t>
            </w:r>
            <w:r w:rsidRPr="00936291">
              <w:rPr>
                <w:b/>
                <w:bCs/>
                <w:lang w:val="cs-CZ" w:eastAsia="cs-CZ" w:bidi="ar-SA"/>
              </w:rPr>
              <w:t>Příslušná referenční hodnota</w:t>
            </w:r>
            <w:r w:rsidRPr="00936291">
              <w:rPr>
                <w:lang w:val="cs-CZ" w:eastAsia="cs-CZ" w:bidi="ar-SA"/>
              </w:rPr>
              <w:t>“) přestane být trvale či dlouhodobě (na dobu neurčitou) k dispozici, (ii) se stane protiprávním používat Příslušnou referenční hodnotu, (iii) podle názoru administrátora referenční hodnoty (jak je definován v nařízení Evropského parlamentu a Rady (EU) 2016/1011 ze dne 8. června 2016) se podstatným způsobem změní metodika pro výpočet Příslušné referenční hodnoty a/nebo (iv) centrální banka či jiný orgán dohledu nebo jimi nominovaný subjekt či pracovní skupina („</w:t>
            </w:r>
            <w:r w:rsidRPr="00936291">
              <w:rPr>
                <w:b/>
                <w:bCs/>
                <w:lang w:val="cs-CZ" w:eastAsia="cs-CZ" w:bidi="ar-SA"/>
              </w:rPr>
              <w:t>Příslušný orgán</w:t>
            </w:r>
            <w:r w:rsidRPr="00936291">
              <w:rPr>
                <w:lang w:val="cs-CZ" w:eastAsia="cs-CZ" w:bidi="ar-SA"/>
              </w:rPr>
              <w:t>“) oznámí, že Příslušná referenční hodnota již není reprezentativní, bude pro účely stanovení úrokové sazby Příslušná referenční hodnota nahrazena Náhradní referenční hodnotou (jak je definována níže) a použije se pohyblivá úroková sazba s přechodnou fixací, resp. pohyblivá úroková sazba při úročení na bázi O/N, která je součtem Náhradní referenční hodnoty upravené o vyrovnávací odchylku a marže v pevné výši uvedené ve Smlouvě, přičemž Klient je povinen takto stanovené úroky Bance uhradit nebo předčasně splatit své dluhy z poskytnutého Úvěru, a to do 30 dnů ode dne doručení oznámení Banky o výši takto stanovené úrokové sazby (v případě předčasného splacení Úvěru pak pro období, než předčasné splacení nastane, platí takto stanovená úroková sazba). V případě, že by úroková sazba stanovená výše sjednaným způsobem byla menší než nula, použije se pro výpočet úročení podle Smlouvy úroková sazba v hodnotě nula. Náhradní referenční hodnota („</w:t>
            </w:r>
            <w:r w:rsidRPr="00936291">
              <w:rPr>
                <w:b/>
                <w:bCs/>
                <w:lang w:val="cs-CZ" w:eastAsia="cs-CZ" w:bidi="ar-SA"/>
              </w:rPr>
              <w:t>Náhradní referenční hodnota</w:t>
            </w:r>
            <w:r w:rsidRPr="00936291">
              <w:rPr>
                <w:lang w:val="cs-CZ" w:eastAsia="cs-CZ" w:bidi="ar-SA"/>
              </w:rPr>
              <w:t>“) je referenční úroková sazba, (i) kterou za účelem nahrazení Příslušné referenční hodnoty doporučí Příslušný orgán nebo, (ii) nelze-li takto Náhradní referenční hodnotu stanovit, hodnota, která je obvykle považována za nástupce či náhradu Příslušné referenční hodnoty v souladu s převažující či vznikající tržní praxí u srovnatelných transakcí v téže měně nebo (iii) nelze-li ani takto Náhradní referenční hodnotu stanovit, referenční hodnota, která je Bankou vybrána coby nejsrovnatelnější s Příslušnou referenční hodnotou. Náhradní referenční hodnota bude upravena o případnou vyrovnávací odchylku s cílem v nejvyšší reálně možné míře vyloučit vznik ekonomického znevýhodnění či zvýhodnění Smluvních stran plynoucího z nahrazení Příslušné referenční hodnoty Náhradní referenční hodnotou. Touto vyrovnávací odchylkou bude (i) vyrovnávací odchylka doporučená Příslušným orgánem, nebo (ii) nelze-li ji takto stanovit, vyrovnávací odchylka obvykle používaná v souladu s převažující či vznikající tržní praxí u srovnatelných transakcí v téže měně, nebo (iii) nelze-li ji ani takto stanovit, vyrovnávací odchylka u transakcí s deriváty. Banka je oprávněna provést technické změny Smlouvy, které budou nezbytné pro použití Náhradní referenční hodnoty upravené o vyrovnávací odchylku, včetně změny délky úrokových období, doby a frekvence stanovení úrokových sazeb či data splatnosti úroků, a sdělí je bez zbytečného odkladu Klientovi společně s informací o tom, od kdy se Náhradní referenční hodnota a případné nezbytné změny Smlouvy použijí. Náhradní referenční hodnota i uvedené technické změny Smlouvy budou bez dalšího závazné pro Smluvní strany, aniž by s nimi musel Klient vyjádřit výslovný souhlas.</w:t>
            </w:r>
          </w:p>
        </w:tc>
      </w:tr>
      <w:tr w:rsidR="00043B12" w14:paraId="2CC7BED4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7857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9.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8BC9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Jakoukoli peněžitou pohledávku Banky ze Smlouvy či se Smlouvou související je Banka oprávněna ode dne její splatnosti inkasovat z účtu či účtů Klienta, uvedených ve Smlouvě. Klient je povinen zajistit, aby byl na tomto účtu/těchto účtech dostatek peněžních prostředků k tomuto inkasu. Nepostačuje-li zůstatek na tomto účtu/těchto účtech k tomuto inkasu, je Banka oprávněna inkasovat dlužnou částku z jakéhokoli jiného účtu Klienta, vedeného u Banky.</w:t>
            </w:r>
          </w:p>
        </w:tc>
      </w:tr>
      <w:tr w:rsidR="00043B12" w14:paraId="0BB847CA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99E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10.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D8A1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Inkasuje-li (nebo obdrží-li jinak) Banka v souvislosti se Smlouvou jakoukoli platbu, která nepostačuje k plné úhradě dlužné částky podle Smlouvy, Banka stanoví, na úhradu jaké dlužné částky podle Smlouvy či její části se tato platba použije.</w:t>
            </w:r>
          </w:p>
        </w:tc>
      </w:tr>
      <w:tr w:rsidR="00043B12" w14:paraId="6203A94D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6CE5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11.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70E7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 každé splatné a nezaplacené částky podle Smlouvy (kromě úroku) se Klient zavazuje zaplatit Bance úrok z prodlení ve výši sjednané ve Smlouvě. Splátky jistiny Úvěru po dni splatnosti budou nadále úročeny úrokovou sazbou sjednanou ve Smlouvě a k ní navíc sjednanou sazbou úroku z prodlení. Pohledávky vyplývající z Limitů a Instrumentů, poplatky a jiné částky neuhrazené ve dnech splatnosti budou úročeny jen sazbou úroku z prodlení. Úrok z neuhrazené jistiny v prodlení i úrok z prodlení je splatný ihned.</w:t>
            </w:r>
          </w:p>
        </w:tc>
      </w:tr>
      <w:tr w:rsidR="00043B12" w14:paraId="6E096E93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2CB4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D80F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Výpočet veškerých úroků podle Smlouvy (včetně úroku z prodlení) provádí Banka na základě roku o 360 dnech (365 dnů pro GBP) a měsících o skutečném počtu kalendářních dnů (v případě anuitních splátek o 30 dnech).</w:t>
            </w:r>
          </w:p>
        </w:tc>
      </w:tr>
      <w:tr w:rsidR="00043B12" w14:paraId="317A1D6D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3FE5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13.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1B3C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Sazbou *IBOR v ujednání Smlouvy o úročení (používá-li Smlouva *IBOR) je referenční úroková sazba mezibankovního peněžního trhu pro příslušnou měnu (PRIBOR v případě Kč, EURIBOR u dluhů v EUR, resp. LIBOR u dluhů v USD, GBP, CHF, příp. dalších měnách) ve výši uvedené pro příslušné časové období v informační síti REUTERS, popřípadě v jiných informačních mediích, a to vždy 2 pracovní dny před prvním dnem příslušného dílčího úvěrového období, období fixace či jiného časového období (jak jsou tato období sjednána ve Smlouvě) při úročení na bázi *IBOR, resp. vždy v příslušný den, kdy je Úvěr čerpán (pro nepracovní dny v České republice anebo na příslušném zahraničním trhu bude použita sazba vyhlášená pro nejbližší předcházející pracovní den) při úročení na bázi O/N*IBOR. Sazbou €STR v ujednání Smlouvy o úročení (používá-li Smlouva €STR) je 1-denní referenční (O/N = overnight) úroková sazba mezibankovního peněžního trhu pro měnu EUR vypočtená Evropskou centrální bankou („</w:t>
            </w:r>
            <w:r w:rsidRPr="00936291">
              <w:rPr>
                <w:b/>
                <w:bCs/>
                <w:lang w:val="cs-CZ" w:eastAsia="cs-CZ" w:bidi="ar-SA"/>
              </w:rPr>
              <w:t>ECB</w:t>
            </w:r>
            <w:r w:rsidRPr="00936291">
              <w:rPr>
                <w:lang w:val="cs-CZ" w:eastAsia="cs-CZ" w:bidi="ar-SA"/>
              </w:rPr>
              <w:t>“) (nebo jakoukoli jinou entitou, která převzala správu této sazby) ve výši uvedené v informační síti REUTERS (na příslušné obrazovce nejpozději v 09:00 středoevropského času), vždy v příslušný den, kdy je vyčerpána jakákoli část Úvěrového limitu (pro nepracovní dny v ČR a pro nebankovní dny ECB bude použita sazba vyhlášená pro nejbližší předcházející pracovní / bankovní den).</w:t>
            </w:r>
          </w:p>
        </w:tc>
      </w:tr>
      <w:tr w:rsidR="00043B12" w14:paraId="28F15623" w14:textId="77777777" w:rsidTr="00936291">
        <w:trPr>
          <w:cantSplit/>
          <w:trHeight w:val="180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7B36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14.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ADB0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Nestanoví-li Smlouva jinak, je Klient oprávněn předčasně splatit peněžní prostředky z Úvěru  pouze po předchozí písemné dohodě s Bankou a po zaplacení poplatku, sjednaného v takové dohodě s tím, že jakékoli předčasně splacené peněžní prostředky z Úvěru nemohou být znovu čerpány.</w:t>
            </w:r>
          </w:p>
        </w:tc>
      </w:tr>
      <w:tr w:rsidR="00043B12" w14:paraId="1B9D45BF" w14:textId="77777777" w:rsidTr="00936291">
        <w:trPr>
          <w:cantSplit/>
          <w:trHeight w:val="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2585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15.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4542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Přepočet jedné měny do jiné měny provádí Banka kurzem podle kurzovního lístku Banky platného v okamžik provedení příslušného přepočtu měn.</w:t>
            </w:r>
          </w:p>
        </w:tc>
      </w:tr>
      <w:tr w:rsidR="00043B12" w14:paraId="60644B7B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9613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4D9BBFB1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0A44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Závazky</w:t>
            </w:r>
          </w:p>
        </w:tc>
      </w:tr>
      <w:tr w:rsidR="00043B12" w14:paraId="3B6AF615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5B91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0FB5F7C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F632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16.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C0C6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Klient se zavazuje, že od uzavření Smlouvy do zániku veškerých existujících, budoucích či podmíněných dluhů ze Smlouvy:</w:t>
            </w:r>
          </w:p>
        </w:tc>
      </w:tr>
      <w:tr w:rsidR="00936291" w14:paraId="187204E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F9E6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DB59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BE3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mít k dispozici veškerá vyjádření, povolení a jiná rozhodnutí, nezbytná k provozování činnosti Klienta a učiní vše nezbytné, aby tato vyjádření, povolení či rozhodnutí byla platná a účinná a nebyla porušována,</w:t>
            </w:r>
          </w:p>
        </w:tc>
      </w:tr>
      <w:tr w:rsidR="00936291" w14:paraId="6E97A27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30DC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4486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BAC8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zajistí, aby plnění závazků Klienta ze Smlouvy nebylo v rozporu s jinými povinnostmi Klienta, ať zákonnými nebo smluvními,</w:t>
            </w:r>
          </w:p>
        </w:tc>
      </w:tr>
      <w:tr w:rsidR="00936291" w14:paraId="30F1774D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FC79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9573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543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zajistí, aby údaje uvedené v Prohlášení o vzájemných vazbách k jiným subjektům a doplňující informace, jehož kopie tvoří Přílohu Smlouvy („</w:t>
            </w:r>
            <w:r w:rsidRPr="00936291">
              <w:rPr>
                <w:b/>
                <w:bCs/>
                <w:lang w:val="cs-CZ" w:eastAsia="cs-CZ" w:bidi="ar-SA"/>
              </w:rPr>
              <w:t>Prohlášení</w:t>
            </w:r>
            <w:r w:rsidRPr="00936291">
              <w:rPr>
                <w:lang w:val="cs-CZ" w:eastAsia="cs-CZ" w:bidi="ar-SA"/>
              </w:rPr>
              <w:t>“), byly pravdivé, aktuální a úplné, a informuje Banku písemnou formou neprodleně, nejpozději však do 14 dní poté o tom, že došlo ke změnám skutečností uvedených v Prohlášení,</w:t>
            </w:r>
          </w:p>
        </w:tc>
      </w:tr>
      <w:tr w:rsidR="00936291" w14:paraId="3182A296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A91D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A199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53F1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zajistí rovné a spravedlivé postavení Banky vůči ostatním svým věřitelům, neupřednostněným ze zákona, zejména neupřednostní platby ve prospěch ostatních svých věřitelů před placením dluhů Bance a neposkytne žádnému z věřitelů výhodnější práva (včetně zajištění), než byla poskytnuta Bance podle Smlouvy,</w:t>
            </w:r>
          </w:p>
        </w:tc>
      </w:tr>
      <w:tr w:rsidR="00936291" w14:paraId="7B6C68A4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41BA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684C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e)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FAFE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použije peněžní prostředky čerpané podle Smlouvy, resp. bude čerpat Limit pouze k účelu uvedenému ve Smlouvě, nikdy však na financování politických stran, nezákonných nebo společensky nepřijatelných činností (např. provoz kasin, heren, výroba či obchodování s omamnými a psychotropními látkami, zbraněmi, municí, vojenskou výzbrojí a výstrojí a souvisejícími technologiemi),</w:t>
            </w:r>
          </w:p>
        </w:tc>
      </w:tr>
      <w:tr w:rsidR="00936291" w14:paraId="24A1B053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744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C824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f)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E6F5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Banku písemně informovat o zastavení svého majetku nebo jeho části nebo o tom, že umožnil vznik jakéhokoli věcného práva, opce či jiného práva třetí osoby či sjednal smluvní ujednání, které by mohlo vést k takovémuto zatížení jeho majetku, a to neprodleně, nejpozději však do 14 dní poté,</w:t>
            </w:r>
          </w:p>
        </w:tc>
      </w:tr>
      <w:tr w:rsidR="00936291" w14:paraId="2B48B94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62C9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90E1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g)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E90D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udržovat svůj majetek řádně pojištěn,</w:t>
            </w:r>
          </w:p>
        </w:tc>
      </w:tr>
      <w:tr w:rsidR="00936291" w14:paraId="3B5EB836" w14:textId="77777777" w:rsidTr="00936291">
        <w:trPr>
          <w:cantSplit/>
          <w:trHeight w:val="900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8421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C44C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h)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7204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Banku neprodleně informovat písemnou formou o skutečnostech ohrožujících plnění smluvních závazků Klienta, zejména o soudních, rozhodčích či jiných řízeních, jejichž výsledky mají nebo by mohly mít nepříznivý vliv na jeho finanční a majetkovou situaci nebo na jeho schopnost řádně dostát platebním závazkům ze Smlouvy; také bude Banku písemně informovat o každé Změně a jakékoli další změně, která může mít nepříznivý vliv na jeho finanční a majetkovou situaci nebo na jeho schopnost řádně dostát platebním závazkům ze Smlouvy, a to v časovém předstihu, je-li Klientovi tato změna předem známa; Změnou („</w:t>
            </w:r>
            <w:r w:rsidRPr="00936291">
              <w:rPr>
                <w:b/>
                <w:bCs/>
                <w:lang w:val="cs-CZ" w:eastAsia="cs-CZ" w:bidi="ar-SA"/>
              </w:rPr>
              <w:t>Změna</w:t>
            </w:r>
            <w:r w:rsidRPr="00936291">
              <w:rPr>
                <w:lang w:val="cs-CZ" w:eastAsia="cs-CZ" w:bidi="ar-SA"/>
              </w:rPr>
              <w:t>“) se rozumí odštěpení některých organizačních částí Klienta, jakákoli přeměna Klienta, snížení nebo zvýšení základního kapitálu Klienta, převod závodu Klienta či jeho části, změna druhu podílů v Klientovi, změna druhů kmenových listů nebo akcií vydaných Klientem, změna předmětu činnosti Klienta, ukončení podnikatelské činnosti Klienta či její podstatné části, ztráta oprávnění k podnikatelské činnosti Klienta,</w:t>
            </w:r>
          </w:p>
        </w:tc>
      </w:tr>
      <w:tr w:rsidR="00936291" w14:paraId="1C16E09A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DB6E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D7F3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i)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785D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se dostaví na písemnou výzvu Banky do 30 dní od odeslání této výzvy k sepsání dohody (na náklady Klienta) ve formě notářského zápisu o uznání svého dluhu vůči Bance ze Smlouvy a/nebo v souvislosti se Smlouvou, se svolením k vykonatelnosti takto uznaného dluhu,</w:t>
            </w:r>
          </w:p>
        </w:tc>
      </w:tr>
      <w:tr w:rsidR="00936291" w14:paraId="034D4A14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336B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6918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99E5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změní-li se jakkoli právní předpisy (včetně vydání nového právního předpisu), v důsledku čehož (i) Bance vznikly dodatečné nebo zvýšené náklady, (ii) došlo ke snížení míry návratnosti peněžních prostředků poskytnutých podle Smlouvy nebo (iii) došlo ke snížení jakékoliv částky dlužné a splatné podle Smlouvy oproti stavu ke dni uzavření Smlouvy, zaplatí Bance odpovídající částku do 60 dnů ode dne doručení písemné výzvy Banky, specifikující tyto částky, nebo, v případě Úvěru, v téže lhůtě předčasně splatí veškeré dluhy ze Smlouvy a se Smlouvou související.</w:t>
            </w:r>
          </w:p>
        </w:tc>
      </w:tr>
      <w:tr w:rsidR="00043B12" w14:paraId="211014E8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F912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4BBD01E0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ED84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Případy porušení</w:t>
            </w:r>
          </w:p>
        </w:tc>
      </w:tr>
      <w:tr w:rsidR="00043B12" w14:paraId="1F4FDF1C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DCA8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0788E81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EF9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17.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51C3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Případem porušení je:</w:t>
            </w:r>
          </w:p>
        </w:tc>
      </w:tr>
      <w:tr w:rsidR="00936291" w14:paraId="6E5143FB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B857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C871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75B2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Porušení či nedodržení podmínek čerpání Úvěru nebo Limitu nebo otevření či vystavení Instrumentu podle Smlouvy.</w:t>
            </w:r>
          </w:p>
        </w:tc>
      </w:tr>
      <w:tr w:rsidR="00936291" w14:paraId="32FAFA6E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9D96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67A4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D7CD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Prodlení Klienta se splacením jakéhokoli dluhu vůči Bance či s plněním jakékoli povinnosti (ze Smlouvy či jiného právního jednání) trvající déle než 5 pracovních dnů.</w:t>
            </w:r>
          </w:p>
        </w:tc>
      </w:tr>
      <w:tr w:rsidR="00936291" w14:paraId="69D55A5D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61BE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8A9B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3613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Nepravdivost, neúplnost nebo nepřesnost jakéhokoli prohlášení učiněného Klientem ve Smlouvě či jiném právním jednání nebo dokumentu, souvisejícím se Smlouvou.</w:t>
            </w:r>
          </w:p>
        </w:tc>
      </w:tr>
      <w:tr w:rsidR="00936291" w14:paraId="7DA99DA6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8847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EAB8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8C9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Porušení jakéhokoli závazku podle Smlouvy (včetně ÚOP); v případě závazku předkládat Bance dokumenty a výkazy pouze opakované porušení nebo porušení trvající déle než 20 dnů ode dne zaslání písemné výzvy Banky ke splnění tohoto závazku.</w:t>
            </w:r>
          </w:p>
        </w:tc>
      </w:tr>
      <w:tr w:rsidR="00936291" w14:paraId="2BFBB038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E1D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2BF2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e)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C8D0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Zahájení exekuce, výkonu rozhodnutí či výkonu jakéhokoli zajištění vůči jakémukoli majetku Klienta.</w:t>
            </w:r>
          </w:p>
        </w:tc>
      </w:tr>
      <w:tr w:rsidR="00936291" w14:paraId="6BB94FB7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42A4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7197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f)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9009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Zahájení insolvenčního řízení, či jiného řízení z důvodu platební nevůle, platební neschopnosti či předlužení, nebo rozhodnutí o likvidaci, a to vůči Klientovi, ovládající osobě Klienta či ovládané osobě Klienta, nebo osobě, jejíž dluhy Klient zajišťuje.</w:t>
            </w:r>
          </w:p>
        </w:tc>
      </w:tr>
      <w:tr w:rsidR="00936291" w14:paraId="350C47F7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400A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A43D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g)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416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Prodlení Klienta s plněním zákonných či smluvních závazků vůči státu, zdravotní pojišťovně nebo vůči jakékoli bance.</w:t>
            </w:r>
          </w:p>
        </w:tc>
      </w:tr>
      <w:tr w:rsidR="00936291" w14:paraId="1538E1C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19B0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4721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h)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AD34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Vznik skutečnosti či souhrnu skutečností, představujících podstatnou změnu podmínek, za nichž byla Smlouva uzavřena, a které dle odůvodněného stanoviska Banky mohou mít podstatný nepříznivý dopad na finanční a majetkovou situaci Klienta a jeho schopnost plnit závazky ze Smlouvy.</w:t>
            </w:r>
          </w:p>
        </w:tc>
      </w:tr>
      <w:tr w:rsidR="00936291" w14:paraId="78F2CC4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966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EEE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i)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1428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Vznik Změny, která může mít nepříznivý dopad na majetkovou a finanční situaci Klienta nebo na jeho schopnost řádně dostát závazkům vyplývajícím ze Smlouvy, bez předchozího písemného souhlasu Banky.</w:t>
            </w:r>
          </w:p>
        </w:tc>
      </w:tr>
      <w:tr w:rsidR="00936291" w14:paraId="2510E246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47EE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5A1D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F605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Klient nedoplnil zajištění dle Smlouvy ve lhůtě, kterou mu Banka určila, a způsobem, který Banka vyžaduje v souladu se Smlouvou.</w:t>
            </w:r>
          </w:p>
        </w:tc>
      </w:tr>
      <w:tr w:rsidR="00936291" w14:paraId="2E2A2D4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54F0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590D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k)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650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Jakýkoli převod (včetně vyčlenění do svěřenského fondu) podstatné části majetku Klienta na třetí osobu (nejde-li o oběžná aktiva, převedená za podmínek obvyklých v obchodním styku).</w:t>
            </w:r>
          </w:p>
        </w:tc>
      </w:tr>
      <w:tr w:rsidR="00936291" w14:paraId="179B113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8136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D0DA3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l)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216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Zastavení a/nebo zcizení podílu na Klientovi/akcií Klienta.</w:t>
            </w:r>
          </w:p>
        </w:tc>
      </w:tr>
      <w:tr w:rsidR="00043B12" w14:paraId="7C715B5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FF3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18.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E96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Nastal-li Případ porušení (jak je definován ve Smlouvě), Banka je oprávněna oznámením odeslaným Klientovi:</w:t>
            </w:r>
          </w:p>
        </w:tc>
      </w:tr>
      <w:tr w:rsidR="00936291" w14:paraId="3E477B27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9975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F6E6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BF73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omezit nebo zastavit čerpání peněžních prostředků z Úvěru nebo Limitu,</w:t>
            </w:r>
          </w:p>
        </w:tc>
      </w:tr>
      <w:tr w:rsidR="00936291" w14:paraId="06F19C6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C6B4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C29A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7DC7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písemně prohlásit, že všechny peněžité dluhy Klienta vůči Bance z poskytnutého Úvěru nebo jakákoli jejich část jsou splatné v den uvedený v oznámení Banky, čímž se stávají v tento den splatnými a Klient je povinen je v tento den uhradit,</w:t>
            </w:r>
          </w:p>
        </w:tc>
      </w:tr>
      <w:tr w:rsidR="00936291" w14:paraId="138A2AFC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90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50A0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EF6A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provést i před dnem splatnosti dluhů Klienta, jejichž řádné splacení je ohroženo, blokaci jakýchkoli účtů Klienta vedených Bankou (zejména neprovádět Klientovy platební příkazy a nevyplácet hotovost) a zůstatek a docházející úhrady použít na splacení peněžitých dluhů Klienta a/nebo k vytvoření peněžního krytí na vnitřním účtu Banky jako peněžité jistoty na úhradu v budoucnu splatných dluhů Klienta ze Smlouvy či se Smlouvou souvisejících, a/nebo</w:t>
            </w:r>
          </w:p>
        </w:tc>
      </w:tr>
      <w:tr w:rsidR="00936291" w14:paraId="43A5BD62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FBAB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C09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3C41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požadovat zaplacení smluvní pokuty ve výši a za podmínek sjednaných ve Smlouvě.</w:t>
            </w:r>
          </w:p>
        </w:tc>
      </w:tr>
      <w:tr w:rsidR="00043B12" w14:paraId="045EAA69" w14:textId="77777777" w:rsidTr="00936291">
        <w:trPr>
          <w:cantSplit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F201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568BBE21" w14:textId="77777777" w:rsidTr="00936291">
        <w:trPr>
          <w:cantSplit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C3D6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Doručování</w:t>
            </w:r>
          </w:p>
        </w:tc>
      </w:tr>
      <w:tr w:rsidR="00043B12" w14:paraId="76789B89" w14:textId="77777777" w:rsidTr="00936291">
        <w:trPr>
          <w:cantSplit/>
          <w:tblCellSpacing w:w="-100" w:type="dxa"/>
        </w:trPr>
        <w:tc>
          <w:tcPr>
            <w:tcW w:w="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9D68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2BD9E90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3DF7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19.</w:t>
            </w:r>
          </w:p>
        </w:tc>
        <w:tc>
          <w:tcPr>
            <w:tcW w:w="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FB18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Doručování:</w:t>
            </w:r>
          </w:p>
        </w:tc>
      </w:tr>
      <w:tr w:rsidR="00936291" w14:paraId="64D32804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D5D6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40FA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A5DF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písemnosti doručované poskytovatelem poštovních služeb zasílá Banka Klientovi na adresu bydliště či trvalého pobytu či sídla, uvedenou ve Smlouvě, popř. na jinou dohodnutou adresu; dohodnutou adresou nemůže být adresa pobočky Banky a PO BOX. Banka zasílá písemnosti jako obyčejnou zásilku, doporučené psaní nebo doporučené psaní s dodejkou,</w:t>
            </w:r>
          </w:p>
        </w:tc>
      </w:tr>
      <w:tr w:rsidR="00936291" w14:paraId="29371BA9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2FB2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97E2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A65F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bude-li písemnost poskytovatelem poštovních služeb vrácena jako nedoručitelná, účinky doručení nastávají v den, kdy je zásilka vrácena Bance. Účinky doručení nastávají i v případě, jestliže převzetí písemnosti Klient odmítne,</w:t>
            </w:r>
          </w:p>
        </w:tc>
      </w:tr>
      <w:tr w:rsidR="00936291" w14:paraId="458B95B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CF53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727A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8024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písemnosti určené pro Klienta, které nejsou doručovány poskytovatelem poštovních služeb, jsou v Bance oprávněni vyzvedávat Klient, resp. osoby, které Klient uvede ve zmocnění podepsaném před pracovníkem Banky, nebo osoby, které se prokážou plnou mocí s úředně ověřeným podpisem Klienta,</w:t>
            </w:r>
          </w:p>
        </w:tc>
      </w:tr>
      <w:tr w:rsidR="00936291" w14:paraId="53B5E38E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B4B0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8F75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5DB9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písemnosti Klienta jsou doručené, pouze byly-li doručeny na adresu pobočky Banky uvedené ve Smlouvě.</w:t>
            </w:r>
          </w:p>
        </w:tc>
      </w:tr>
      <w:tr w:rsidR="00043B12" w14:paraId="68B80948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A52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474CA033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904D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Závěrečná ustanovení</w:t>
            </w:r>
          </w:p>
        </w:tc>
      </w:tr>
      <w:tr w:rsidR="00043B12" w14:paraId="69B84BC0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A9F9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3724E158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EE8E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20.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AC6A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Neodsouhlasí-li Banka jinak, musí být veškeré dokumenty předkládané jí podle Smlouvy či v souvislosti s ní v češtině nebo slovenštině, nebo úředně přeložené do češtiny.</w:t>
            </w:r>
          </w:p>
        </w:tc>
      </w:tr>
      <w:tr w:rsidR="00043B12" w14:paraId="71C8FBE2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5C88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21.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AE1E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Plná moc, zmocňující jakoukoli osobu jednat jménem Klienta vůči Bance podle Smlouvy musí (i) vyhovovat požadovanému právnímu jednání, (ii) mít úředně ověřené podpisy, nebo být podepsána před pracovníkem Banky, a (iii) musí být doručena pobočce Banky, ve které má být příslušné právní jednání uskutečněno, nejméně 5 pracovních dní přede dnem tohoto právního jednání. Banka je též oprávněna odmítnout plnou moc (i) substituční a/nebo (ii) vystavenou/podepsanou za Klienta osobou, která nebyla dosud Bankou identifikována a/nebo (iii) starší než tři měsíce od jejího vystavení a/nebo (iv) generální, tj. obecnou plnou moc bez specifikace konkrétního požadovaného právního jednání.</w:t>
            </w:r>
          </w:p>
        </w:tc>
      </w:tr>
      <w:tr w:rsidR="00043B12" w14:paraId="0CF9E95D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40A4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C404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Banka je oprávněna vyžadovat úřední ověření podpisu na všech písemných právních jednáních, která nejsou činěna před zaměstnancem Banky.</w:t>
            </w:r>
          </w:p>
        </w:tc>
      </w:tr>
      <w:tr w:rsidR="00043B12" w14:paraId="3CC8C51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A500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DF68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ÚOP nabývají účinnosti dnem 1.7.2020.</w:t>
            </w:r>
          </w:p>
        </w:tc>
      </w:tr>
    </w:tbl>
    <w:p w14:paraId="7D3E9211" w14:textId="77777777" w:rsidR="00936291" w:rsidRDefault="00936291">
      <w:pPr>
        <w:rPr>
          <w:lang w:val="cs-CZ" w:eastAsia="cs-CZ" w:bidi="ar-SA"/>
        </w:rPr>
      </w:pPr>
      <w:r>
        <w:rPr>
          <w:lang w:val="cs-CZ" w:eastAsia="cs-CZ" w:bidi="ar-SA"/>
        </w:rPr>
        <w:t> </w:t>
      </w:r>
    </w:p>
    <w:tbl>
      <w:tblPr>
        <w:tblW w:w="9102" w:type="dxa"/>
        <w:tblCellSpacing w:w="-10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25"/>
        <w:gridCol w:w="2325"/>
        <w:gridCol w:w="2326"/>
        <w:gridCol w:w="2226"/>
      </w:tblGrid>
      <w:tr w:rsidR="00936291" w14:paraId="14F8DCB4" w14:textId="77777777" w:rsidTr="00936291">
        <w:trPr>
          <w:cantSplit/>
          <w:tblCellSpacing w:w="-100" w:type="dxa"/>
        </w:trPr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6A0A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color w:val="FFFFFF"/>
                <w:lang w:val="cs-CZ" w:eastAsia="cs-CZ" w:bidi="ar-SA"/>
              </w:rPr>
              <w:lastRenderedPageBreak/>
              <w:t>*K*</w:t>
            </w:r>
          </w:p>
          <w:p w14:paraId="35FDA73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  <w:p w14:paraId="5F03E70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  <w:p w14:paraId="33C3DF4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95C7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C36F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65CF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</w:tbl>
    <w:p w14:paraId="2A37939F" w14:textId="77777777" w:rsidR="00936291" w:rsidRDefault="00936291">
      <w:pPr>
        <w:rPr>
          <w:lang w:val="cs-CZ" w:eastAsia="cs-CZ" w:bidi="ar-SA"/>
        </w:rPr>
      </w:pPr>
    </w:p>
    <w:sectPr w:rsidR="0093629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3714" w14:textId="77777777" w:rsidR="00271158" w:rsidRDefault="00271158">
      <w:r>
        <w:separator/>
      </w:r>
    </w:p>
  </w:endnote>
  <w:endnote w:type="continuationSeparator" w:id="0">
    <w:p w14:paraId="6F62FC76" w14:textId="77777777" w:rsidR="00271158" w:rsidRDefault="0027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2AA6" w14:textId="77777777" w:rsidR="00C218BF" w:rsidRDefault="00C21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7" w:type="dxa"/>
      <w:tblCellSpacing w:w="-100" w:type="dxa"/>
      <w:tblInd w:w="-35" w:type="dxa"/>
      <w:tblBorders>
        <w:top w:val="single" w:sz="6" w:space="0" w:color="000000"/>
        <w:left w:val="nil"/>
        <w:bottom w:val="single" w:sz="6" w:space="0" w:color="000000"/>
        <w:right w:val="nil"/>
        <w:insideH w:val="nil"/>
        <w:insideV w:val="nil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3000"/>
      <w:gridCol w:w="6107"/>
    </w:tblGrid>
    <w:tr w:rsidR="00936291" w14:paraId="16001FB8" w14:textId="77777777" w:rsidTr="00936291">
      <w:trPr>
        <w:cantSplit/>
        <w:tblCellSpacing w:w="-100" w:type="dxa"/>
      </w:trPr>
      <w:tc>
        <w:tcPr>
          <w:tcW w:w="170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54CC4980" w14:textId="77777777" w:rsidR="00936291" w:rsidRPr="00936291" w:rsidRDefault="00936291" w:rsidP="00936291">
          <w:pPr>
            <w:jc w:val="lef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Československá obchodní banka, a. s.</w:t>
          </w:r>
        </w:p>
      </w:tc>
      <w:tc>
        <w:tcPr>
          <w:tcW w:w="330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3C2C9941" w14:textId="77777777" w:rsidR="00936291" w:rsidRPr="00936291" w:rsidRDefault="00936291" w:rsidP="00936291">
          <w:pPr>
            <w:jc w:val="righ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ČSAD Liberec, a.s.</w:t>
          </w:r>
        </w:p>
      </w:tc>
    </w:tr>
  </w:tbl>
  <w:p w14:paraId="1DCD85CD" w14:textId="77777777" w:rsidR="00936291" w:rsidRDefault="009362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9E0A" w14:textId="77777777" w:rsidR="00C218BF" w:rsidRDefault="00C218B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1033" w14:textId="77777777" w:rsidR="00936291" w:rsidRDefault="00936291">
    <w:pPr>
      <w:pStyle w:val="anyParagraph"/>
      <w:jc w:val="right"/>
      <w:rPr>
        <w:lang w:val="cs-CZ" w:eastAsia="cs-CZ" w:bidi="ar-SA"/>
      </w:rPr>
    </w:pPr>
    <w:r>
      <w:rPr>
        <w:lang w:val="cs-CZ" w:eastAsia="cs-CZ" w:bidi="ar-SA"/>
      </w:rPr>
      <w:t xml:space="preserve">strana </w:t>
    </w:r>
    <w:r>
      <w:rPr>
        <w:rStyle w:val="any"/>
        <w:lang w:val="cs-CZ" w:eastAsia="cs-CZ" w:bidi="ar-SA"/>
      </w:rPr>
      <w:fldChar w:fldCharType="begin"/>
    </w:r>
    <w:r>
      <w:rPr>
        <w:rStyle w:val="any"/>
        <w:lang w:val="cs-CZ" w:eastAsia="cs-CZ" w:bidi="ar-SA"/>
      </w:rPr>
      <w:instrText>PAGE</w:instrText>
    </w:r>
    <w:r>
      <w:rPr>
        <w:rStyle w:val="any"/>
        <w:lang w:val="cs-CZ" w:eastAsia="cs-CZ" w:bidi="ar-SA"/>
      </w:rPr>
      <w:fldChar w:fldCharType="separate"/>
    </w:r>
    <w:r w:rsidR="00043B12">
      <w:rPr>
        <w:rStyle w:val="any"/>
        <w:noProof/>
        <w:lang w:val="cs-CZ" w:eastAsia="cs-CZ" w:bidi="ar-SA"/>
      </w:rPr>
      <w:t>2</w:t>
    </w:r>
    <w:r>
      <w:rPr>
        <w:rStyle w:val="any"/>
        <w:lang w:val="cs-CZ" w:eastAsia="cs-CZ" w:bidi="ar-SA"/>
      </w:rPr>
      <w:fldChar w:fldCharType="end"/>
    </w:r>
  </w:p>
  <w:p w14:paraId="4F2457E2" w14:textId="77777777" w:rsidR="00936291" w:rsidRDefault="0093629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F34D" w14:textId="77777777" w:rsidR="00936291" w:rsidRDefault="00936291">
    <w:pPr>
      <w:pStyle w:val="anyParagraph"/>
      <w:jc w:val="right"/>
      <w:rPr>
        <w:lang w:val="cs-CZ" w:eastAsia="cs-CZ" w:bidi="ar-SA"/>
      </w:rPr>
    </w:pPr>
    <w:r>
      <w:rPr>
        <w:lang w:val="cs-CZ" w:eastAsia="cs-CZ" w:bidi="ar-SA"/>
      </w:rPr>
      <w:t xml:space="preserve">strana </w:t>
    </w:r>
    <w:r>
      <w:rPr>
        <w:rStyle w:val="any"/>
        <w:lang w:val="cs-CZ" w:eastAsia="cs-CZ" w:bidi="ar-SA"/>
      </w:rPr>
      <w:fldChar w:fldCharType="begin"/>
    </w:r>
    <w:r>
      <w:rPr>
        <w:rStyle w:val="any"/>
        <w:lang w:val="cs-CZ" w:eastAsia="cs-CZ" w:bidi="ar-SA"/>
      </w:rPr>
      <w:instrText>PAGE</w:instrText>
    </w:r>
    <w:r>
      <w:rPr>
        <w:rStyle w:val="any"/>
        <w:lang w:val="cs-CZ" w:eastAsia="cs-CZ" w:bidi="ar-SA"/>
      </w:rPr>
      <w:fldChar w:fldCharType="separate"/>
    </w:r>
    <w:r w:rsidR="00043B12">
      <w:rPr>
        <w:rStyle w:val="any"/>
        <w:noProof/>
        <w:lang w:val="cs-CZ" w:eastAsia="cs-CZ" w:bidi="ar-SA"/>
      </w:rPr>
      <w:t>1</w:t>
    </w:r>
    <w:r>
      <w:rPr>
        <w:rStyle w:val="any"/>
        <w:lang w:val="cs-CZ" w:eastAsia="cs-CZ" w:bidi="ar-SA"/>
      </w:rPr>
      <w:fldChar w:fldCharType="end"/>
    </w:r>
  </w:p>
  <w:p w14:paraId="5824BB25" w14:textId="77777777" w:rsidR="00936291" w:rsidRDefault="009362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1760" w14:textId="77777777" w:rsidR="00271158" w:rsidRDefault="00271158">
      <w:r>
        <w:separator/>
      </w:r>
    </w:p>
  </w:footnote>
  <w:footnote w:type="continuationSeparator" w:id="0">
    <w:p w14:paraId="18CCB9BF" w14:textId="77777777" w:rsidR="00271158" w:rsidRDefault="0027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2938" w14:textId="77777777" w:rsidR="00C218BF" w:rsidRDefault="00C218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7" w:type="dxa"/>
      <w:tblCellSpacing w:w="-100" w:type="dxa"/>
      <w:tblInd w:w="-35" w:type="dxa"/>
      <w:tblBorders>
        <w:top w:val="single" w:sz="6" w:space="0" w:color="000000"/>
        <w:left w:val="nil"/>
        <w:bottom w:val="single" w:sz="6" w:space="0" w:color="000000"/>
        <w:right w:val="nil"/>
        <w:insideH w:val="nil"/>
        <w:insideV w:val="nil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7951"/>
      <w:gridCol w:w="1156"/>
    </w:tblGrid>
    <w:tr w:rsidR="00936291" w14:paraId="0CBB6039" w14:textId="77777777" w:rsidTr="00936291">
      <w:trPr>
        <w:cantSplit/>
        <w:tblCellSpacing w:w="-100" w:type="dxa"/>
      </w:trPr>
      <w:tc>
        <w:tcPr>
          <w:tcW w:w="425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6CC25477" w14:textId="77777777" w:rsidR="00936291" w:rsidRPr="00936291" w:rsidRDefault="00936291" w:rsidP="00936291">
          <w:pPr>
            <w:jc w:val="lef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Smlouva č. 2023008861</w:t>
          </w:r>
        </w:p>
      </w:tc>
      <w:tc>
        <w:tcPr>
          <w:tcW w:w="75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762F396F" w14:textId="77777777" w:rsidR="00936291" w:rsidRPr="00936291" w:rsidRDefault="00936291" w:rsidP="00936291">
          <w:pPr>
            <w:jc w:val="righ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strana </w:t>
          </w:r>
          <w:r w:rsidRPr="00936291">
            <w:rPr>
              <w:rStyle w:val="any"/>
              <w:b/>
              <w:bCs/>
              <w:lang w:val="cs-CZ" w:eastAsia="cs-CZ" w:bidi="ar-SA"/>
            </w:rPr>
            <w:fldChar w:fldCharType="begin"/>
          </w:r>
          <w:r w:rsidRPr="00936291">
            <w:rPr>
              <w:rStyle w:val="any"/>
              <w:b/>
              <w:bCs/>
              <w:lang w:val="cs-CZ" w:eastAsia="cs-CZ" w:bidi="ar-SA"/>
            </w:rPr>
            <w:instrText>PAGE</w:instrText>
          </w:r>
          <w:r w:rsidRPr="00936291">
            <w:rPr>
              <w:rStyle w:val="any"/>
              <w:b/>
              <w:bCs/>
              <w:lang w:val="cs-CZ" w:eastAsia="cs-CZ" w:bidi="ar-SA"/>
            </w:rPr>
            <w:fldChar w:fldCharType="separate"/>
          </w:r>
          <w:r w:rsidR="00043B12" w:rsidRPr="00936291">
            <w:rPr>
              <w:rStyle w:val="any"/>
              <w:b/>
              <w:bCs/>
              <w:noProof/>
              <w:lang w:val="cs-CZ" w:eastAsia="cs-CZ" w:bidi="ar-SA"/>
            </w:rPr>
            <w:t>2</w:t>
          </w:r>
          <w:r w:rsidRPr="00936291">
            <w:rPr>
              <w:rStyle w:val="any"/>
              <w:b/>
              <w:bCs/>
              <w:lang w:val="cs-CZ" w:eastAsia="cs-CZ" w:bidi="ar-SA"/>
            </w:rPr>
            <w:fldChar w:fldCharType="end"/>
          </w:r>
        </w:p>
      </w:tc>
    </w:tr>
  </w:tbl>
  <w:p w14:paraId="0B6718CB" w14:textId="77777777" w:rsidR="00936291" w:rsidRDefault="00936291" w:rsidP="00043B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7765" w14:textId="77777777" w:rsidR="00C218BF" w:rsidRDefault="00C218B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6A7A" w14:textId="77777777" w:rsidR="00936291" w:rsidRPr="00043B12" w:rsidRDefault="00936291" w:rsidP="00043B1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02CB" w14:textId="77777777" w:rsidR="00936291" w:rsidRPr="00C218BF" w:rsidRDefault="00936291" w:rsidP="00C21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bullet"/>
      <w:lvlText w:val=""/>
      <w:lvlJc w:val="left"/>
      <w:pPr>
        <w:ind w:left="1440" w:hanging="87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(%3)"/>
      <w:lvlJc w:val="left"/>
      <w:pPr>
        <w:ind w:left="2160" w:hanging="102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(%3)"/>
      <w:lvlJc w:val="left"/>
      <w:pPr>
        <w:ind w:left="2160" w:hanging="102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800490">
    <w:abstractNumId w:val="0"/>
  </w:num>
  <w:num w:numId="2" w16cid:durableId="865101365">
    <w:abstractNumId w:val="1"/>
  </w:num>
  <w:num w:numId="3" w16cid:durableId="982394459">
    <w:abstractNumId w:val="2"/>
  </w:num>
  <w:num w:numId="4" w16cid:durableId="723525020">
    <w:abstractNumId w:val="3"/>
  </w:num>
  <w:num w:numId="5" w16cid:durableId="808478470">
    <w:abstractNumId w:val="4"/>
  </w:num>
  <w:num w:numId="6" w16cid:durableId="504437735">
    <w:abstractNumId w:val="5"/>
  </w:num>
  <w:num w:numId="7" w16cid:durableId="908658677">
    <w:abstractNumId w:val="6"/>
  </w:num>
  <w:num w:numId="8" w16cid:durableId="1611429954">
    <w:abstractNumId w:val="7"/>
  </w:num>
  <w:num w:numId="9" w16cid:durableId="1224608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Pd8Vs25VotuuUxmZrbvYSolyEWjuZ/nitHtoTXhki7MYSm99Lz5L9OzddUhEa3C97rpU7UrdIPGpGODH56UF5g==" w:salt="9Skma38IQktOO767xwDMTw=="/>
  <w:defaultTabStop w:val="56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B12"/>
    <w:rsid w:val="00043B12"/>
    <w:rsid w:val="00271158"/>
    <w:rsid w:val="00570BBE"/>
    <w:rsid w:val="008F5CC0"/>
    <w:rsid w:val="00902CE1"/>
    <w:rsid w:val="00936291"/>
    <w:rsid w:val="00C218BF"/>
    <w:rsid w:val="00EA3681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1412928"/>
  <w15:chartTrackingRefBased/>
  <w15:docId w15:val="{84966A06-8FC2-4BDB-9860-2B688D1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BCE"/>
    <w:pPr>
      <w:jc w:val="both"/>
    </w:pPr>
    <w:rPr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rsid w:val="00EF7B96"/>
    <w:pPr>
      <w:keepNext/>
      <w:spacing w:before="240" w:after="60"/>
      <w:jc w:val="center"/>
      <w:outlineLvl w:val="0"/>
    </w:pPr>
    <w:rPr>
      <w:b/>
      <w:bCs/>
      <w:kern w:val="36"/>
    </w:rPr>
  </w:style>
  <w:style w:type="paragraph" w:styleId="Nadpis2">
    <w:name w:val="heading 2"/>
    <w:basedOn w:val="Normln"/>
    <w:next w:val="Normln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F7B96"/>
    <w:pPr>
      <w:keepNext/>
      <w:spacing w:before="240" w:after="6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qFormat/>
    <w:rsid w:val="00EF7B96"/>
    <w:pPr>
      <w:keepNext/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vWordSection1">
    <w:name w:val="div_WordSection1"/>
    <w:basedOn w:val="Normln"/>
  </w:style>
  <w:style w:type="table" w:customStyle="1" w:styleId="table">
    <w:name w:val="table"/>
    <w:basedOn w:val="Normlntabulka"/>
    <w:tblPr/>
  </w:style>
  <w:style w:type="character" w:customStyle="1" w:styleId="cg3-block-content-condition">
    <w:name w:val="cg3-block-content-condition"/>
    <w:basedOn w:val="Standardnpsmoodstavce"/>
  </w:style>
  <w:style w:type="paragraph" w:customStyle="1" w:styleId="divWordSection2">
    <w:name w:val="div_WordSection2"/>
    <w:basedOn w:val="Normln"/>
  </w:style>
  <w:style w:type="character" w:customStyle="1" w:styleId="any">
    <w:name w:val="any"/>
    <w:rPr>
      <w:sz w:val="18"/>
      <w:szCs w:val="18"/>
    </w:rPr>
  </w:style>
  <w:style w:type="table" w:customStyle="1" w:styleId="anyTable">
    <w:name w:val="any Table"/>
    <w:basedOn w:val="Normlntabulka"/>
    <w:tblPr/>
  </w:style>
  <w:style w:type="paragraph" w:customStyle="1" w:styleId="anyParagraph">
    <w:name w:val="any Paragraph"/>
    <w:basedOn w:val="Normln"/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3B12"/>
    <w:rPr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43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3B1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49EC292DC784408553BDEA584D02EA" ma:contentTypeVersion="15" ma:contentTypeDescription="Vytvoří nový dokument" ma:contentTypeScope="" ma:versionID="e5dd8fee638d7bd1399e188e4ba940d7">
  <xsd:schema xmlns:xsd="http://www.w3.org/2001/XMLSchema" xmlns:xs="http://www.w3.org/2001/XMLSchema" xmlns:p="http://schemas.microsoft.com/office/2006/metadata/properties" xmlns:ns2="c77f6ed5-b798-48fc-969d-0421d4e3bd67" xmlns:ns3="d2227a0d-4c53-4af7-b2f6-aa6fb53af47d" targetNamespace="http://schemas.microsoft.com/office/2006/metadata/properties" ma:root="true" ma:fieldsID="b7ee42699502c9484fc4378857ba85d6" ns2:_="" ns3:_="">
    <xsd:import namespace="c77f6ed5-b798-48fc-969d-0421d4e3bd67"/>
    <xsd:import namespace="d2227a0d-4c53-4af7-b2f6-aa6fb53af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6ed5-b798-48fc-969d-0421d4e3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7a0d-4c53-4af7-b2f6-aa6fb53af4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904fc7-09b7-49ea-a24b-bb89738dd845}" ma:internalName="TaxCatchAll" ma:showField="CatchAllData" ma:web="d2227a0d-4c53-4af7-b2f6-aa6fb53af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27a0d-4c53-4af7-b2f6-aa6fb53af47d" xsi:nil="true"/>
    <lcf76f155ced4ddcb4097134ff3c332f xmlns="c77f6ed5-b798-48fc-969d-0421d4e3b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037D9-04EC-4772-8521-892C88E88D31}"/>
</file>

<file path=customXml/itemProps2.xml><?xml version="1.0" encoding="utf-8"?>
<ds:datastoreItem xmlns:ds="http://schemas.openxmlformats.org/officeDocument/2006/customXml" ds:itemID="{DAEFC676-2388-47F6-BF4F-103A25363362}"/>
</file>

<file path=customXml/itemProps3.xml><?xml version="1.0" encoding="utf-8"?>
<ds:datastoreItem xmlns:ds="http://schemas.openxmlformats.org/officeDocument/2006/customXml" ds:itemID="{CE8D7D73-660C-4803-AE09-671A41DF8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15966</Characters>
  <Application>Microsoft Office Word</Application>
  <DocSecurity>8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Účelový úvěr</vt:lpstr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Účelový úvěr</dc:title>
  <dc:subject/>
  <dc:creator>FICNAROVÁ Blanka</dc:creator>
  <cp:keywords/>
  <cp:lastModifiedBy>PRIMASOVÁ Petra</cp:lastModifiedBy>
  <cp:revision>2</cp:revision>
  <cp:lastPrinted>1601-01-01T00:00:00Z</cp:lastPrinted>
  <dcterms:created xsi:type="dcterms:W3CDTF">2023-08-01T07:02:00Z</dcterms:created>
  <dcterms:modified xsi:type="dcterms:W3CDTF">2023-08-01T07:02:00Z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6547bf-3669-44b1-9e89-321d0b86b530_Enabled">
    <vt:lpwstr>true</vt:lpwstr>
  </property>
  <property fmtid="{D5CDD505-2E9C-101B-9397-08002B2CF9AE}" pid="3" name="MSIP_Label_8c6547bf-3669-44b1-9e89-321d0b86b530_SetDate">
    <vt:lpwstr>2023-07-11T12:06:34Z</vt:lpwstr>
  </property>
  <property fmtid="{D5CDD505-2E9C-101B-9397-08002B2CF9AE}" pid="4" name="MSIP_Label_8c6547bf-3669-44b1-9e89-321d0b86b530_Method">
    <vt:lpwstr>Privileged</vt:lpwstr>
  </property>
  <property fmtid="{D5CDD505-2E9C-101B-9397-08002B2CF9AE}" pid="5" name="MSIP_Label_8c6547bf-3669-44b1-9e89-321d0b86b530_Name">
    <vt:lpwstr>8c6547bf-3669-44b1-9e89-321d0b86b530</vt:lpwstr>
  </property>
  <property fmtid="{D5CDD505-2E9C-101B-9397-08002B2CF9AE}" pid="6" name="MSIP_Label_8c6547bf-3669-44b1-9e89-321d0b86b530_SiteId">
    <vt:lpwstr>64af2aee-7d6c-49ac-a409-192d3fee73b8</vt:lpwstr>
  </property>
  <property fmtid="{D5CDD505-2E9C-101B-9397-08002B2CF9AE}" pid="7" name="MSIP_Label_8c6547bf-3669-44b1-9e89-321d0b86b530_ActionId">
    <vt:lpwstr>972be84b-acdf-41a5-85f8-710b7e19aa22</vt:lpwstr>
  </property>
  <property fmtid="{D5CDD505-2E9C-101B-9397-08002B2CF9AE}" pid="8" name="MSIP_Label_8c6547bf-3669-44b1-9e89-321d0b86b530_ContentBits">
    <vt:lpwstr>0</vt:lpwstr>
  </property>
  <property fmtid="{D5CDD505-2E9C-101B-9397-08002B2CF9AE}" pid="9" name="ContentTypeId">
    <vt:lpwstr>0x0101000049EC292DC784408553BDEA584D02EA</vt:lpwstr>
  </property>
</Properties>
</file>