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7D2BA9" w14:textId="77777777" w:rsidR="00CF7812" w:rsidRDefault="00DE4AC9">
      <w:pPr>
        <w:jc w:val="start"/>
      </w:pPr>
      <w:r>
        <w:rPr>
          <w:b/>
          <w:bCs/>
        </w:rPr>
        <w:t>Československá obchodní banka, a. s.</w:t>
      </w:r>
    </w:p>
    <w:tbl>
      <w:tblPr>
        <w:tblStyle w:val="table"/>
        <w:tblW w:w="455.35pt" w:type="dxa"/>
        <w:tblCellSpacing w:w="-1.75pt" w:type="dxa"/>
        <w:tblInd w:w="0.25pt" w:type="dxa"/>
        <w:tblCellMar>
          <w:top w:w="0.75pt" w:type="dxa"/>
          <w:start w:w="0.75pt" w:type="dxa"/>
          <w:bottom w:w="0.75pt" w:type="dxa"/>
          <w:end w:w="0.75pt" w:type="dxa"/>
        </w:tblCellMar>
        <w:tblLook w:firstRow="1" w:lastRow="1" w:firstColumn="1" w:lastColumn="1" w:noHBand="0" w:noVBand="1"/>
      </w:tblPr>
      <w:tblGrid>
        <w:gridCol w:w="176"/>
        <w:gridCol w:w="2277"/>
        <w:gridCol w:w="6654"/>
      </w:tblGrid>
      <w:tr w:rsidR="00CF7812" w14:paraId="04220055" w14:textId="77777777">
        <w:trPr>
          <w:cantSplit/>
          <w:tblCellSpacing w:w="-1.75pt" w:type="dxa"/>
        </w:trPr>
        <w:tc>
          <w:tcPr>
            <w:tcW w:w="3.0%" w:type="pct"/>
            <w:tcMar>
              <w:top w:w="0.75pt" w:type="dxa"/>
              <w:start w:w="0.75pt" w:type="dxa"/>
              <w:bottom w:w="0.75pt" w:type="dxa"/>
              <w:end w:w="0.75pt" w:type="dxa"/>
            </w:tcMar>
            <w:vAlign w:val="center"/>
            <w:hideMark/>
          </w:tcPr>
          <w:p w14:paraId="50009FBA" w14:textId="77777777" w:rsidR="00CF7812" w:rsidRDefault="00CF7812">
            <w:pPr>
              <w:jc w:val="start"/>
            </w:pPr>
          </w:p>
        </w:tc>
        <w:tc>
          <w:tcPr>
            <w:tcW w:w="25.0%" w:type="pct"/>
            <w:tcMar>
              <w:top w:w="0.75pt" w:type="dxa"/>
              <w:start w:w="0.75pt" w:type="dxa"/>
              <w:bottom w:w="0.75pt" w:type="dxa"/>
              <w:end w:w="0.75pt" w:type="dxa"/>
            </w:tcMar>
            <w:hideMark/>
          </w:tcPr>
          <w:p w14:paraId="42FC784A" w14:textId="77777777" w:rsidR="00CF7812" w:rsidRDefault="00DE4AC9">
            <w:pPr>
              <w:jc w:val="start"/>
            </w:pPr>
            <w:r>
              <w:t>se sídlem:</w:t>
            </w:r>
          </w:p>
        </w:tc>
        <w:tc>
          <w:tcPr>
            <w:tcW w:w="74.0%" w:type="pct"/>
            <w:tcMar>
              <w:top w:w="0.75pt" w:type="dxa"/>
              <w:start w:w="0.75pt" w:type="dxa"/>
              <w:bottom w:w="0.75pt" w:type="dxa"/>
              <w:end w:w="0.75pt" w:type="dxa"/>
            </w:tcMar>
            <w:vAlign w:val="center"/>
            <w:hideMark/>
          </w:tcPr>
          <w:p w14:paraId="6A9F80ED" w14:textId="77777777" w:rsidR="00CF7812" w:rsidRDefault="00DE4AC9">
            <w:pPr>
              <w:jc w:val="start"/>
            </w:pPr>
            <w:r>
              <w:t>Radlická 333/150, 150 57 Praha 5</w:t>
            </w:r>
          </w:p>
        </w:tc>
      </w:tr>
      <w:tr w:rsidR="00CF7812" w14:paraId="38A83601" w14:textId="77777777">
        <w:trPr>
          <w:cantSplit/>
          <w:tblCellSpacing w:w="-1.75pt" w:type="dxa"/>
        </w:trPr>
        <w:tc>
          <w:tcPr>
            <w:tcW w:w="3.0%" w:type="pct"/>
            <w:tcMar>
              <w:top w:w="0.75pt" w:type="dxa"/>
              <w:start w:w="0.75pt" w:type="dxa"/>
              <w:bottom w:w="0.75pt" w:type="dxa"/>
              <w:end w:w="0.75pt" w:type="dxa"/>
            </w:tcMar>
            <w:vAlign w:val="center"/>
            <w:hideMark/>
          </w:tcPr>
          <w:p w14:paraId="27737680" w14:textId="77777777" w:rsidR="00CF7812" w:rsidRDefault="00CF7812">
            <w:pPr>
              <w:jc w:val="start"/>
            </w:pPr>
          </w:p>
        </w:tc>
        <w:tc>
          <w:tcPr>
            <w:tcW w:w="25.0%" w:type="pct"/>
            <w:tcMar>
              <w:top w:w="0.75pt" w:type="dxa"/>
              <w:start w:w="0.75pt" w:type="dxa"/>
              <w:bottom w:w="0.75pt" w:type="dxa"/>
              <w:end w:w="0.75pt" w:type="dxa"/>
            </w:tcMar>
            <w:hideMark/>
          </w:tcPr>
          <w:p w14:paraId="1395DA21" w14:textId="77777777" w:rsidR="00CF7812" w:rsidRDefault="00DE4AC9">
            <w:pPr>
              <w:jc w:val="start"/>
            </w:pPr>
            <w:r>
              <w:t>IČO:</w:t>
            </w:r>
          </w:p>
        </w:tc>
        <w:tc>
          <w:tcPr>
            <w:tcW w:w="74.0%" w:type="pct"/>
            <w:tcMar>
              <w:top w:w="0.75pt" w:type="dxa"/>
              <w:start w:w="0.75pt" w:type="dxa"/>
              <w:bottom w:w="0.75pt" w:type="dxa"/>
              <w:end w:w="0.75pt" w:type="dxa"/>
            </w:tcMar>
            <w:vAlign w:val="center"/>
            <w:hideMark/>
          </w:tcPr>
          <w:p w14:paraId="76DDDE5B" w14:textId="77777777" w:rsidR="00CF7812" w:rsidRDefault="00DE4AC9">
            <w:pPr>
              <w:jc w:val="start"/>
            </w:pPr>
            <w:r>
              <w:t>00001350</w:t>
            </w:r>
          </w:p>
        </w:tc>
      </w:tr>
      <w:tr w:rsidR="00CF7812" w14:paraId="7DDC5193" w14:textId="77777777">
        <w:trPr>
          <w:cantSplit/>
          <w:tblCellSpacing w:w="-1.75pt" w:type="dxa"/>
        </w:trPr>
        <w:tc>
          <w:tcPr>
            <w:tcW w:w="3.0%" w:type="pct"/>
            <w:tcMar>
              <w:top w:w="0.75pt" w:type="dxa"/>
              <w:start w:w="0.75pt" w:type="dxa"/>
              <w:bottom w:w="0.75pt" w:type="dxa"/>
              <w:end w:w="0.75pt" w:type="dxa"/>
            </w:tcMar>
            <w:vAlign w:val="center"/>
            <w:hideMark/>
          </w:tcPr>
          <w:p w14:paraId="282CA266" w14:textId="77777777" w:rsidR="00CF7812" w:rsidRDefault="00CF7812">
            <w:pPr>
              <w:jc w:val="start"/>
            </w:pPr>
          </w:p>
        </w:tc>
        <w:tc>
          <w:tcPr>
            <w:tcW w:w="25.0%" w:type="pct"/>
            <w:gridSpan w:val="2"/>
            <w:tcMar>
              <w:top w:w="0.75pt" w:type="dxa"/>
              <w:start w:w="0.75pt" w:type="dxa"/>
              <w:bottom w:w="0.75pt" w:type="dxa"/>
              <w:end w:w="0.75pt" w:type="dxa"/>
            </w:tcMar>
            <w:vAlign w:val="center"/>
            <w:hideMark/>
          </w:tcPr>
          <w:p w14:paraId="535EFB52" w14:textId="77777777" w:rsidR="00CF7812" w:rsidRDefault="00DE4AC9">
            <w:pPr>
              <w:jc w:val="start"/>
            </w:pPr>
            <w:r>
              <w:t>zapsaná v obchodním rejstříku vedeném Městským soudem v Praze, spis. zn. BXXXVI 46</w:t>
            </w:r>
          </w:p>
        </w:tc>
      </w:tr>
    </w:tbl>
    <w:p w14:paraId="08327DF9" w14:textId="77777777" w:rsidR="00CF7812" w:rsidRDefault="00DE4AC9">
      <w:pPr>
        <w:jc w:val="start"/>
      </w:pPr>
      <w:r>
        <w:t>(„</w:t>
      </w:r>
      <w:r>
        <w:rPr>
          <w:b/>
          <w:bCs/>
        </w:rPr>
        <w:t>Banka</w:t>
      </w:r>
      <w:r>
        <w:t>“)</w:t>
      </w:r>
    </w:p>
    <w:tbl>
      <w:tblPr>
        <w:tblStyle w:val="table"/>
        <w:tblW w:w="455.35pt" w:type="dxa"/>
        <w:tblCellSpacing w:w="-1.75pt" w:type="dxa"/>
        <w:tblInd w:w="0.25pt" w:type="dxa"/>
        <w:tblCellMar>
          <w:top w:w="0.75pt" w:type="dxa"/>
          <w:start w:w="0.75pt" w:type="dxa"/>
          <w:bottom w:w="0.75pt" w:type="dxa"/>
          <w:end w:w="0.75pt" w:type="dxa"/>
        </w:tblCellMar>
        <w:tblLook w:firstRow="1" w:lastRow="1" w:firstColumn="1" w:lastColumn="1" w:noHBand="0" w:noVBand="1"/>
      </w:tblPr>
      <w:tblGrid>
        <w:gridCol w:w="176"/>
        <w:gridCol w:w="2277"/>
        <w:gridCol w:w="6654"/>
      </w:tblGrid>
      <w:tr w:rsidR="00CF7812" w14:paraId="43D9075E" w14:textId="77777777">
        <w:trPr>
          <w:cantSplit/>
          <w:tblCellSpacing w:w="-1.75pt" w:type="dxa"/>
        </w:trPr>
        <w:tc>
          <w:tcPr>
            <w:tcW w:w="3.0%" w:type="pct"/>
            <w:tcMar>
              <w:top w:w="0.75pt" w:type="dxa"/>
              <w:start w:w="0.75pt" w:type="dxa"/>
              <w:bottom w:w="0.75pt" w:type="dxa"/>
              <w:end w:w="0.75pt" w:type="dxa"/>
            </w:tcMar>
            <w:vAlign w:val="center"/>
            <w:hideMark/>
          </w:tcPr>
          <w:p w14:paraId="14177FD1" w14:textId="77777777" w:rsidR="00CF7812" w:rsidRDefault="00CF7812">
            <w:pPr>
              <w:jc w:val="start"/>
            </w:pPr>
          </w:p>
        </w:tc>
        <w:tc>
          <w:tcPr>
            <w:tcW w:w="25.0%" w:type="pct"/>
            <w:tcMar>
              <w:top w:w="0.75pt" w:type="dxa"/>
              <w:start w:w="0.75pt" w:type="dxa"/>
              <w:bottom w:w="0.75pt" w:type="dxa"/>
              <w:end w:w="0.75pt" w:type="dxa"/>
            </w:tcMar>
            <w:hideMark/>
          </w:tcPr>
          <w:p w14:paraId="648F3DE7" w14:textId="77777777" w:rsidR="00CF7812" w:rsidRDefault="00DE4AC9">
            <w:pPr>
              <w:jc w:val="start"/>
            </w:pPr>
            <w:r>
              <w:t>za Banku:</w:t>
            </w:r>
          </w:p>
        </w:tc>
        <w:tc>
          <w:tcPr>
            <w:tcW w:w="74.0%" w:type="pct"/>
            <w:tcMar>
              <w:top w:w="0.75pt" w:type="dxa"/>
              <w:start w:w="0.75pt" w:type="dxa"/>
              <w:bottom w:w="0.75pt" w:type="dxa"/>
              <w:end w:w="0.75pt" w:type="dxa"/>
            </w:tcMar>
            <w:vAlign w:val="center"/>
            <w:hideMark/>
          </w:tcPr>
          <w:p w14:paraId="6646C3F9" w14:textId="014F3FE4" w:rsidR="00CF7812" w:rsidRDefault="00DE4AC9">
            <w:pPr>
              <w:jc w:val="start"/>
            </w:pPr>
            <w:r>
              <w:t>XXXXXXXXXXXXXXX</w:t>
            </w:r>
          </w:p>
        </w:tc>
      </w:tr>
      <w:tr w:rsidR="00CF7812" w14:paraId="5C6DD660" w14:textId="77777777">
        <w:trPr>
          <w:cantSplit/>
          <w:tblCellSpacing w:w="-1.75pt" w:type="dxa"/>
        </w:trPr>
        <w:tc>
          <w:tcPr>
            <w:tcW w:w="3.0%" w:type="pct"/>
            <w:tcMar>
              <w:top w:w="0.75pt" w:type="dxa"/>
              <w:start w:w="0.75pt" w:type="dxa"/>
              <w:bottom w:w="0.75pt" w:type="dxa"/>
              <w:end w:w="0.75pt" w:type="dxa"/>
            </w:tcMar>
            <w:vAlign w:val="center"/>
            <w:hideMark/>
          </w:tcPr>
          <w:p w14:paraId="77FC67CD" w14:textId="77777777" w:rsidR="00CF7812" w:rsidRDefault="00CF7812">
            <w:pPr>
              <w:jc w:val="start"/>
            </w:pPr>
          </w:p>
        </w:tc>
        <w:tc>
          <w:tcPr>
            <w:tcW w:w="25.0%" w:type="pct"/>
            <w:tcMar>
              <w:top w:w="0.75pt" w:type="dxa"/>
              <w:start w:w="0.75pt" w:type="dxa"/>
              <w:bottom w:w="0.75pt" w:type="dxa"/>
              <w:end w:w="0.75pt" w:type="dxa"/>
            </w:tcMar>
            <w:hideMark/>
          </w:tcPr>
          <w:p w14:paraId="29272EB1" w14:textId="77777777" w:rsidR="00CF7812" w:rsidRDefault="00CF7812">
            <w:pPr>
              <w:jc w:val="start"/>
            </w:pPr>
          </w:p>
        </w:tc>
        <w:tc>
          <w:tcPr>
            <w:tcW w:w="74.0%" w:type="pct"/>
            <w:tcMar>
              <w:top w:w="0.75pt" w:type="dxa"/>
              <w:start w:w="0.75pt" w:type="dxa"/>
              <w:bottom w:w="0.75pt" w:type="dxa"/>
              <w:end w:w="0.75pt" w:type="dxa"/>
            </w:tcMar>
            <w:vAlign w:val="center"/>
            <w:hideMark/>
          </w:tcPr>
          <w:p w14:paraId="5F3702A8" w14:textId="693E7C50" w:rsidR="00CF7812" w:rsidRDefault="00DE4AC9">
            <w:pPr>
              <w:jc w:val="start"/>
            </w:pPr>
            <w:r>
              <w:t>XXXXXXXXXXXXXXX</w:t>
            </w:r>
          </w:p>
        </w:tc>
      </w:tr>
    </w:tbl>
    <w:p w14:paraId="7CC5F790" w14:textId="77777777" w:rsidR="00CF7812" w:rsidRDefault="00CF7812">
      <w:pPr>
        <w:rPr>
          <w:vanish/>
        </w:rPr>
      </w:pPr>
    </w:p>
    <w:tbl>
      <w:tblPr>
        <w:tblStyle w:val="table"/>
        <w:tblW w:w="455.35pt" w:type="dxa"/>
        <w:tblCellSpacing w:w="-1.75pt" w:type="dxa"/>
        <w:tblInd w:w="0.25pt" w:type="dxa"/>
        <w:tblCellMar>
          <w:top w:w="0.75pt" w:type="dxa"/>
          <w:start w:w="0.75pt" w:type="dxa"/>
          <w:bottom w:w="0.75pt" w:type="dxa"/>
          <w:end w:w="0.75pt" w:type="dxa"/>
        </w:tblCellMar>
        <w:tblLook w:firstRow="1" w:lastRow="1" w:firstColumn="1" w:lastColumn="1" w:noHBand="0" w:noVBand="1"/>
      </w:tblPr>
      <w:tblGrid>
        <w:gridCol w:w="176"/>
        <w:gridCol w:w="2277"/>
        <w:gridCol w:w="6654"/>
      </w:tblGrid>
      <w:tr w:rsidR="00CF7812" w14:paraId="69D2499A" w14:textId="77777777">
        <w:trPr>
          <w:cantSplit/>
          <w:tblCellSpacing w:w="-1.75pt" w:type="dxa"/>
        </w:trPr>
        <w:tc>
          <w:tcPr>
            <w:tcW w:w="3.0%" w:type="pct"/>
            <w:tcMar>
              <w:top w:w="0.75pt" w:type="dxa"/>
              <w:start w:w="0.75pt" w:type="dxa"/>
              <w:bottom w:w="0.75pt" w:type="dxa"/>
              <w:end w:w="0.75pt" w:type="dxa"/>
            </w:tcMar>
            <w:vAlign w:val="center"/>
            <w:hideMark/>
          </w:tcPr>
          <w:p w14:paraId="51B75595" w14:textId="77777777" w:rsidR="00CF7812" w:rsidRDefault="00CF7812">
            <w:pPr>
              <w:jc w:val="start"/>
            </w:pPr>
          </w:p>
        </w:tc>
        <w:tc>
          <w:tcPr>
            <w:tcW w:w="25.0%" w:type="pct"/>
            <w:tcMar>
              <w:top w:w="0.75pt" w:type="dxa"/>
              <w:start w:w="0.75pt" w:type="dxa"/>
              <w:bottom w:w="0.75pt" w:type="dxa"/>
              <w:end w:w="0.75pt" w:type="dxa"/>
            </w:tcMar>
            <w:hideMark/>
          </w:tcPr>
          <w:p w14:paraId="015B2227" w14:textId="77777777" w:rsidR="00CF7812" w:rsidRDefault="00DE4AC9">
            <w:pPr>
              <w:jc w:val="start"/>
            </w:pPr>
            <w:r>
              <w:t>Pobočka:</w:t>
            </w:r>
          </w:p>
        </w:tc>
        <w:tc>
          <w:tcPr>
            <w:tcW w:w="74.0%" w:type="pct"/>
            <w:tcMar>
              <w:top w:w="0.75pt" w:type="dxa"/>
              <w:start w:w="0.75pt" w:type="dxa"/>
              <w:bottom w:w="0.75pt" w:type="dxa"/>
              <w:end w:w="0.75pt" w:type="dxa"/>
            </w:tcMar>
            <w:vAlign w:val="center"/>
            <w:hideMark/>
          </w:tcPr>
          <w:p w14:paraId="2039F0A9" w14:textId="77777777" w:rsidR="00CF7812" w:rsidRDefault="00DE4AC9">
            <w:pPr>
              <w:jc w:val="start"/>
            </w:pPr>
            <w:r>
              <w:t>FIB Liberec - 1. máje, 1. máje 79/18, 461 78, Liberec</w:t>
            </w:r>
          </w:p>
        </w:tc>
      </w:tr>
    </w:tbl>
    <w:p w14:paraId="435E85DB" w14:textId="77777777" w:rsidR="00CF7812" w:rsidRDefault="00DE4AC9">
      <w:pPr>
        <w:jc w:val="start"/>
      </w:pPr>
      <w:r>
        <w:t>a</w:t>
      </w:r>
    </w:p>
    <w:p w14:paraId="1C41E9BE" w14:textId="77777777" w:rsidR="00CF7812" w:rsidRDefault="00DE4AC9">
      <w:pPr>
        <w:jc w:val="start"/>
      </w:pPr>
      <w:r>
        <w:rPr>
          <w:b/>
          <w:bCs/>
        </w:rPr>
        <w:t>Autocentrum Nord, a.s.</w:t>
      </w:r>
    </w:p>
    <w:tbl>
      <w:tblPr>
        <w:tblStyle w:val="table"/>
        <w:tblW w:w="455.35pt" w:type="dxa"/>
        <w:tblCellSpacing w:w="-1.75pt" w:type="dxa"/>
        <w:tblInd w:w="0.25pt" w:type="dxa"/>
        <w:tblCellMar>
          <w:top w:w="0.75pt" w:type="dxa"/>
          <w:start w:w="0.75pt" w:type="dxa"/>
          <w:bottom w:w="0.75pt" w:type="dxa"/>
          <w:end w:w="0.75pt" w:type="dxa"/>
        </w:tblCellMar>
        <w:tblLook w:firstRow="1" w:lastRow="1" w:firstColumn="1" w:lastColumn="1" w:noHBand="0" w:noVBand="1"/>
      </w:tblPr>
      <w:tblGrid>
        <w:gridCol w:w="176"/>
        <w:gridCol w:w="2277"/>
        <w:gridCol w:w="6654"/>
      </w:tblGrid>
      <w:tr w:rsidR="00CF7812" w14:paraId="1C0EED18" w14:textId="77777777">
        <w:trPr>
          <w:cantSplit/>
          <w:tblCellSpacing w:w="-1.75pt" w:type="dxa"/>
        </w:trPr>
        <w:tc>
          <w:tcPr>
            <w:tcW w:w="3.0%" w:type="pct"/>
            <w:tcMar>
              <w:top w:w="0.75pt" w:type="dxa"/>
              <w:start w:w="0.75pt" w:type="dxa"/>
              <w:bottom w:w="0.75pt" w:type="dxa"/>
              <w:end w:w="0.75pt" w:type="dxa"/>
            </w:tcMar>
            <w:vAlign w:val="center"/>
            <w:hideMark/>
          </w:tcPr>
          <w:p w14:paraId="27B0E6EE" w14:textId="77777777" w:rsidR="00CF7812" w:rsidRDefault="00CF7812">
            <w:pPr>
              <w:jc w:val="start"/>
            </w:pPr>
          </w:p>
        </w:tc>
        <w:tc>
          <w:tcPr>
            <w:tcW w:w="25.0%" w:type="pct"/>
            <w:tcMar>
              <w:top w:w="0.75pt" w:type="dxa"/>
              <w:start w:w="0.75pt" w:type="dxa"/>
              <w:bottom w:w="0.75pt" w:type="dxa"/>
              <w:end w:w="0.75pt" w:type="dxa"/>
            </w:tcMar>
            <w:hideMark/>
          </w:tcPr>
          <w:p w14:paraId="4898082F" w14:textId="77777777" w:rsidR="00CF7812" w:rsidRDefault="00DE4AC9">
            <w:pPr>
              <w:jc w:val="start"/>
            </w:pPr>
            <w:r>
              <w:t>se sídlem:</w:t>
            </w:r>
          </w:p>
        </w:tc>
        <w:tc>
          <w:tcPr>
            <w:tcW w:w="74.0%" w:type="pct"/>
            <w:tcMar>
              <w:top w:w="0.75pt" w:type="dxa"/>
              <w:start w:w="0.75pt" w:type="dxa"/>
              <w:bottom w:w="0.75pt" w:type="dxa"/>
              <w:end w:w="0.75pt" w:type="dxa"/>
            </w:tcMar>
            <w:vAlign w:val="center"/>
            <w:hideMark/>
          </w:tcPr>
          <w:p w14:paraId="0B7ED71B" w14:textId="77777777" w:rsidR="00CF7812" w:rsidRDefault="00DE4AC9">
            <w:pPr>
              <w:jc w:val="start"/>
            </w:pPr>
            <w:r>
              <w:t>České mládeže 594/33, 46006 Liberec VI-Rochlice, Česká republika</w:t>
            </w:r>
          </w:p>
        </w:tc>
      </w:tr>
      <w:tr w:rsidR="00CF7812" w14:paraId="479B0CEA" w14:textId="77777777">
        <w:trPr>
          <w:cantSplit/>
          <w:tblCellSpacing w:w="-1.75pt" w:type="dxa"/>
        </w:trPr>
        <w:tc>
          <w:tcPr>
            <w:tcW w:w="3.0%" w:type="pct"/>
            <w:tcMar>
              <w:top w:w="0.75pt" w:type="dxa"/>
              <w:start w:w="0.75pt" w:type="dxa"/>
              <w:bottom w:w="0.75pt" w:type="dxa"/>
              <w:end w:w="0.75pt" w:type="dxa"/>
            </w:tcMar>
            <w:vAlign w:val="center"/>
            <w:hideMark/>
          </w:tcPr>
          <w:p w14:paraId="03AA73BC" w14:textId="77777777" w:rsidR="00CF7812" w:rsidRDefault="00CF7812">
            <w:pPr>
              <w:jc w:val="start"/>
            </w:pPr>
          </w:p>
        </w:tc>
        <w:tc>
          <w:tcPr>
            <w:tcW w:w="25.0%" w:type="pct"/>
            <w:tcMar>
              <w:top w:w="0.75pt" w:type="dxa"/>
              <w:start w:w="0.75pt" w:type="dxa"/>
              <w:bottom w:w="0.75pt" w:type="dxa"/>
              <w:end w:w="0.75pt" w:type="dxa"/>
            </w:tcMar>
            <w:hideMark/>
          </w:tcPr>
          <w:p w14:paraId="3D26A7BF" w14:textId="77777777" w:rsidR="00CF7812" w:rsidRDefault="00DE4AC9">
            <w:pPr>
              <w:jc w:val="start"/>
            </w:pPr>
            <w:r>
              <w:t>IČO:</w:t>
            </w:r>
          </w:p>
        </w:tc>
        <w:tc>
          <w:tcPr>
            <w:tcW w:w="74.0%" w:type="pct"/>
            <w:tcMar>
              <w:top w:w="0.75pt" w:type="dxa"/>
              <w:start w:w="0.75pt" w:type="dxa"/>
              <w:bottom w:w="0.75pt" w:type="dxa"/>
              <w:end w:w="0.75pt" w:type="dxa"/>
            </w:tcMar>
            <w:vAlign w:val="center"/>
            <w:hideMark/>
          </w:tcPr>
          <w:p w14:paraId="0EFE29EC" w14:textId="77777777" w:rsidR="00CF7812" w:rsidRDefault="00DE4AC9">
            <w:pPr>
              <w:jc w:val="start"/>
            </w:pPr>
            <w:r>
              <w:t>28714199</w:t>
            </w:r>
          </w:p>
        </w:tc>
      </w:tr>
      <w:tr w:rsidR="00CF7812" w14:paraId="2A632818" w14:textId="77777777">
        <w:trPr>
          <w:cantSplit/>
          <w:tblCellSpacing w:w="-1.75pt" w:type="dxa"/>
        </w:trPr>
        <w:tc>
          <w:tcPr>
            <w:tcW w:w="3.0%" w:type="pct"/>
            <w:tcMar>
              <w:top w:w="0.75pt" w:type="dxa"/>
              <w:start w:w="0.75pt" w:type="dxa"/>
              <w:bottom w:w="0.75pt" w:type="dxa"/>
              <w:end w:w="0.75pt" w:type="dxa"/>
            </w:tcMar>
            <w:vAlign w:val="center"/>
            <w:hideMark/>
          </w:tcPr>
          <w:p w14:paraId="224B401B" w14:textId="77777777" w:rsidR="00CF7812" w:rsidRDefault="00CF7812">
            <w:pPr>
              <w:jc w:val="start"/>
            </w:pPr>
          </w:p>
        </w:tc>
        <w:tc>
          <w:tcPr>
            <w:tcW w:w="25.0%" w:type="pct"/>
            <w:gridSpan w:val="2"/>
            <w:tcMar>
              <w:top w:w="0.75pt" w:type="dxa"/>
              <w:start w:w="0.75pt" w:type="dxa"/>
              <w:bottom w:w="0.75pt" w:type="dxa"/>
              <w:end w:w="0.75pt" w:type="dxa"/>
            </w:tcMar>
            <w:vAlign w:val="center"/>
            <w:hideMark/>
          </w:tcPr>
          <w:p w14:paraId="3BE71025" w14:textId="77777777" w:rsidR="00CF7812" w:rsidRDefault="00DE4AC9">
            <w:pPr>
              <w:jc w:val="start"/>
            </w:pPr>
            <w:r>
              <w:t>zapsaná v obchodním rejstříku vedeném Krajským soudu v Ústí nad Labem, spisová značka B 2086</w:t>
            </w:r>
          </w:p>
        </w:tc>
      </w:tr>
    </w:tbl>
    <w:p w14:paraId="3905F397" w14:textId="77777777" w:rsidR="00CF7812" w:rsidRDefault="00DE4AC9">
      <w:pPr>
        <w:jc w:val="start"/>
      </w:pPr>
      <w:r>
        <w:t>(„</w:t>
      </w:r>
      <w:r>
        <w:rPr>
          <w:b/>
          <w:bCs/>
        </w:rPr>
        <w:t>Klient</w:t>
      </w:r>
      <w:r>
        <w:t>“)</w:t>
      </w:r>
    </w:p>
    <w:tbl>
      <w:tblPr>
        <w:tblStyle w:val="table"/>
        <w:tblW w:w="455.35pt" w:type="dxa"/>
        <w:tblCellSpacing w:w="-1.75pt" w:type="dxa"/>
        <w:tblInd w:w="0.25pt" w:type="dxa"/>
        <w:tblCellMar>
          <w:top w:w="0.75pt" w:type="dxa"/>
          <w:start w:w="0.75pt" w:type="dxa"/>
          <w:bottom w:w="0.75pt" w:type="dxa"/>
          <w:end w:w="0.75pt" w:type="dxa"/>
        </w:tblCellMar>
        <w:tblLook w:firstRow="1" w:lastRow="1" w:firstColumn="1" w:lastColumn="1" w:noHBand="0" w:noVBand="1"/>
      </w:tblPr>
      <w:tblGrid>
        <w:gridCol w:w="176"/>
        <w:gridCol w:w="2277"/>
        <w:gridCol w:w="6654"/>
      </w:tblGrid>
      <w:tr w:rsidR="00CF7812" w14:paraId="2EF72921" w14:textId="77777777">
        <w:trPr>
          <w:cantSplit/>
          <w:tblCellSpacing w:w="-1.75pt" w:type="dxa"/>
        </w:trPr>
        <w:tc>
          <w:tcPr>
            <w:tcW w:w="3.0%" w:type="pct"/>
            <w:tcMar>
              <w:top w:w="0.75pt" w:type="dxa"/>
              <w:start w:w="0.75pt" w:type="dxa"/>
              <w:bottom w:w="0.75pt" w:type="dxa"/>
              <w:end w:w="0.75pt" w:type="dxa"/>
            </w:tcMar>
            <w:vAlign w:val="center"/>
            <w:hideMark/>
          </w:tcPr>
          <w:p w14:paraId="345EBDA6" w14:textId="77777777" w:rsidR="00CF7812" w:rsidRDefault="00CF7812">
            <w:pPr>
              <w:jc w:val="start"/>
            </w:pPr>
          </w:p>
        </w:tc>
        <w:tc>
          <w:tcPr>
            <w:tcW w:w="25.0%" w:type="pct"/>
            <w:tcMar>
              <w:top w:w="0.75pt" w:type="dxa"/>
              <w:start w:w="0.75pt" w:type="dxa"/>
              <w:bottom w:w="0.75pt" w:type="dxa"/>
              <w:end w:w="0.75pt" w:type="dxa"/>
            </w:tcMar>
            <w:hideMark/>
          </w:tcPr>
          <w:p w14:paraId="319E6252" w14:textId="77777777" w:rsidR="00CF7812" w:rsidRDefault="00DE4AC9">
            <w:pPr>
              <w:jc w:val="start"/>
            </w:pPr>
            <w:r>
              <w:t>za Klienta:</w:t>
            </w:r>
          </w:p>
        </w:tc>
        <w:tc>
          <w:tcPr>
            <w:tcW w:w="74.0%" w:type="pct"/>
            <w:tcMar>
              <w:top w:w="0.75pt" w:type="dxa"/>
              <w:start w:w="0.75pt" w:type="dxa"/>
              <w:bottom w:w="0.75pt" w:type="dxa"/>
              <w:end w:w="0.75pt" w:type="dxa"/>
            </w:tcMar>
            <w:vAlign w:val="center"/>
            <w:hideMark/>
          </w:tcPr>
          <w:p w14:paraId="242EB58A" w14:textId="72A6E080" w:rsidR="00CF7812" w:rsidRDefault="00DE4AC9">
            <w:pPr>
              <w:jc w:val="start"/>
            </w:pPr>
            <w:r>
              <w:t>XXXXXXXXXXXXXXXXXX</w:t>
            </w:r>
          </w:p>
        </w:tc>
      </w:tr>
      <w:tr w:rsidR="00CF7812" w14:paraId="692D8529" w14:textId="77777777">
        <w:trPr>
          <w:cantSplit/>
          <w:tblCellSpacing w:w="-1.75pt" w:type="dxa"/>
        </w:trPr>
        <w:tc>
          <w:tcPr>
            <w:tcW w:w="3.0%" w:type="pct"/>
            <w:tcMar>
              <w:top w:w="0.75pt" w:type="dxa"/>
              <w:start w:w="0.75pt" w:type="dxa"/>
              <w:bottom w:w="0.75pt" w:type="dxa"/>
              <w:end w:w="0.75pt" w:type="dxa"/>
            </w:tcMar>
            <w:vAlign w:val="center"/>
            <w:hideMark/>
          </w:tcPr>
          <w:p w14:paraId="5AF1A117" w14:textId="77777777" w:rsidR="00CF7812" w:rsidRDefault="00CF7812">
            <w:pPr>
              <w:jc w:val="start"/>
            </w:pPr>
          </w:p>
        </w:tc>
        <w:tc>
          <w:tcPr>
            <w:tcW w:w="25.0%" w:type="pct"/>
            <w:tcMar>
              <w:top w:w="0.75pt" w:type="dxa"/>
              <w:start w:w="0.75pt" w:type="dxa"/>
              <w:bottom w:w="0.75pt" w:type="dxa"/>
              <w:end w:w="0.75pt" w:type="dxa"/>
            </w:tcMar>
            <w:hideMark/>
          </w:tcPr>
          <w:p w14:paraId="02BDE1DA" w14:textId="77777777" w:rsidR="00CF7812" w:rsidRDefault="00CF7812">
            <w:pPr>
              <w:jc w:val="start"/>
            </w:pPr>
          </w:p>
        </w:tc>
        <w:tc>
          <w:tcPr>
            <w:tcW w:w="74.0%" w:type="pct"/>
            <w:tcMar>
              <w:top w:w="0.75pt" w:type="dxa"/>
              <w:start w:w="0.75pt" w:type="dxa"/>
              <w:bottom w:w="0.75pt" w:type="dxa"/>
              <w:end w:w="0.75pt" w:type="dxa"/>
            </w:tcMar>
            <w:vAlign w:val="center"/>
            <w:hideMark/>
          </w:tcPr>
          <w:p w14:paraId="498E0A4A" w14:textId="77BEACB6" w:rsidR="00CF7812" w:rsidRDefault="00DE4AC9">
            <w:pPr>
              <w:jc w:val="start"/>
            </w:pPr>
            <w:r>
              <w:t>XXXXXXXXXXXXXXXXXX</w:t>
            </w:r>
          </w:p>
        </w:tc>
      </w:tr>
    </w:tbl>
    <w:p w14:paraId="125A634B" w14:textId="77777777" w:rsidR="00CF7812" w:rsidRDefault="00DE4AC9">
      <w:pPr>
        <w:jc w:val="center"/>
      </w:pPr>
      <w:r>
        <w:t> </w:t>
      </w:r>
    </w:p>
    <w:p w14:paraId="309FEF37" w14:textId="77777777" w:rsidR="00CF7812" w:rsidRDefault="00DE4AC9">
      <w:pPr>
        <w:jc w:val="center"/>
      </w:pPr>
      <w:r>
        <w:t>(Banka a Klient společně též „</w:t>
      </w:r>
      <w:r>
        <w:rPr>
          <w:b/>
          <w:bCs/>
        </w:rPr>
        <w:t>Smluvní strany</w:t>
      </w:r>
      <w:r>
        <w:t>“) uzavírají</w:t>
      </w:r>
      <w:r>
        <w:br/>
        <w:t>podle zákona č. 89/2012 Sb., občanský zákoník, v platném znění („</w:t>
      </w:r>
      <w:r>
        <w:rPr>
          <w:b/>
          <w:bCs/>
        </w:rPr>
        <w:t>Občanský zákoník</w:t>
      </w:r>
      <w:r>
        <w:t>“), tuto</w:t>
      </w:r>
    </w:p>
    <w:p w14:paraId="02A8E8F3" w14:textId="77777777" w:rsidR="00CF7812" w:rsidRDefault="00DE4AC9">
      <w:pPr>
        <w:jc w:val="center"/>
      </w:pPr>
      <w:r>
        <w:t> </w:t>
      </w:r>
    </w:p>
    <w:p w14:paraId="24FD6F32" w14:textId="77777777" w:rsidR="00CF7812" w:rsidRDefault="00DE4AC9">
      <w:pPr>
        <w:pStyle w:val="Nadpis1"/>
        <w:spacing w:before="0pt" w:after="0pt"/>
      </w:pPr>
      <w:r>
        <w:rPr>
          <w:sz w:val="26"/>
          <w:szCs w:val="26"/>
        </w:rPr>
        <w:t>Smlouvu o úvěru č. 2024012606</w:t>
      </w:r>
    </w:p>
    <w:p w14:paraId="299F9E7E" w14:textId="77777777" w:rsidR="00CF7812" w:rsidRDefault="00DE4AC9">
      <w:pPr>
        <w:jc w:val="center"/>
      </w:pPr>
      <w:r>
        <w:t>(„</w:t>
      </w:r>
      <w:r>
        <w:rPr>
          <w:b/>
          <w:bCs/>
        </w:rPr>
        <w:t>Smlouva</w:t>
      </w:r>
      <w:r>
        <w:t>“).</w:t>
      </w:r>
    </w:p>
    <w:p w14:paraId="6B9023A2" w14:textId="77777777" w:rsidR="00CF7812" w:rsidRDefault="00DE4AC9">
      <w:r>
        <w:t> </w:t>
      </w:r>
    </w:p>
    <w:p w14:paraId="13B3F238" w14:textId="77777777" w:rsidR="00CF7812" w:rsidRDefault="00DE4AC9">
      <w:r>
        <w:t>Součástí Smlouvy jsou Úvěrové obchodní podmínky ČSOB ze dne 1.7.2020 („</w:t>
      </w:r>
      <w:r>
        <w:rPr>
          <w:b/>
          <w:bCs/>
        </w:rPr>
        <w:t>ÚOP</w:t>
      </w:r>
      <w:r>
        <w:t>“), které tvoří Přílohu č. 2 Smlouvy. Odchylná ustanovení Smlouvy mají přednost před zněním ÚOP. Klient byl s ÚOP seznámen, rozumí jim a s jejich zněním souhlasí. Klient bere na vědomí, že nesplnění povinností uvedených v ÚOP má stejné právní následky jako nesplnění povinností vyplývajících ze Smlouvy.</w:t>
      </w:r>
    </w:p>
    <w:p w14:paraId="79600543" w14:textId="77777777" w:rsidR="00CF7812" w:rsidRDefault="00DE4AC9">
      <w:r>
        <w:t> </w:t>
      </w:r>
    </w:p>
    <w:p w14:paraId="73B6E102" w14:textId="77777777" w:rsidR="00CF7812" w:rsidRDefault="00DE4AC9">
      <w:pPr>
        <w:jc w:val="center"/>
      </w:pPr>
      <w:r>
        <w:rPr>
          <w:u w:val="single" w:color="000000"/>
        </w:rPr>
        <w:t>Informativní přehled základních parametrů Úvěru:</w:t>
      </w:r>
    </w:p>
    <w:tbl>
      <w:tblPr>
        <w:tblStyle w:val="table"/>
        <w:tblW w:w="455.35pt" w:type="dxa"/>
        <w:tblCellSpacing w:w="-5pt" w:type="dxa"/>
        <w:tblInd w:w="0.25pt" w:type="dxa"/>
        <w:tblCellMar>
          <w:top w:w="0.75pt" w:type="dxa"/>
          <w:start w:w="0.75pt" w:type="dxa"/>
          <w:bottom w:w="0.75pt" w:type="dxa"/>
          <w:end w:w="0.75pt" w:type="dxa"/>
        </w:tblCellMar>
        <w:tblLook w:firstRow="1" w:lastRow="1" w:firstColumn="1" w:lastColumn="1" w:noHBand="0" w:noVBand="1"/>
      </w:tblPr>
      <w:tblGrid>
        <w:gridCol w:w="2612"/>
        <w:gridCol w:w="6495"/>
      </w:tblGrid>
      <w:tr w:rsidR="00CF7812" w14:paraId="5C9ADBFC" w14:textId="77777777">
        <w:trPr>
          <w:cantSplit/>
          <w:tblCellSpacing w:w="-5pt" w:type="dxa"/>
        </w:trPr>
        <w:tc>
          <w:tcPr>
            <w:tcW w:w="30.0%" w:type="pct"/>
            <w:tcMar>
              <w:top w:w="0.75pt" w:type="dxa"/>
              <w:start w:w="0.75pt" w:type="dxa"/>
              <w:bottom w:w="0.75pt" w:type="dxa"/>
              <w:end w:w="0.75pt" w:type="dxa"/>
            </w:tcMar>
            <w:vAlign w:val="center"/>
            <w:hideMark/>
          </w:tcPr>
          <w:p w14:paraId="49E30BBA" w14:textId="77777777" w:rsidR="00CF7812" w:rsidRDefault="00DE4AC9">
            <w:r>
              <w:rPr>
                <w:b/>
                <w:bCs/>
              </w:rPr>
              <w:t>Výše a měna:</w:t>
            </w:r>
          </w:p>
        </w:tc>
        <w:tc>
          <w:tcPr>
            <w:tcW w:w="70.0%" w:type="pct"/>
            <w:tcMar>
              <w:top w:w="0.75pt" w:type="dxa"/>
              <w:start w:w="0.75pt" w:type="dxa"/>
              <w:bottom w:w="0.75pt" w:type="dxa"/>
              <w:end w:w="0.75pt" w:type="dxa"/>
            </w:tcMar>
            <w:vAlign w:val="center"/>
            <w:hideMark/>
          </w:tcPr>
          <w:p w14:paraId="2645BE1B" w14:textId="77777777" w:rsidR="00CF7812" w:rsidRDefault="00DE4AC9">
            <w:r>
              <w:t>3 000 000 Kč</w:t>
            </w:r>
          </w:p>
        </w:tc>
      </w:tr>
      <w:tr w:rsidR="00CF7812" w14:paraId="7DD20B76" w14:textId="77777777">
        <w:trPr>
          <w:cantSplit/>
          <w:tblCellSpacing w:w="-5pt" w:type="dxa"/>
        </w:trPr>
        <w:tc>
          <w:tcPr>
            <w:tcW w:w="30.0%" w:type="pct"/>
            <w:tcMar>
              <w:top w:w="0.75pt" w:type="dxa"/>
              <w:start w:w="0.75pt" w:type="dxa"/>
              <w:bottom w:w="0.75pt" w:type="dxa"/>
              <w:end w:w="0.75pt" w:type="dxa"/>
            </w:tcMar>
            <w:hideMark/>
          </w:tcPr>
          <w:p w14:paraId="3BF64C02" w14:textId="77777777" w:rsidR="00CF7812" w:rsidRDefault="00DE4AC9">
            <w:r>
              <w:rPr>
                <w:b/>
                <w:bCs/>
              </w:rPr>
              <w:t>Účel:</w:t>
            </w:r>
          </w:p>
        </w:tc>
        <w:tc>
          <w:tcPr>
            <w:tcW w:w="70.0%" w:type="pct"/>
            <w:tcMar>
              <w:top w:w="0.75pt" w:type="dxa"/>
              <w:start w:w="0.75pt" w:type="dxa"/>
              <w:bottom w:w="0.75pt" w:type="dxa"/>
              <w:end w:w="0.75pt" w:type="dxa"/>
            </w:tcMar>
            <w:vAlign w:val="center"/>
            <w:hideMark/>
          </w:tcPr>
          <w:p w14:paraId="72CEAD0F" w14:textId="77777777" w:rsidR="00CF7812" w:rsidRDefault="00DE4AC9">
            <w:r>
              <w:rPr>
                <w:rStyle w:val="cg3-block-content-condition"/>
              </w:rPr>
              <w:t>krytí přechodného nedostatku peněžních prostředků</w:t>
            </w:r>
          </w:p>
        </w:tc>
      </w:tr>
      <w:tr w:rsidR="00CF7812" w14:paraId="3E015503" w14:textId="77777777">
        <w:trPr>
          <w:cantSplit/>
          <w:tblCellSpacing w:w="-5pt" w:type="dxa"/>
        </w:trPr>
        <w:tc>
          <w:tcPr>
            <w:tcW w:w="30.0%" w:type="pct"/>
            <w:tcMar>
              <w:top w:w="0.75pt" w:type="dxa"/>
              <w:start w:w="0.75pt" w:type="dxa"/>
              <w:bottom w:w="0.75pt" w:type="dxa"/>
              <w:end w:w="0.75pt" w:type="dxa"/>
            </w:tcMar>
            <w:vAlign w:val="center"/>
            <w:hideMark/>
          </w:tcPr>
          <w:p w14:paraId="7E0EA72C" w14:textId="77777777" w:rsidR="00CF7812" w:rsidRDefault="00DE4AC9">
            <w:r>
              <w:rPr>
                <w:b/>
                <w:bCs/>
              </w:rPr>
              <w:t>Typ úvěru:</w:t>
            </w:r>
          </w:p>
        </w:tc>
        <w:tc>
          <w:tcPr>
            <w:tcW w:w="70.0%" w:type="pct"/>
            <w:tcMar>
              <w:top w:w="0.75pt" w:type="dxa"/>
              <w:start w:w="0.75pt" w:type="dxa"/>
              <w:bottom w:w="0.75pt" w:type="dxa"/>
              <w:end w:w="0.75pt" w:type="dxa"/>
            </w:tcMar>
            <w:vAlign w:val="center"/>
            <w:hideMark/>
          </w:tcPr>
          <w:p w14:paraId="13304630" w14:textId="77777777" w:rsidR="00CF7812" w:rsidRDefault="00DE4AC9">
            <w:r>
              <w:t>úvěr s opakovaným čerpáním závazný</w:t>
            </w:r>
          </w:p>
        </w:tc>
      </w:tr>
      <w:tr w:rsidR="00CF7812" w14:paraId="40316FD9" w14:textId="77777777">
        <w:trPr>
          <w:cantSplit/>
          <w:tblCellSpacing w:w="-5pt" w:type="dxa"/>
        </w:trPr>
        <w:tc>
          <w:tcPr>
            <w:tcW w:w="30.0%" w:type="pct"/>
            <w:tcMar>
              <w:top w:w="0.75pt" w:type="dxa"/>
              <w:start w:w="0.75pt" w:type="dxa"/>
              <w:bottom w:w="0.75pt" w:type="dxa"/>
              <w:end w:w="0.75pt" w:type="dxa"/>
            </w:tcMar>
            <w:hideMark/>
          </w:tcPr>
          <w:p w14:paraId="5427290F" w14:textId="77777777" w:rsidR="00CF7812" w:rsidRDefault="00DE4AC9">
            <w:r>
              <w:rPr>
                <w:b/>
                <w:bCs/>
              </w:rPr>
              <w:t>Úroková sazba:</w:t>
            </w:r>
          </w:p>
        </w:tc>
        <w:tc>
          <w:tcPr>
            <w:tcW w:w="70.0%" w:type="pct"/>
            <w:tcMar>
              <w:top w:w="0.75pt" w:type="dxa"/>
              <w:start w:w="0.75pt" w:type="dxa"/>
              <w:bottom w:w="0.75pt" w:type="dxa"/>
              <w:end w:w="0.75pt" w:type="dxa"/>
            </w:tcMar>
            <w:vAlign w:val="center"/>
            <w:hideMark/>
          </w:tcPr>
          <w:p w14:paraId="7D5EFD89" w14:textId="77777777" w:rsidR="00CF7812" w:rsidRDefault="00DE4AC9">
            <w:r>
              <w:t>součet referenční úrokové sazby peněžního trhu O/N PRIBOR a marže (přirážky) v pevné výši 1,80 % p.a.</w:t>
            </w:r>
          </w:p>
        </w:tc>
      </w:tr>
      <w:tr w:rsidR="00CF7812" w14:paraId="4F29456C" w14:textId="77777777">
        <w:trPr>
          <w:cantSplit/>
          <w:tblCellSpacing w:w="-5pt" w:type="dxa"/>
        </w:trPr>
        <w:tc>
          <w:tcPr>
            <w:tcW w:w="30.0%" w:type="pct"/>
            <w:tcMar>
              <w:top w:w="0.75pt" w:type="dxa"/>
              <w:start w:w="0.75pt" w:type="dxa"/>
              <w:bottom w:w="0.75pt" w:type="dxa"/>
              <w:end w:w="0.75pt" w:type="dxa"/>
            </w:tcMar>
            <w:vAlign w:val="center"/>
            <w:hideMark/>
          </w:tcPr>
          <w:p w14:paraId="439CB412" w14:textId="77777777" w:rsidR="00CF7812" w:rsidRDefault="00DE4AC9">
            <w:r>
              <w:rPr>
                <w:b/>
                <w:bCs/>
              </w:rPr>
              <w:t>Období čerpání:</w:t>
            </w:r>
          </w:p>
        </w:tc>
        <w:tc>
          <w:tcPr>
            <w:tcW w:w="70.0%" w:type="pct"/>
            <w:tcMar>
              <w:top w:w="0.75pt" w:type="dxa"/>
              <w:start w:w="0.75pt" w:type="dxa"/>
              <w:bottom w:w="0.75pt" w:type="dxa"/>
              <w:end w:w="0.75pt" w:type="dxa"/>
            </w:tcMar>
            <w:vAlign w:val="center"/>
            <w:hideMark/>
          </w:tcPr>
          <w:p w14:paraId="6DB4E104" w14:textId="77777777" w:rsidR="00CF7812" w:rsidRDefault="00DE4AC9">
            <w:r>
              <w:t>do 1 pracovního dne před Dnem konečné splatnosti (včetně)</w:t>
            </w:r>
          </w:p>
        </w:tc>
      </w:tr>
    </w:tbl>
    <w:p w14:paraId="7D591A85" w14:textId="77777777" w:rsidR="00CF7812" w:rsidRDefault="00CF7812"/>
    <w:p w14:paraId="5E5B5BCC" w14:textId="77777777" w:rsidR="00CF7812" w:rsidRDefault="00DE4AC9">
      <w:pPr>
        <w:pStyle w:val="Nadpis1"/>
        <w:spacing w:before="0pt" w:after="0pt"/>
      </w:pPr>
      <w:r>
        <w:t>Článek I.</w:t>
      </w:r>
    </w:p>
    <w:p w14:paraId="71DD8822" w14:textId="77777777" w:rsidR="00CF7812" w:rsidRDefault="00DE4AC9">
      <w:pPr>
        <w:keepNext/>
        <w:jc w:val="center"/>
      </w:pPr>
      <w:r>
        <w:rPr>
          <w:b/>
          <w:bCs/>
          <w:u w:val="single" w:color="000000"/>
        </w:rPr>
        <w:t>Úvěr a čerpání</w:t>
      </w:r>
    </w:p>
    <w:p w14:paraId="5ABC7730" w14:textId="77777777" w:rsidR="00CF7812" w:rsidRDefault="00DE4AC9">
      <w:pPr>
        <w:numPr>
          <w:ilvl w:val="0"/>
          <w:numId w:val="1"/>
        </w:numPr>
        <w:ind w:start="28.30pt" w:hanging="28.30pt"/>
      </w:pPr>
      <w:r>
        <w:t>Banka se zavazuje poskytnout Klientovi peněžní prostředky z úvěru podle Smlouvy („</w:t>
      </w:r>
      <w:r>
        <w:rPr>
          <w:b/>
          <w:bCs/>
        </w:rPr>
        <w:t>Úvěr</w:t>
      </w:r>
      <w:r>
        <w:t>“) do výše 3 000 000 Kč („</w:t>
      </w:r>
      <w:r>
        <w:rPr>
          <w:b/>
          <w:bCs/>
        </w:rPr>
        <w:t>Úvěrový limit</w:t>
      </w:r>
      <w:r>
        <w:t>“). Klient se zavazuje poskytnuté peněžní prostředky vrátit a zaplatit z nich úroky.</w:t>
      </w:r>
    </w:p>
    <w:p w14:paraId="0B354994" w14:textId="77777777" w:rsidR="00CF7812" w:rsidRDefault="00DE4AC9">
      <w:pPr>
        <w:numPr>
          <w:ilvl w:val="0"/>
          <w:numId w:val="1"/>
        </w:numPr>
        <w:ind w:start="28.30pt" w:hanging="28.30pt"/>
      </w:pPr>
      <w:r>
        <w:t>Úvěr může být čerpán v období od prvního pracovního dne následujícího po dni, ve kterém byly splněny podmínky čerpání stanovené Smlouvou, až do 1 pracovního dne před Dnem konečné splatnosti („</w:t>
      </w:r>
      <w:r>
        <w:rPr>
          <w:b/>
          <w:bCs/>
        </w:rPr>
        <w:t>Období čerpání</w:t>
      </w:r>
      <w:r>
        <w:t>“). Banka poskytuje Úvěr Klientovi na krytí přechodného nedostatku peněžních prostředků.</w:t>
      </w:r>
    </w:p>
    <w:p w14:paraId="16545DC7" w14:textId="77777777" w:rsidR="00CF7812" w:rsidRDefault="00DE4AC9">
      <w:pPr>
        <w:numPr>
          <w:ilvl w:val="0"/>
          <w:numId w:val="1"/>
        </w:numPr>
        <w:ind w:start="28.30pt" w:hanging="28.30pt"/>
      </w:pPr>
      <w:r>
        <w:t>Pro čerpání a splácení Úvěru Banka otevře úvěrový účet, z něhož bude Úvěr Klientem čerpán bezhotovostními převody peněžních prostředků (výhradně prostřednictvím služeb elektronického bankovnictví) na jakýkoli platební (tj. běžný i spořící) účet Klienta vedený u Banky. Úvěr může být Klientem čerpán i splácen opakovaně, resp. průběžně, vždy až do výše Úvěrového limitu.</w:t>
      </w:r>
    </w:p>
    <w:p w14:paraId="3D9E58CF" w14:textId="77777777" w:rsidR="00CF7812" w:rsidRDefault="00DE4AC9">
      <w:pPr>
        <w:numPr>
          <w:ilvl w:val="0"/>
          <w:numId w:val="1"/>
        </w:numPr>
        <w:ind w:start="28.30pt" w:hanging="28.30pt"/>
      </w:pPr>
      <w:r>
        <w:t>Úvěr může být čerpán, pokud:</w:t>
      </w:r>
    </w:p>
    <w:p w14:paraId="7EC1DBE8" w14:textId="77777777" w:rsidR="00CF7812" w:rsidRDefault="00DE4AC9">
      <w:pPr>
        <w:numPr>
          <w:ilvl w:val="1"/>
          <w:numId w:val="1"/>
        </w:numPr>
        <w:ind w:start="56.60pt" w:hanging="28.30pt"/>
      </w:pPr>
      <w:r>
        <w:t>Klient plní vůči Bance řádně a včas své povinnosti převzaté Smlouvou a/nebo v souvislosti se Smlouvou,</w:t>
      </w:r>
    </w:p>
    <w:p w14:paraId="6E1E43E5" w14:textId="77777777" w:rsidR="00CF7812" w:rsidRDefault="00DE4AC9">
      <w:pPr>
        <w:numPr>
          <w:ilvl w:val="1"/>
          <w:numId w:val="1"/>
        </w:numPr>
        <w:ind w:start="56.60pt" w:hanging="28.30pt"/>
      </w:pPr>
      <w:r>
        <w:lastRenderedPageBreak/>
        <w:t>jsou splněny obecné podmínky čerpání uvedené v ÚOP.</w:t>
      </w:r>
    </w:p>
    <w:p w14:paraId="1A1FA8B2" w14:textId="2F41BA0C" w:rsidR="00CF7812" w:rsidRDefault="00DE4AC9">
      <w:pPr>
        <w:numPr>
          <w:ilvl w:val="0"/>
          <w:numId w:val="1"/>
        </w:numPr>
        <w:ind w:start="28.30pt" w:hanging="28.30pt"/>
      </w:pPr>
      <w:r>
        <w:t>Banka pro Klienta vede účet č. </w:t>
      </w:r>
      <w:r w:rsidR="00EA0BA5">
        <w:t>xxxxxxxxxxxxxxxxxxxxxx</w:t>
      </w:r>
      <w:r>
        <w:t xml:space="preserve"> v Kč („</w:t>
      </w:r>
      <w:r>
        <w:rPr>
          <w:b/>
          <w:bCs/>
        </w:rPr>
        <w:t>Účet</w:t>
      </w:r>
      <w:r>
        <w:t>“).</w:t>
      </w:r>
    </w:p>
    <w:p w14:paraId="4B977BEC" w14:textId="77777777" w:rsidR="00CF7812" w:rsidRDefault="00DE4AC9">
      <w:pPr>
        <w:numPr>
          <w:ilvl w:val="0"/>
          <w:numId w:val="1"/>
        </w:numPr>
        <w:ind w:start="28.30pt" w:hanging="28.30pt"/>
      </w:pPr>
      <w:r>
        <w:t>Banka bude vystavovat výpisy z úvěrového účtu a zasílat je Klientovi.</w:t>
      </w:r>
    </w:p>
    <w:p w14:paraId="0D79DC9D" w14:textId="77777777" w:rsidR="00CF7812" w:rsidRDefault="00CF7812"/>
    <w:p w14:paraId="17111847" w14:textId="77777777" w:rsidR="00CF7812" w:rsidRDefault="00DE4AC9">
      <w:pPr>
        <w:pStyle w:val="Nadpis1"/>
        <w:spacing w:before="0pt" w:after="0pt"/>
      </w:pPr>
      <w:r>
        <w:t>Článek II.</w:t>
      </w:r>
    </w:p>
    <w:p w14:paraId="05DD19D6" w14:textId="77777777" w:rsidR="00CF7812" w:rsidRDefault="00DE4AC9">
      <w:pPr>
        <w:keepNext/>
        <w:jc w:val="center"/>
      </w:pPr>
      <w:r>
        <w:rPr>
          <w:b/>
          <w:bCs/>
          <w:u w:val="single" w:color="000000"/>
        </w:rPr>
        <w:t>Úroky a poplatky</w:t>
      </w:r>
    </w:p>
    <w:p w14:paraId="0E34E982" w14:textId="77777777" w:rsidR="00CF7812" w:rsidRDefault="00DE4AC9">
      <w:pPr>
        <w:numPr>
          <w:ilvl w:val="0"/>
          <w:numId w:val="2"/>
        </w:numPr>
        <w:ind w:start="28.30pt" w:hanging="28.30pt"/>
      </w:pPr>
      <w:r>
        <w:t xml:space="preserve">Úvěr je úročen pohyblivou úrokovou sazbou, která je součtem referenční úrokové sazby peněžního trhu O/N PRIBOR ve výši uvedené v informační síti REFINITIV (na příslušné obrazovce), popřípadě v jiných informačních mediích, ve 13 hodin středoevropského času vždy v příslušný den, kdy je Úvěr čerpán (pro nepracovní dny bude použita sazba vyhlášená pro nejbližší předcházející pracovní den) a marže (přirážky) v pevné výši 1,80 % p.a. </w:t>
      </w:r>
      <w:r>
        <w:rPr>
          <w:rStyle w:val="cg3-block-content-condition"/>
        </w:rPr>
        <w:t>s tím, že je-li výše uvedená referenční sazba menší než nula, použije se pro výpočet úrokové sazby referenční sazba v hodnotě nula.</w:t>
      </w:r>
    </w:p>
    <w:p w14:paraId="1EEECDA3" w14:textId="77777777" w:rsidR="00CF7812" w:rsidRDefault="00DE4AC9">
      <w:pPr>
        <w:numPr>
          <w:ilvl w:val="0"/>
          <w:numId w:val="2"/>
        </w:numPr>
        <w:ind w:start="28.30pt" w:hanging="28.30pt"/>
      </w:pPr>
      <w:r>
        <w:t>Je-li Klient v prodlení se splácením trvajícím po Dni konečné splatnosti, je Úvěr po Dni konečné splatnosti nadále úročen úrokovou sazbou ve výši úrokové sazby platné v Den konečné splatnosti a v této výši úroková sazba zůstává až do úplného splacení všech dluhů Klienta vyplývajících ze Smlouvy.</w:t>
      </w:r>
    </w:p>
    <w:p w14:paraId="4A539C8A" w14:textId="77777777" w:rsidR="00CF7812" w:rsidRDefault="00DE4AC9">
      <w:pPr>
        <w:numPr>
          <w:ilvl w:val="0"/>
          <w:numId w:val="2"/>
        </w:numPr>
        <w:ind w:start="28.30pt" w:hanging="28.30pt"/>
      </w:pPr>
      <w:r>
        <w:t>Úrok z Úvěru je splatný vždy (i)</w:t>
      </w:r>
      <w:r>
        <w:rPr>
          <w:rStyle w:val="cg3-block-content-condition"/>
        </w:rPr>
        <w:t> ve 25. den</w:t>
      </w:r>
      <w:r>
        <w:t xml:space="preserve"> kalendářního měsíce, a (ii) v Den konečné splatnosti.</w:t>
      </w:r>
    </w:p>
    <w:p w14:paraId="04A92810" w14:textId="77777777" w:rsidR="00CF7812" w:rsidRDefault="00DE4AC9">
      <w:pPr>
        <w:numPr>
          <w:ilvl w:val="0"/>
          <w:numId w:val="2"/>
        </w:numPr>
        <w:ind w:start="28.30pt" w:hanging="28.30pt"/>
      </w:pPr>
      <w:r>
        <w:t>Klient se zavazuje zaplatit Bance za vyhodnocení žádosti o Úvěr jednorázový poplatek ve výši 5 000 Kč. Tento poplatek je splatný do 5 pracovních dnů ode dne uzavření Smlouvy.</w:t>
      </w:r>
    </w:p>
    <w:p w14:paraId="68729DB1" w14:textId="77777777" w:rsidR="00CF7812" w:rsidRDefault="00DE4AC9">
      <w:pPr>
        <w:numPr>
          <w:ilvl w:val="0"/>
          <w:numId w:val="2"/>
        </w:numPr>
        <w:ind w:start="28.30pt" w:hanging="28.30pt"/>
      </w:pPr>
      <w:r>
        <w:t>Klient se zavazuje platit Bance za správu Úvěru poplatek v měsíční výši 250 Kč. Tento poplatek je splatný vždy (i) v den splatnosti úroků z Úvěru a (ii) v Den konečné splatnosti.</w:t>
      </w:r>
    </w:p>
    <w:p w14:paraId="10186BC4" w14:textId="77777777" w:rsidR="00CF7812" w:rsidRDefault="00DE4AC9">
      <w:pPr>
        <w:numPr>
          <w:ilvl w:val="0"/>
          <w:numId w:val="2"/>
        </w:numPr>
        <w:ind w:start="28.30pt" w:hanging="28.30pt"/>
      </w:pPr>
      <w:r>
        <w:t>Klient se zavazuje platit Bance za vyhodnocení podmínek pro poskytování Úvěrového limitu roční poplatek ve výši 2 000 Kč. Tento poplatek je splatný ve 12. následujícím měsíci (a následně vždy v každém dalším 12. následujícím měsíci) od podpisu Smlouvy, a to vždy v den, kdy je splatný měsíční poplatek za správu Úvěru.</w:t>
      </w:r>
    </w:p>
    <w:p w14:paraId="13EAF73A" w14:textId="77777777" w:rsidR="00CF7812" w:rsidRDefault="00DE4AC9">
      <w:pPr>
        <w:numPr>
          <w:ilvl w:val="0"/>
          <w:numId w:val="2"/>
        </w:numPr>
        <w:ind w:start="28.30pt" w:hanging="28.30pt"/>
      </w:pPr>
      <w:r>
        <w:t>Klient se zavazuje od prvního pracovního dne následujícího po dni uzavření Smlouvy do konce Období čerpání platit Bance závazkovou provizi ve výši 0,50 % p.a. z nečerpané části Úvěrového limitu. Tento poplatek je splatný vždy v den platby úroků z Úvěru (společně s nimi) a v Den konečné splatnosti.</w:t>
      </w:r>
    </w:p>
    <w:p w14:paraId="381B2850" w14:textId="77777777" w:rsidR="00CF7812" w:rsidRDefault="00DE4AC9">
      <w:pPr>
        <w:numPr>
          <w:ilvl w:val="0"/>
          <w:numId w:val="2"/>
        </w:numPr>
        <w:ind w:start="28.30pt" w:hanging="28.30pt"/>
      </w:pPr>
      <w:r>
        <w:t>Z každé splatné a nezaplacené částky podle Smlouvy (kromě úroku) se Klient zavazuje zaplatit Bance úrok z prodlení ve výši 20 % p.a. V případě, že právní předpis závazně stanoví jinou (nižší) sazbu úroku z prodlení, zavazuje se Klient zaplatit Bance úrok z prodlení pouze ve výši stanovené právním předpisem upravujícím úroky z prodlení.</w:t>
      </w:r>
    </w:p>
    <w:p w14:paraId="04E66067" w14:textId="77777777" w:rsidR="00CF7812" w:rsidRDefault="00CF7812"/>
    <w:p w14:paraId="150D1302" w14:textId="77777777" w:rsidR="00CF7812" w:rsidRDefault="00DE4AC9">
      <w:pPr>
        <w:pStyle w:val="Nadpis1"/>
        <w:spacing w:before="0pt" w:after="0pt"/>
      </w:pPr>
      <w:r>
        <w:t>Článek III.</w:t>
      </w:r>
    </w:p>
    <w:p w14:paraId="319EE10F" w14:textId="77777777" w:rsidR="00CF7812" w:rsidRDefault="00DE4AC9">
      <w:pPr>
        <w:keepNext/>
        <w:jc w:val="center"/>
      </w:pPr>
      <w:r>
        <w:rPr>
          <w:b/>
          <w:bCs/>
          <w:u w:val="single" w:color="000000"/>
        </w:rPr>
        <w:t>Splácení</w:t>
      </w:r>
    </w:p>
    <w:p w14:paraId="372CD22B" w14:textId="77777777" w:rsidR="00CF7812" w:rsidRDefault="00DE4AC9">
      <w:pPr>
        <w:numPr>
          <w:ilvl w:val="0"/>
          <w:numId w:val="3"/>
        </w:numPr>
        <w:ind w:start="28.30pt" w:hanging="28.30pt"/>
      </w:pPr>
      <w:r>
        <w:t>Jakékoli částky splatné dle Smlouvy se Klient zavazuje zaplatit v den jejich splatnosti.</w:t>
      </w:r>
    </w:p>
    <w:p w14:paraId="4D878DAB" w14:textId="77777777" w:rsidR="00CF7812" w:rsidRDefault="00DE4AC9">
      <w:pPr>
        <w:numPr>
          <w:ilvl w:val="0"/>
          <w:numId w:val="3"/>
        </w:numPr>
        <w:ind w:start="28.30pt" w:hanging="28.30pt"/>
      </w:pPr>
      <w:r>
        <w:t>Klient je povinen splatit Úvěr v Den konečné splatnosti.</w:t>
      </w:r>
    </w:p>
    <w:p w14:paraId="6452AEFD" w14:textId="77777777" w:rsidR="00CF7812" w:rsidRDefault="00DE4AC9">
      <w:pPr>
        <w:numPr>
          <w:ilvl w:val="0"/>
          <w:numId w:val="3"/>
        </w:numPr>
        <w:ind w:start="28.30pt" w:hanging="28.30pt"/>
      </w:pPr>
      <w:r>
        <w:t>Do dne předcházejícího Dni konečné splatnosti je Klient oprávněn (nikoli však povinen) Úvěr průběžně splácet převody peněžních prostředků z jakéhokoli platebního (tj. běžného nebo spořícího) účtu Klienta vedeného u Banky na úvěrový účet.</w:t>
      </w:r>
    </w:p>
    <w:p w14:paraId="530FFFE4" w14:textId="77777777" w:rsidR="00CF7812" w:rsidRDefault="00CF7812"/>
    <w:p w14:paraId="27D8C1D2" w14:textId="77777777" w:rsidR="00CF7812" w:rsidRDefault="00DE4AC9">
      <w:pPr>
        <w:pStyle w:val="Nadpis1"/>
        <w:spacing w:before="0pt" w:after="0pt"/>
      </w:pPr>
      <w:r>
        <w:t>Článek IV.</w:t>
      </w:r>
    </w:p>
    <w:p w14:paraId="41904FA9" w14:textId="77777777" w:rsidR="00CF7812" w:rsidRDefault="00DE4AC9">
      <w:pPr>
        <w:keepNext/>
        <w:jc w:val="center"/>
      </w:pPr>
      <w:r>
        <w:rPr>
          <w:b/>
          <w:bCs/>
          <w:u w:val="single" w:color="000000"/>
        </w:rPr>
        <w:t>Zajištění</w:t>
      </w:r>
    </w:p>
    <w:p w14:paraId="584CCCFA" w14:textId="77777777" w:rsidR="00CF7812" w:rsidRDefault="00DE4AC9">
      <w:pPr>
        <w:numPr>
          <w:ilvl w:val="0"/>
          <w:numId w:val="4"/>
        </w:numPr>
        <w:ind w:start="28.30pt" w:hanging="28.30pt"/>
      </w:pPr>
      <w:r>
        <w:t>Dluhy ze Smlouvy či se Smlouvou související budou zajištěny:</w:t>
      </w:r>
    </w:p>
    <w:p w14:paraId="156070B5" w14:textId="77777777" w:rsidR="00CF7812" w:rsidRDefault="00DE4AC9">
      <w:pPr>
        <w:numPr>
          <w:ilvl w:val="1"/>
          <w:numId w:val="4"/>
        </w:numPr>
        <w:ind w:start="56.60pt" w:hanging="28.30pt"/>
      </w:pPr>
      <w:r>
        <w:t>zajišťovací blankosměnkou vystavenou Klientem dle dohody o vyplňovacím právu směnečném č. </w:t>
      </w:r>
      <w:r>
        <w:rPr>
          <w:rStyle w:val="cg3-block-content-condition"/>
        </w:rPr>
        <w:t>2024012605</w:t>
      </w:r>
      <w:r>
        <w:t>.</w:t>
      </w:r>
    </w:p>
    <w:p w14:paraId="2FD09A16" w14:textId="77777777" w:rsidR="00CF7812" w:rsidRDefault="00DE4AC9">
      <w:pPr>
        <w:numPr>
          <w:ilvl w:val="0"/>
          <w:numId w:val="4"/>
        </w:numPr>
        <w:ind w:start="28.30pt" w:hanging="28.30pt"/>
      </w:pPr>
      <w:r>
        <w:t>Poklesne-li hodnota zajištění, poskytnutého za dluhy Klienta podle Smlouvy, nebo ztratí-li toto zajištění na ceně, zavazuje se Klient doplnit toto zajištění na původní hodnotu ve lhůtě 30 dnů od doručení výzvy Banky. Poklesem hodnoty nebo ztrátou na ceně zajištění je, mimo jiné:</w:t>
      </w:r>
    </w:p>
    <w:p w14:paraId="70B3F8A9" w14:textId="77777777" w:rsidR="00CF7812" w:rsidRDefault="00DE4AC9">
      <w:pPr>
        <w:numPr>
          <w:ilvl w:val="1"/>
          <w:numId w:val="4"/>
        </w:numPr>
        <w:ind w:start="56.60pt" w:hanging="28.30pt"/>
      </w:pPr>
      <w:r>
        <w:t>neplatnost, neúčinnost či nevymahatelnost tohoto zajištění, nebo</w:t>
      </w:r>
    </w:p>
    <w:p w14:paraId="43574DDA" w14:textId="77777777" w:rsidR="00CF7812" w:rsidRDefault="00DE4AC9">
      <w:pPr>
        <w:numPr>
          <w:ilvl w:val="1"/>
          <w:numId w:val="4"/>
        </w:numPr>
        <w:ind w:start="56.60pt" w:hanging="28.30pt"/>
      </w:pPr>
      <w:r>
        <w:t>skutečnost, že toto zajištění bylo poskytnuto na základě nepřesných, neúplných či mylných údajů.</w:t>
      </w:r>
    </w:p>
    <w:p w14:paraId="075271C0" w14:textId="77777777" w:rsidR="00CF7812" w:rsidRDefault="00DE4AC9">
      <w:pPr>
        <w:numPr>
          <w:ilvl w:val="0"/>
          <w:numId w:val="4"/>
        </w:numPr>
        <w:ind w:start="28.30pt" w:hanging="28.30pt"/>
      </w:pPr>
      <w:r>
        <w:lastRenderedPageBreak/>
        <w:t>Klient je povinen vždy před poskytnutím jakéhokoli zajištění dluhů Klienta ze Smlouvy třetí osobou tuto osobu plně informovat o výši všech současných, budoucích i podmíněných dluhů Klienta ze Smlouvy (včetně příslušenství těchto dluhů).</w:t>
      </w:r>
    </w:p>
    <w:p w14:paraId="00E28628" w14:textId="77777777" w:rsidR="00CF7812" w:rsidRDefault="00CF7812"/>
    <w:p w14:paraId="0D4150E0" w14:textId="77777777" w:rsidR="00CF7812" w:rsidRDefault="00DE4AC9">
      <w:pPr>
        <w:pStyle w:val="Nadpis1"/>
        <w:spacing w:before="0pt" w:after="0pt"/>
      </w:pPr>
      <w:r>
        <w:t>Článek V.</w:t>
      </w:r>
    </w:p>
    <w:p w14:paraId="1DC85887" w14:textId="77777777" w:rsidR="00CF7812" w:rsidRDefault="00DE4AC9">
      <w:pPr>
        <w:keepNext/>
        <w:jc w:val="center"/>
      </w:pPr>
      <w:r>
        <w:rPr>
          <w:b/>
          <w:bCs/>
          <w:u w:val="single" w:color="000000"/>
        </w:rPr>
        <w:t>Prohlášení</w:t>
      </w:r>
    </w:p>
    <w:p w14:paraId="29F8E609" w14:textId="77777777" w:rsidR="00CF7812" w:rsidRDefault="00DE4AC9">
      <w:pPr>
        <w:numPr>
          <w:ilvl w:val="0"/>
          <w:numId w:val="5"/>
        </w:numPr>
        <w:ind w:start="28.30pt" w:hanging="28.30pt"/>
      </w:pPr>
      <w:r>
        <w:t>Klient Bance prohlašuje ke dni uzavření Smlouvy, že:</w:t>
      </w:r>
    </w:p>
    <w:p w14:paraId="4C9D9ED4" w14:textId="77777777" w:rsidR="00CF7812" w:rsidRDefault="00DE4AC9">
      <w:pPr>
        <w:numPr>
          <w:ilvl w:val="1"/>
          <w:numId w:val="5"/>
        </w:numPr>
        <w:ind w:start="56.60pt" w:hanging="28.30pt"/>
      </w:pPr>
      <w:r>
        <w:t>jeho prohlášení obsažená v Příloze č. 1 Smlouvy jsou aktuální, pravdivá a úplná,</w:t>
      </w:r>
    </w:p>
    <w:p w14:paraId="55E30C02" w14:textId="77777777" w:rsidR="00CF7812" w:rsidRDefault="00DE4AC9">
      <w:pPr>
        <w:numPr>
          <w:ilvl w:val="1"/>
          <w:numId w:val="5"/>
        </w:numPr>
        <w:ind w:start="56.60pt" w:hanging="28.30pt"/>
      </w:pPr>
      <w:r>
        <w:t>řádně uzavřel Smlouvu, je plně oprávněn plnit veškeré své závazky ze Smlouvy a transakce zamýšlené Smlouvou a obdržel veškerá povolení, souhlasy, vyjádření, registrace vnitřní či vnější povahy, které jsou k tomu nezbytné,</w:t>
      </w:r>
    </w:p>
    <w:p w14:paraId="02509AEC" w14:textId="77777777" w:rsidR="00CF7812" w:rsidRDefault="00DE4AC9">
      <w:pPr>
        <w:numPr>
          <w:ilvl w:val="1"/>
          <w:numId w:val="5"/>
        </w:numPr>
        <w:ind w:start="56.60pt" w:hanging="28.30pt"/>
      </w:pPr>
      <w:r>
        <w:t>uzavření Smlouvy a plnění jeho závazků z ní není v rozporu s (i) jakoukoliv smlouvou či jinou právní skutečností, na základě níž má Klient jakékoli povinnosti, (ii) jeho zakladatelským právním jednáním, statutem nebo jiným organizačním dokumentem (je-li Klient právnickou osobou), nebo (iii) právním předpisem či soudním, rozhodčím či správním rozhodnutím týkajícím se Klienta nebo jakéhokoli jeho majetku,</w:t>
      </w:r>
    </w:p>
    <w:p w14:paraId="6953FC51" w14:textId="77777777" w:rsidR="00CF7812" w:rsidRDefault="00DE4AC9">
      <w:pPr>
        <w:numPr>
          <w:ilvl w:val="1"/>
          <w:numId w:val="5"/>
        </w:numPr>
        <w:ind w:start="56.60pt" w:hanging="28.30pt"/>
      </w:pPr>
      <w:r>
        <w:t>Smlouva souvisí s jeho vlastním podnikáním nebo s jeho jinými ekonomickými aktivitami, má sám nebo prostřednictvím svých poradců dostatečné znalosti a zkušenosti posoudit a pochopit obsah Smlouvy a před jejím uzavřením obsah Smlouvy posoudil a plně pochopil a zvážil veškeré okolnosti a důsledky související s jejím uzavřením,</w:t>
      </w:r>
    </w:p>
    <w:p w14:paraId="56038C30" w14:textId="77777777" w:rsidR="00CF7812" w:rsidRDefault="00DE4AC9">
      <w:pPr>
        <w:numPr>
          <w:ilvl w:val="1"/>
          <w:numId w:val="5"/>
        </w:numPr>
        <w:ind w:start="56.60pt" w:hanging="28.30pt"/>
      </w:pPr>
      <w:r>
        <w:t>při jednání o uzavření Smlouvy mu byly sděleny všechny skutkové a právní okolnosti tak, aby se Klient mohl přesvědčit o možnosti uzavřít platnou Smlouvu a aby byl Klientovi zřejmý zájem Banky Smlouvu uzavřít,</w:t>
      </w:r>
    </w:p>
    <w:p w14:paraId="6125F955" w14:textId="77777777" w:rsidR="00CF7812" w:rsidRDefault="00DE4AC9">
      <w:pPr>
        <w:numPr>
          <w:ilvl w:val="1"/>
          <w:numId w:val="5"/>
        </w:numPr>
        <w:ind w:start="56.60pt" w:hanging="28.30pt"/>
      </w:pPr>
      <w:r>
        <w:t>má k uzavření Smlouvy na dobu uvedenou ve Smlouvě vážné důvody spočívající v optimalizaci financování svých potřeb,</w:t>
      </w:r>
    </w:p>
    <w:p w14:paraId="08DB214D" w14:textId="77777777" w:rsidR="00CF7812" w:rsidRDefault="00DE4AC9">
      <w:pPr>
        <w:numPr>
          <w:ilvl w:val="1"/>
          <w:numId w:val="5"/>
        </w:numPr>
        <w:ind w:start="56.60pt" w:hanging="28.30pt"/>
      </w:pPr>
      <w:r>
        <w:t>je právnickou osobou uvedenou v § 2 odst. 1 zákona č. 340/2015 Sb., o zvláštních podmínkách účinnosti některých smluv, uveřejňování těchto smluv a o registru smluv, v platném znění („</w:t>
      </w:r>
      <w:r>
        <w:rPr>
          <w:b/>
          <w:bCs/>
        </w:rPr>
        <w:t>Zákon o registru smluv</w:t>
      </w:r>
      <w:r>
        <w:t>“) a že na Smlouvu se vztahuje povinnost uveřejnění prostřednictvím registru smluv.</w:t>
      </w:r>
    </w:p>
    <w:p w14:paraId="59993E45" w14:textId="77777777" w:rsidR="00CF7812" w:rsidRDefault="00CF7812"/>
    <w:p w14:paraId="66F6B8DA" w14:textId="77777777" w:rsidR="00CF7812" w:rsidRDefault="00DE4AC9">
      <w:pPr>
        <w:pStyle w:val="Nadpis1"/>
        <w:spacing w:before="0pt" w:after="0pt"/>
      </w:pPr>
      <w:r>
        <w:t>Článek VI.</w:t>
      </w:r>
    </w:p>
    <w:p w14:paraId="221E7098" w14:textId="77777777" w:rsidR="00CF7812" w:rsidRDefault="00DE4AC9">
      <w:pPr>
        <w:keepNext/>
        <w:jc w:val="center"/>
      </w:pPr>
      <w:r>
        <w:rPr>
          <w:b/>
          <w:bCs/>
          <w:u w:val="single" w:color="000000"/>
        </w:rPr>
        <w:t>Závazky</w:t>
      </w:r>
    </w:p>
    <w:p w14:paraId="04D23231" w14:textId="77777777" w:rsidR="00CF7812" w:rsidRDefault="00DE4AC9">
      <w:pPr>
        <w:numPr>
          <w:ilvl w:val="0"/>
          <w:numId w:val="6"/>
        </w:numPr>
        <w:ind w:start="28.30pt" w:hanging="28.30pt"/>
      </w:pPr>
      <w:r>
        <w:t>Klient se zavazuje, že od uzavření Smlouvy do zániku veškerých existujících, budoucích či podmíněných dluhů ze Smlouvy:</w:t>
      </w:r>
    </w:p>
    <w:p w14:paraId="0EDC3368" w14:textId="77777777" w:rsidR="00CF7812" w:rsidRDefault="00DE4AC9">
      <w:pPr>
        <w:numPr>
          <w:ilvl w:val="1"/>
          <w:numId w:val="6"/>
        </w:numPr>
        <w:ind w:start="56.60pt" w:hanging="28.30pt"/>
      </w:pPr>
      <w:r>
        <w:t>bude plnit závazky obsažené v ÚOP,</w:t>
      </w:r>
    </w:p>
    <w:p w14:paraId="30ACD9B3" w14:textId="77777777" w:rsidR="00CF7812" w:rsidRDefault="00DE4AC9">
      <w:pPr>
        <w:numPr>
          <w:ilvl w:val="1"/>
          <w:numId w:val="6"/>
        </w:numPr>
        <w:ind w:start="56.60pt" w:hanging="28.30pt"/>
      </w:pPr>
      <w:r>
        <w:t>bude předkládat Bance dokumenty a výkazy v následujícím rozsahu a lhůtách:</w:t>
      </w:r>
    </w:p>
    <w:p w14:paraId="7228755A" w14:textId="77777777" w:rsidR="00CF7812" w:rsidRDefault="00DE4AC9">
      <w:pPr>
        <w:numPr>
          <w:ilvl w:val="2"/>
          <w:numId w:val="6"/>
        </w:numPr>
        <w:ind w:start="84.90pt" w:hanging="28.30pt"/>
      </w:pPr>
      <w:r>
        <w:t>rozvahu a výkaz zisku a ztráty v plném rozsahu, a to vždy do 31. dne následujícího kalendářního pololetí</w:t>
      </w:r>
      <w:r>
        <w:rPr>
          <w:rStyle w:val="cg3-block-content-condition"/>
        </w:rPr>
        <w:t>,</w:t>
      </w:r>
    </w:p>
    <w:p w14:paraId="152AE8EC" w14:textId="77777777" w:rsidR="00CF7812" w:rsidRDefault="00DE4AC9">
      <w:pPr>
        <w:numPr>
          <w:ilvl w:val="2"/>
          <w:numId w:val="6"/>
        </w:numPr>
        <w:ind w:start="84.90pt" w:hanging="28.30pt"/>
      </w:pPr>
      <w:r>
        <w:t>konečné účetní výkazy za uplynulé účetní období a daňové přiznání o daních z příjmu včetně příloh potvrzené finančním úřadem do 31.7. následujícího kalendářního roku</w:t>
      </w:r>
      <w:r>
        <w:rPr>
          <w:rStyle w:val="cg3-block-content-condition"/>
        </w:rPr>
        <w:t>,</w:t>
      </w:r>
    </w:p>
    <w:p w14:paraId="2A365684" w14:textId="77777777" w:rsidR="00CF7812" w:rsidRDefault="00DE4AC9">
      <w:pPr>
        <w:numPr>
          <w:ilvl w:val="1"/>
          <w:numId w:val="6"/>
        </w:numPr>
        <w:ind w:start="56.60pt" w:hanging="28.30pt"/>
      </w:pPr>
      <w:r>
        <w:rPr>
          <w:rStyle w:val="cg3-block-content-condition"/>
        </w:rPr>
        <w:t>povede u Banky alespoň 1 účet a bude na tento účet nebo účty vedené Bankou směrovat nejméně 80 % svých příjmů za každé kalendářní pololetí,</w:t>
      </w:r>
    </w:p>
    <w:p w14:paraId="01A1C2F3" w14:textId="77777777" w:rsidR="00CF7812" w:rsidRDefault="00DE4AC9">
      <w:pPr>
        <w:numPr>
          <w:ilvl w:val="1"/>
          <w:numId w:val="6"/>
        </w:numPr>
        <w:ind w:start="56.60pt" w:hanging="28.30pt"/>
      </w:pPr>
      <w:r>
        <w:t>uveřejní prostřednictvím registru smluv Smlouvu bez zbytečného odkladu po uzavření Smlouvy v rozsahu nezbytném pro splnění povinnosti stanovené Zákonem o registru smluv. Klient přitom znečitelní veškeré osobní údaje (včetně kontaktních údajů, podpisů či podpisových vzorů) osob zastupujících Banku a čísla bankovních účtů, jakož i jakékoli jiné informace, o jejichž znečitelnění Banka požádá Klienta, pokud to Zákon o registru smluv u takových informací umožňuje.</w:t>
      </w:r>
    </w:p>
    <w:p w14:paraId="35C09236" w14:textId="77777777" w:rsidR="00CF7812" w:rsidRDefault="00CF7812"/>
    <w:p w14:paraId="37B5E25B" w14:textId="77777777" w:rsidR="00CF7812" w:rsidRDefault="00DE4AC9">
      <w:pPr>
        <w:pStyle w:val="Nadpis1"/>
        <w:spacing w:before="0pt" w:after="0pt"/>
      </w:pPr>
      <w:r>
        <w:t>Článek VII.</w:t>
      </w:r>
    </w:p>
    <w:p w14:paraId="57B99FF6" w14:textId="77777777" w:rsidR="00CF7812" w:rsidRDefault="00DE4AC9">
      <w:pPr>
        <w:keepNext/>
        <w:jc w:val="center"/>
      </w:pPr>
      <w:r>
        <w:rPr>
          <w:b/>
          <w:bCs/>
          <w:u w:val="single" w:color="000000"/>
        </w:rPr>
        <w:t>Případy porušení</w:t>
      </w:r>
    </w:p>
    <w:p w14:paraId="073A9795" w14:textId="77777777" w:rsidR="00CF7812" w:rsidRDefault="00DE4AC9">
      <w:pPr>
        <w:numPr>
          <w:ilvl w:val="0"/>
          <w:numId w:val="7"/>
        </w:numPr>
        <w:ind w:start="28.30pt" w:hanging="28.30pt"/>
      </w:pPr>
      <w:r>
        <w:t>Případy porušení („</w:t>
      </w:r>
      <w:r>
        <w:rPr>
          <w:b/>
          <w:bCs/>
        </w:rPr>
        <w:t>Případ porušení</w:t>
      </w:r>
      <w:r>
        <w:t>“) jsou:</w:t>
      </w:r>
    </w:p>
    <w:p w14:paraId="6DD5E23A" w14:textId="77777777" w:rsidR="00CF7812" w:rsidRDefault="00DE4AC9">
      <w:pPr>
        <w:numPr>
          <w:ilvl w:val="1"/>
          <w:numId w:val="7"/>
        </w:numPr>
        <w:ind w:start="56.60pt" w:hanging="28.30pt"/>
      </w:pPr>
      <w:r>
        <w:t>porušení stanovená v ÚOP,</w:t>
      </w:r>
    </w:p>
    <w:p w14:paraId="4154C6A1" w14:textId="77777777" w:rsidR="00CF7812" w:rsidRDefault="00DE4AC9">
      <w:pPr>
        <w:numPr>
          <w:ilvl w:val="1"/>
          <w:numId w:val="7"/>
        </w:numPr>
        <w:ind w:start="56.60pt" w:hanging="28.30pt"/>
      </w:pPr>
      <w:r>
        <w:lastRenderedPageBreak/>
        <w:t>podíl společnosti Autobusy LK, s.r.o. se sídlem: U Jezu 525/4, Liberec IV-Perštýn, 460 01 Liberec, IČO: 06897517 ("Autobusy LK, s.r.o.") na základním kapitálu Klienta nebo hlasovacích právech poklesne pod 85 %, resp. podíl Libereckého kraje, IČO: 70891508, se sídlem: U Jezu 642/2a, Liberec IV-Perštýn, 460 01 Liberec na základním kapitálu nebo hlasovacích právech společnosti Autobusy LK, s.r.o. poklesne pod 100 %,</w:t>
      </w:r>
    </w:p>
    <w:p w14:paraId="6C54D631" w14:textId="77777777" w:rsidR="00CF7812" w:rsidRDefault="00DE4AC9">
      <w:pPr>
        <w:numPr>
          <w:ilvl w:val="1"/>
          <w:numId w:val="7"/>
        </w:numPr>
        <w:ind w:start="56.60pt" w:hanging="28.30pt"/>
      </w:pPr>
      <w:r>
        <w:t>umožnění vzniku jakéhokoli věcného a/nebo závazkového práva k majetku Klienta ve prospěch třetí osoby (včetně vzniku závazků, které by mohly ke vzniku těchto práv vést) bez předchozího písemného souhlasu Banky.</w:t>
      </w:r>
    </w:p>
    <w:p w14:paraId="0DAA0F7D" w14:textId="77777777" w:rsidR="00CF7812" w:rsidRDefault="00DE4AC9">
      <w:pPr>
        <w:numPr>
          <w:ilvl w:val="0"/>
          <w:numId w:val="7"/>
        </w:numPr>
        <w:ind w:start="28.30pt" w:hanging="28.30pt"/>
      </w:pPr>
      <w:r>
        <w:t>Nastal-li Případ porušení, Banka je oprávněna, vedle opatření obsažených v ÚOP, oznámením odeslaným Klientovi:</w:t>
      </w:r>
    </w:p>
    <w:p w14:paraId="5020E149" w14:textId="77777777" w:rsidR="00CF7812" w:rsidRDefault="00DE4AC9">
      <w:pPr>
        <w:numPr>
          <w:ilvl w:val="1"/>
          <w:numId w:val="7"/>
        </w:numPr>
        <w:ind w:start="56.60pt" w:hanging="28.30pt"/>
      </w:pPr>
      <w:r>
        <w:t>požadovat zaplacení smluvní pokuty ve výši 10 000 Kč, a to v případě, že jde o Případ porušení spočívající v tom, že Klient porušil jeden či více svých závazků ze Smlouvy nebo z ÚOP. Klient je povinen Bance tuto smluvní pokutu zaplatit do 7 dnů od doručení písemné výzvy k jejímu uhrazení. Ustanovením o smluvní pokutě není dotčeno právo Banky na náhradu škody v plné výši včetně práva na náhradu škody nad rámec smluvní pokuty.</w:t>
      </w:r>
    </w:p>
    <w:p w14:paraId="186F942D" w14:textId="77777777" w:rsidR="00CF7812" w:rsidRDefault="00CF7812"/>
    <w:p w14:paraId="0B942FFC" w14:textId="77777777" w:rsidR="00CF7812" w:rsidRDefault="00DE4AC9">
      <w:pPr>
        <w:pStyle w:val="Nadpis1"/>
        <w:spacing w:before="0pt" w:after="0pt"/>
      </w:pPr>
      <w:r>
        <w:t>Článek VIII.</w:t>
      </w:r>
    </w:p>
    <w:p w14:paraId="4F017B69" w14:textId="77777777" w:rsidR="00CF7812" w:rsidRDefault="00DE4AC9">
      <w:pPr>
        <w:keepNext/>
        <w:jc w:val="center"/>
      </w:pPr>
      <w:r>
        <w:rPr>
          <w:b/>
          <w:bCs/>
          <w:u w:val="single" w:color="000000"/>
        </w:rPr>
        <w:t>Závěrečná ustanovení</w:t>
      </w:r>
    </w:p>
    <w:p w14:paraId="06E85313" w14:textId="77777777" w:rsidR="00CF7812" w:rsidRDefault="00DE4AC9">
      <w:pPr>
        <w:numPr>
          <w:ilvl w:val="0"/>
          <w:numId w:val="8"/>
        </w:numPr>
        <w:ind w:start="28.30pt" w:hanging="28.30pt"/>
      </w:pPr>
      <w:r>
        <w:t>Banka i Klient jsou oprávněni Smlouvu písemně vypovědět bez uvedení důvodu. Výpovědní lhůta začne běžet v první den kalendářního měsíce následujícího po měsíci, v němž byla výpověď doručena druhé ze Smluvních stran, a skončí (a Smlouva zanikne):</w:t>
      </w:r>
    </w:p>
    <w:p w14:paraId="19C7B0E8" w14:textId="77777777" w:rsidR="00CF7812" w:rsidRDefault="00DE4AC9">
      <w:pPr>
        <w:numPr>
          <w:ilvl w:val="1"/>
          <w:numId w:val="8"/>
        </w:numPr>
        <w:ind w:start="56.60pt" w:hanging="28.30pt"/>
      </w:pPr>
      <w:r>
        <w:t>v poslední den třetího kalendářního měsíce následujícího po měsíci, v němž byla výpověď doručena druhé ze Smluvních stran („</w:t>
      </w:r>
      <w:r>
        <w:rPr>
          <w:b/>
          <w:bCs/>
        </w:rPr>
        <w:t>Den konečné splatnosti</w:t>
      </w:r>
      <w:r>
        <w:t>“), pokud jsou splaceny veškeré pohledávky Banky za Klientem vyplývající ze Smlouvy, nebo</w:t>
      </w:r>
    </w:p>
    <w:p w14:paraId="1CDA862E" w14:textId="77777777" w:rsidR="00CF7812" w:rsidRDefault="00DE4AC9">
      <w:pPr>
        <w:numPr>
          <w:ilvl w:val="1"/>
          <w:numId w:val="8"/>
        </w:numPr>
        <w:ind w:start="56.60pt" w:hanging="28.30pt"/>
      </w:pPr>
      <w:r>
        <w:t>v den, kdy dojde ke splacení veškerých dluhů Klienta vůči Bance vzniklých ze Smlouvy nebo v souvislosti s ní, v případě, že do Dne konečné splatnosti nebyly splaceny veškeré pohledávky Banky za Klientem vyplývající ze Smlouvy.</w:t>
      </w:r>
    </w:p>
    <w:p w14:paraId="065A5AA5" w14:textId="77777777" w:rsidR="00CF7812" w:rsidRDefault="00DE4AC9">
      <w:pPr>
        <w:numPr>
          <w:ilvl w:val="0"/>
          <w:numId w:val="8"/>
        </w:numPr>
        <w:ind w:start="28.30pt" w:hanging="28.30pt"/>
      </w:pPr>
      <w:r>
        <w:t>Písemná komunikace mezi Bankou a Klientem se uskutečňuje korespondenčně v listinné podobě a/nebo elektronicky prostřednictvím služeb elektronického bankovnictví a/nebo datové schránky.</w:t>
      </w:r>
    </w:p>
    <w:p w14:paraId="53542DCD" w14:textId="77777777" w:rsidR="00CF7812" w:rsidRDefault="00DE4AC9">
      <w:pPr>
        <w:numPr>
          <w:ilvl w:val="0"/>
          <w:numId w:val="8"/>
        </w:numPr>
        <w:ind w:start="28.30pt" w:hanging="28.30pt"/>
      </w:pPr>
      <w:r>
        <w:t>Smlouva může být uzavřena v listinné či v elektronické podobě. V elektronické podobě může být Smlouva uzavřena, pokud Klient:</w:t>
      </w:r>
    </w:p>
    <w:p w14:paraId="5F6E04B6" w14:textId="77777777" w:rsidR="00CF7812" w:rsidRDefault="00DE4AC9">
      <w:pPr>
        <w:numPr>
          <w:ilvl w:val="1"/>
          <w:numId w:val="8"/>
        </w:numPr>
        <w:ind w:start="56.60pt" w:hanging="28.30pt"/>
      </w:pPr>
      <w:r>
        <w:t>podepíše Smlouvu biometrickým podpisem. Biometrický podpis je vlastnoruční podpis učiněný na elektronickém tabletu, který zachycuje dynamiku podpisu a jeho charakteristické rysy, jež do něj promítne podepisující osoba. Tyto údaje jsou následně zpracovány tak, že k nim Banka nemá přístup, a je možné je využít pouze v případě písmoznaleckého přezkumu biometrického podpisu. Banka může Smlouvu v elektronické podobě podepsat připojením naskenovaného podpisu oprávněného zástupce Banky, biometrickým podpisem či jiným podpisem. Banka následně opatří dokumentaci kvalifikovanou elektronickou pečetí a elektronickým časovým razítkem a zašle ji Klientovi do jeho elektronického bankovnictví; nebo</w:t>
      </w:r>
    </w:p>
    <w:p w14:paraId="1AB7A1E5" w14:textId="77777777" w:rsidR="00CF7812" w:rsidRDefault="00DE4AC9">
      <w:pPr>
        <w:numPr>
          <w:ilvl w:val="1"/>
          <w:numId w:val="8"/>
        </w:numPr>
        <w:ind w:start="56.60pt" w:hanging="28.30pt"/>
      </w:pPr>
      <w:r>
        <w:t>uzavřel s Bankou Smlouvu o využívání služby ČSOB CEB („</w:t>
      </w:r>
      <w:r>
        <w:rPr>
          <w:b/>
          <w:bCs/>
        </w:rPr>
        <w:t>CEB smlouva</w:t>
      </w:r>
      <w:r>
        <w:t xml:space="preserve">“). Smlouvu je pak možné podepsat způsobem sjednaným mezi Smluvními stranami pro podpis Dokumentů (jak jsou tyto definovány v CEB smlouvě). </w:t>
      </w:r>
    </w:p>
    <w:p w14:paraId="11CA97A0" w14:textId="77777777" w:rsidR="00CF7812" w:rsidRDefault="00DE4AC9">
      <w:pPr>
        <w:numPr>
          <w:ilvl w:val="0"/>
          <w:numId w:val="8"/>
        </w:numPr>
        <w:ind w:start="28.30pt" w:hanging="28.30pt"/>
      </w:pPr>
      <w:r>
        <w:t>Smlouva je platná dnem jejího uzavření. Účinnosti nabývá dnem jejího uveřejnění v registru smluv. Smlouva může být měněna pouze písemně, a to právním jednáním v listinné podobě nebo v elektronické podobě.</w:t>
      </w:r>
    </w:p>
    <w:p w14:paraId="242788E7" w14:textId="77777777" w:rsidR="00CF7812" w:rsidRDefault="00DE4AC9">
      <w:pPr>
        <w:numPr>
          <w:ilvl w:val="0"/>
          <w:numId w:val="8"/>
        </w:numPr>
        <w:ind w:start="28.30pt" w:hanging="28.30pt"/>
      </w:pPr>
      <w:r>
        <w:t>V případě neplatnosti, neúčinnosti či zdánlivosti jednotlivých ustanovení Smlouvy nejsou dotčena její ostatní ustanovení. Smluvní strany jsou neodkladně povinny učinit veškeré kroky nezbytné k nahrazení takového neplatného, neúčinného nebo zdánlivého ustanovení jiným ustanovením, které je platné, účinné a vymahatelné a odpovídá účelu nahrazovaného ustanovení i celé Smlouvy.</w:t>
      </w:r>
    </w:p>
    <w:p w14:paraId="1BBBCD1A" w14:textId="77777777" w:rsidR="00CF7812" w:rsidRDefault="00DE4AC9">
      <w:pPr>
        <w:numPr>
          <w:ilvl w:val="0"/>
          <w:numId w:val="8"/>
        </w:numPr>
        <w:ind w:start="28.30pt" w:hanging="28.30pt"/>
      </w:pPr>
      <w:r>
        <w:t>V právních vztazích založených Smlouvou se nepřihlíží k zavedené praxi či zvyklostem Smluvních stran a obchodním zvyklostem.</w:t>
      </w:r>
    </w:p>
    <w:p w14:paraId="0EB8275B" w14:textId="77777777" w:rsidR="00CF7812" w:rsidRDefault="00DE4AC9">
      <w:pPr>
        <w:numPr>
          <w:ilvl w:val="0"/>
          <w:numId w:val="8"/>
        </w:numPr>
        <w:ind w:start="28.30pt" w:hanging="28.30pt"/>
      </w:pPr>
      <w:r>
        <w:t xml:space="preserve">Nastane-li Případ porušení, je Banka oprávněna svá práva a povinnosti dle Smlouvy postoupit či převést (a to i formou postoupení Smlouvy) v celém jejich rozsahu, nebo zčásti, na jinou osobu, a Klient pro takový případ souhlasí s poskytnutím informací (bankovního tajemství) </w:t>
      </w:r>
      <w:r>
        <w:lastRenderedPageBreak/>
        <w:t>vyplývajících ze Smlouvy takové osobě. Jinak je Banka oprávněna svá práva a povinnosti dle Smlouvy postoupit či převést na jinou osobu pouze s předchozím souhlasem Klienta, přičemž tento souhlas nebude Klientem bezdůvodně odepřen či zdržen.</w:t>
      </w:r>
    </w:p>
    <w:p w14:paraId="49CA776B" w14:textId="77777777" w:rsidR="00CF7812" w:rsidRDefault="00DE4AC9">
      <w:pPr>
        <w:numPr>
          <w:ilvl w:val="0"/>
          <w:numId w:val="8"/>
        </w:numPr>
        <w:ind w:start="28.30pt" w:hanging="28.30pt"/>
      </w:pPr>
      <w:r>
        <w:t>Bez předchozího písemného souhlasu Banky nesmí Klient jakkoli převést jakékoli své dluhy či pohledávky ze Smlouvy či se Smlouvou související, ani Smlouvu postoupit.</w:t>
      </w:r>
    </w:p>
    <w:p w14:paraId="775427E6" w14:textId="77777777" w:rsidR="00CF7812" w:rsidRDefault="00DE4AC9">
      <w:pPr>
        <w:numPr>
          <w:ilvl w:val="0"/>
          <w:numId w:val="8"/>
        </w:numPr>
        <w:ind w:start="28.30pt" w:hanging="28.30pt"/>
      </w:pPr>
      <w:r>
        <w:t>Banka je oprávněna jednostranně započíst své splatné i nesplatné pohledávky za Klientem na jakékoliv splatné i nesplatné pohledávky Klienta za Bankou (včetně pohledávek vzniklých v souvislosti s vedením účtů a jednorázových vkladů u Banky).</w:t>
      </w:r>
    </w:p>
    <w:p w14:paraId="728B8F33" w14:textId="77777777" w:rsidR="00CF7812" w:rsidRDefault="00DE4AC9">
      <w:pPr>
        <w:numPr>
          <w:ilvl w:val="0"/>
          <w:numId w:val="8"/>
        </w:numPr>
        <w:ind w:start="28.30pt" w:hanging="28.30pt"/>
      </w:pPr>
      <w:r>
        <w:t>Klient není oprávněn jednostranně započíst jakékoliv své pohledávky za Bankou.</w:t>
      </w:r>
    </w:p>
    <w:p w14:paraId="6F01800D" w14:textId="77777777" w:rsidR="00CF7812" w:rsidRDefault="00DE4AC9">
      <w:pPr>
        <w:numPr>
          <w:ilvl w:val="0"/>
          <w:numId w:val="8"/>
        </w:numPr>
        <w:ind w:start="28.30pt" w:hanging="28.30pt"/>
      </w:pPr>
      <w:r>
        <w:t>Ustanovení Smlouvy představují úplná ujednání mezi Smluvními stranami a nahrazují veškerá předchozí ústní nebo písemná ujednání související s předmětem Smlouvy. Součástí Smlouvy jsou všechny její přílohy. Žádná Smluvní strana se nemůže dovolávat jakékoli dohody či ujednání neuvedeného výslovně ve Smlouvě.</w:t>
      </w:r>
    </w:p>
    <w:p w14:paraId="279A5B8D" w14:textId="77777777" w:rsidR="00CF7812" w:rsidRDefault="00DE4AC9">
      <w:pPr>
        <w:numPr>
          <w:ilvl w:val="0"/>
          <w:numId w:val="8"/>
        </w:numPr>
        <w:ind w:start="28.30pt" w:hanging="28.30pt"/>
      </w:pPr>
      <w:r>
        <w:t>Smluvní strany na sebe přebírají nebezpečí změny okolností ve smyslu § 1765 odst. 2 Občanského zákoníku.</w:t>
      </w:r>
    </w:p>
    <w:p w14:paraId="67B6E831" w14:textId="77777777" w:rsidR="00CF7812" w:rsidRDefault="00DE4AC9">
      <w:pPr>
        <w:numPr>
          <w:ilvl w:val="0"/>
          <w:numId w:val="8"/>
        </w:numPr>
        <w:ind w:start="28.30pt" w:hanging="28.30pt"/>
      </w:pPr>
      <w:r>
        <w:t>Jakékoli vzdání se práva z porušení Smlouvy či prodloužení jakékoli lhůty podle Smlouvy musí být písemné a je omezeno na skutečnosti v tomto vzdání se či prodloužení výslovně uvedené. Neuplatnění jakéhokoli práva ze Smlouvy není vzdáním se tohoto práva. Jakékoli ukončení Smlouvy má účinky pouze do budoucna.</w:t>
      </w:r>
    </w:p>
    <w:p w14:paraId="6EF693F0" w14:textId="77777777" w:rsidR="00CF7812" w:rsidRDefault="00DE4AC9">
      <w:pPr>
        <w:numPr>
          <w:ilvl w:val="0"/>
          <w:numId w:val="8"/>
        </w:numPr>
        <w:ind w:start="28.30pt" w:hanging="28.30pt"/>
      </w:pPr>
      <w:r>
        <w:t>Banka zpracovává osobní údaje v souvislosti s jednáním o uzavření Smlouvy a s jejím plněním. Detailní informace související se zpracováním osobních údajů jsou uvedeny v dokumentu „Informace o zpracování osobních údajů“ přístupném na webových stránkách www.csob.cz a v provozních prostorách poboček Banky.</w:t>
      </w:r>
    </w:p>
    <w:p w14:paraId="04964CDC" w14:textId="77777777" w:rsidR="00CF7812" w:rsidRDefault="00DE4AC9">
      <w:pPr>
        <w:numPr>
          <w:ilvl w:val="0"/>
          <w:numId w:val="8"/>
        </w:numPr>
        <w:ind w:start="28.30pt" w:hanging="28.30pt"/>
      </w:pPr>
      <w:r>
        <w:t>Smlouva je vyhotovena ve 2 stejnopisech, z nichž každá Smluvní strana obdržela 1.</w:t>
      </w:r>
    </w:p>
    <w:p w14:paraId="150F5257" w14:textId="77777777" w:rsidR="00CF7812" w:rsidRDefault="00DE4AC9">
      <w:pPr>
        <w:numPr>
          <w:ilvl w:val="0"/>
          <w:numId w:val="8"/>
        </w:numPr>
        <w:ind w:start="28.30pt" w:hanging="28.30pt"/>
      </w:pPr>
      <w:r>
        <w:t>Smlouva a veškeré mimosmluvní závazky s ní související se řídí českým právem.</w:t>
      </w:r>
    </w:p>
    <w:p w14:paraId="07D692D9" w14:textId="77777777" w:rsidR="00CF7812" w:rsidRDefault="00DE4AC9">
      <w:r>
        <w:t> </w:t>
      </w:r>
    </w:p>
    <w:p w14:paraId="4DCC4DFF" w14:textId="77777777" w:rsidR="00CF7812" w:rsidRDefault="00DE4AC9">
      <w:pPr>
        <w:keepNext/>
        <w:jc w:val="start"/>
      </w:pPr>
      <w:r>
        <w:rPr>
          <w:u w:val="single" w:color="000000"/>
        </w:rPr>
        <w:t>V příloze:</w:t>
      </w:r>
      <w:r>
        <w:rPr>
          <w:u w:val="single" w:color="000000"/>
        </w:rPr>
        <w:br/>
      </w:r>
      <w:r>
        <w:t>Příloha č. 1 - Prohlášení o vzájemných vazbách k jiným subjektům a doplňující informace</w:t>
      </w:r>
      <w:r>
        <w:br/>
        <w:t>Příloha č. 2 - ÚOP</w:t>
      </w:r>
    </w:p>
    <w:tbl>
      <w:tblPr>
        <w:tblStyle w:val="table"/>
        <w:tblW w:w="455.35pt" w:type="dxa"/>
        <w:tblCellSpacing w:w="-1.75pt" w:type="dxa"/>
        <w:tblInd w:w="0.25pt" w:type="dxa"/>
        <w:tblCellMar>
          <w:top w:w="0.75pt" w:type="dxa"/>
          <w:start w:w="0.75pt" w:type="dxa"/>
          <w:bottom w:w="0.75pt" w:type="dxa"/>
          <w:end w:w="0.75pt" w:type="dxa"/>
        </w:tblCellMar>
        <w:tblLook w:firstRow="1" w:lastRow="1" w:firstColumn="1" w:lastColumn="1" w:noHBand="0" w:noVBand="1"/>
      </w:tblPr>
      <w:tblGrid>
        <w:gridCol w:w="9107"/>
      </w:tblGrid>
      <w:tr w:rsidR="00CF7812" w14:paraId="666624C6" w14:textId="77777777">
        <w:trPr>
          <w:cantSplit/>
          <w:tblCellSpacing w:w="-1.75pt" w:type="dxa"/>
        </w:trPr>
        <w:tc>
          <w:tcPr>
            <w:tcW w:w="0pt" w:type="dxa"/>
            <w:tcMar>
              <w:top w:w="0.75pt" w:type="dxa"/>
              <w:start w:w="0.75pt" w:type="dxa"/>
              <w:bottom w:w="0.75pt" w:type="dxa"/>
              <w:end w:w="0.75pt" w:type="dxa"/>
            </w:tcMar>
            <w:vAlign w:val="center"/>
            <w:hideMark/>
          </w:tcPr>
          <w:tbl>
            <w:tblPr>
              <w:tblW w:w="100.0%" w:type="pct"/>
              <w:tblCellSpacing w:w="-1.75pt" w:type="dxa"/>
              <w:tblLook w:firstRow="1" w:lastRow="0" w:firstColumn="1" w:lastColumn="0" w:noHBand="0" w:noVBand="1"/>
            </w:tblPr>
            <w:tblGrid>
              <w:gridCol w:w="4387"/>
              <w:gridCol w:w="304"/>
              <w:gridCol w:w="4386"/>
            </w:tblGrid>
            <w:tr w:rsidR="00CF7812" w14:paraId="50355EE4" w14:textId="77777777">
              <w:trPr>
                <w:cantSplit/>
                <w:tblCellSpacing w:w="-1.75pt" w:type="dxa"/>
              </w:trPr>
              <w:tc>
                <w:tcPr>
                  <w:tcW w:w="48.0%" w:type="pct"/>
                  <w:tcMar>
                    <w:top w:w="0pt" w:type="dxa"/>
                    <w:start w:w="0pt" w:type="dxa"/>
                    <w:bottom w:w="0pt" w:type="dxa"/>
                    <w:end w:w="0pt" w:type="dxa"/>
                  </w:tcMar>
                  <w:hideMark/>
                </w:tcPr>
                <w:p w14:paraId="31D90E33" w14:textId="77777777" w:rsidR="00CF7812" w:rsidRDefault="00DE4AC9">
                  <w:r>
                    <w:t xml:space="preserve">  </w:t>
                  </w:r>
                </w:p>
                <w:p w14:paraId="6F0276D8" w14:textId="77777777" w:rsidR="00CF7812" w:rsidRDefault="00DE4AC9">
                  <w:pPr>
                    <w:jc w:val="start"/>
                  </w:pPr>
                  <w:r>
                    <w:t xml:space="preserve">V Liberci dne 23.10.2024 </w:t>
                  </w:r>
                </w:p>
                <w:p w14:paraId="4C961EC6" w14:textId="77777777" w:rsidR="00CF7812" w:rsidRDefault="00DE4AC9">
                  <w:pPr>
                    <w:jc w:val="start"/>
                  </w:pPr>
                  <w:r>
                    <w:t xml:space="preserve">  </w:t>
                  </w:r>
                </w:p>
              </w:tc>
              <w:tc>
                <w:tcPr>
                  <w:tcW w:w="0pt" w:type="dxa"/>
                  <w:tcMar>
                    <w:top w:w="0pt" w:type="dxa"/>
                    <w:start w:w="0pt" w:type="dxa"/>
                    <w:bottom w:w="0pt" w:type="dxa"/>
                    <w:end w:w="0pt" w:type="dxa"/>
                  </w:tcMar>
                  <w:vAlign w:val="center"/>
                  <w:hideMark/>
                </w:tcPr>
                <w:p w14:paraId="362777C2" w14:textId="77777777" w:rsidR="00CF7812" w:rsidRDefault="00CF7812">
                  <w:pPr>
                    <w:jc w:val="start"/>
                  </w:pPr>
                </w:p>
              </w:tc>
              <w:tc>
                <w:tcPr>
                  <w:tcW w:w="48.0%" w:type="pct"/>
                  <w:tcMar>
                    <w:top w:w="0pt" w:type="dxa"/>
                    <w:start w:w="0pt" w:type="dxa"/>
                    <w:bottom w:w="0pt" w:type="dxa"/>
                    <w:end w:w="0pt" w:type="dxa"/>
                  </w:tcMar>
                  <w:hideMark/>
                </w:tcPr>
                <w:p w14:paraId="232A218C" w14:textId="77777777" w:rsidR="00CF7812" w:rsidRDefault="00DE4AC9">
                  <w:pPr>
                    <w:jc w:val="start"/>
                  </w:pPr>
                  <w:r>
                    <w:t xml:space="preserve">  </w:t>
                  </w:r>
                </w:p>
                <w:p w14:paraId="2255CA0F" w14:textId="55531C04" w:rsidR="00CF7812" w:rsidRDefault="00DE4AC9" w:rsidP="00F605AC">
                  <w:pPr>
                    <w:tabs>
                      <w:tab w:val="start" w:pos="176.25pt"/>
                    </w:tabs>
                    <w:jc w:val="start"/>
                  </w:pPr>
                  <w:r>
                    <w:t xml:space="preserve">  </w:t>
                  </w:r>
                  <w:r w:rsidR="00F605AC">
                    <w:tab/>
                  </w:r>
                </w:p>
              </w:tc>
            </w:tr>
          </w:tbl>
          <w:p w14:paraId="2A862892" w14:textId="77777777" w:rsidR="00CF7812" w:rsidRDefault="00CF7812">
            <w:pPr>
              <w:rPr>
                <w:vanish/>
              </w:rPr>
            </w:pPr>
          </w:p>
          <w:tbl>
            <w:tblPr>
              <w:tblW w:w="100.0%" w:type="pct"/>
              <w:tblCellSpacing w:w="-1.75pt" w:type="dxa"/>
              <w:tblLook w:firstRow="1" w:lastRow="0" w:firstColumn="1" w:lastColumn="0" w:noHBand="0" w:noVBand="1"/>
            </w:tblPr>
            <w:tblGrid>
              <w:gridCol w:w="4387"/>
              <w:gridCol w:w="304"/>
              <w:gridCol w:w="4386"/>
            </w:tblGrid>
            <w:tr w:rsidR="00CF7812" w14:paraId="4C5342D7" w14:textId="77777777">
              <w:trPr>
                <w:cantSplit/>
                <w:tblCellSpacing w:w="-1.75pt" w:type="dxa"/>
              </w:trPr>
              <w:tc>
                <w:tcPr>
                  <w:tcW w:w="48.0%" w:type="pct"/>
                  <w:tcMar>
                    <w:top w:w="0pt" w:type="dxa"/>
                    <w:start w:w="0pt" w:type="dxa"/>
                    <w:bottom w:w="0pt" w:type="dxa"/>
                    <w:end w:w="0pt" w:type="dxa"/>
                  </w:tcMar>
                  <w:hideMark/>
                </w:tcPr>
                <w:p w14:paraId="77CF3769" w14:textId="77777777" w:rsidR="00CF7812" w:rsidRDefault="00CF7812"/>
              </w:tc>
              <w:tc>
                <w:tcPr>
                  <w:tcW w:w="0pt" w:type="dxa"/>
                  <w:tcMar>
                    <w:top w:w="0pt" w:type="dxa"/>
                    <w:start w:w="0pt" w:type="dxa"/>
                    <w:bottom w:w="0pt" w:type="dxa"/>
                    <w:end w:w="0pt" w:type="dxa"/>
                  </w:tcMar>
                  <w:vAlign w:val="center"/>
                  <w:hideMark/>
                </w:tcPr>
                <w:p w14:paraId="638DB732" w14:textId="77777777" w:rsidR="00CF7812" w:rsidRDefault="00CF7812"/>
              </w:tc>
              <w:tc>
                <w:tcPr>
                  <w:tcW w:w="48.0%" w:type="pct"/>
                  <w:tcMar>
                    <w:top w:w="0pt" w:type="dxa"/>
                    <w:start w:w="0pt" w:type="dxa"/>
                    <w:bottom w:w="0pt" w:type="dxa"/>
                    <w:end w:w="0pt" w:type="dxa"/>
                  </w:tcMar>
                  <w:hideMark/>
                </w:tcPr>
                <w:p w14:paraId="4EB9E356" w14:textId="77777777" w:rsidR="00CF7812" w:rsidRDefault="00CF7812"/>
              </w:tc>
            </w:tr>
          </w:tbl>
          <w:p w14:paraId="313821D3" w14:textId="77777777" w:rsidR="00CF7812" w:rsidRDefault="00CF7812">
            <w:pPr>
              <w:rPr>
                <w:vanish/>
              </w:rPr>
            </w:pPr>
          </w:p>
          <w:tbl>
            <w:tblPr>
              <w:tblW w:w="100.0%" w:type="pct"/>
              <w:tblCellSpacing w:w="-1.75pt" w:type="dxa"/>
              <w:tblLook w:firstRow="1" w:lastRow="0" w:firstColumn="1" w:lastColumn="0" w:noHBand="0" w:noVBand="1"/>
            </w:tblPr>
            <w:tblGrid>
              <w:gridCol w:w="4387"/>
              <w:gridCol w:w="304"/>
              <w:gridCol w:w="4386"/>
            </w:tblGrid>
            <w:tr w:rsidR="00CF7812" w14:paraId="129A1505" w14:textId="77777777">
              <w:trPr>
                <w:cantSplit/>
                <w:tblCellSpacing w:w="-1.75pt" w:type="dxa"/>
              </w:trPr>
              <w:tc>
                <w:tcPr>
                  <w:tcW w:w="48.0%" w:type="pct"/>
                  <w:tcMar>
                    <w:top w:w="0pt" w:type="dxa"/>
                    <w:start w:w="0pt" w:type="dxa"/>
                    <w:bottom w:w="0pt" w:type="dxa"/>
                    <w:end w:w="0pt" w:type="dxa"/>
                  </w:tcMar>
                  <w:hideMark/>
                </w:tcPr>
                <w:p w14:paraId="51766ED2" w14:textId="012FD7E4" w:rsidR="00CF7812" w:rsidRDefault="00DE4AC9">
                  <w:pPr>
                    <w:pBdr>
                      <w:right w:val="none" w:sz="0" w:space="15" w:color="auto"/>
                    </w:pBdr>
                    <w:ind w:end="15pt"/>
                    <w:jc w:val="start"/>
                  </w:pPr>
                  <w:r>
                    <w:rPr>
                      <w:b/>
                      <w:bCs/>
                    </w:rPr>
                    <w:t>Československá obchodní banka, a. s.</w:t>
                  </w:r>
                  <w:r>
                    <w:rPr>
                      <w:b/>
                      <w:bCs/>
                    </w:rPr>
                    <w:br/>
                  </w:r>
                  <w:r>
                    <w:t>XXXXXXXXXXXXXXXX</w:t>
                  </w:r>
                  <w:r>
                    <w:br/>
                    <w:t>XXXXXXXXXXXXXXXX</w:t>
                  </w:r>
                </w:p>
              </w:tc>
              <w:tc>
                <w:tcPr>
                  <w:tcW w:w="0pt" w:type="dxa"/>
                  <w:tcMar>
                    <w:top w:w="0pt" w:type="dxa"/>
                    <w:start w:w="0pt" w:type="dxa"/>
                    <w:bottom w:w="0pt" w:type="dxa"/>
                    <w:end w:w="0pt" w:type="dxa"/>
                  </w:tcMar>
                  <w:vAlign w:val="center"/>
                  <w:hideMark/>
                </w:tcPr>
                <w:p w14:paraId="47865FF5" w14:textId="77777777" w:rsidR="00CF7812" w:rsidRDefault="00CF7812">
                  <w:pPr>
                    <w:pBdr>
                      <w:right w:val="none" w:sz="0" w:space="15" w:color="auto"/>
                    </w:pBdr>
                    <w:ind w:end="15pt"/>
                    <w:jc w:val="start"/>
                  </w:pPr>
                </w:p>
              </w:tc>
              <w:tc>
                <w:tcPr>
                  <w:tcW w:w="48.0%" w:type="pct"/>
                  <w:tcMar>
                    <w:top w:w="0pt" w:type="dxa"/>
                    <w:start w:w="0pt" w:type="dxa"/>
                    <w:bottom w:w="0pt" w:type="dxa"/>
                    <w:end w:w="0pt" w:type="dxa"/>
                  </w:tcMar>
                  <w:hideMark/>
                </w:tcPr>
                <w:p w14:paraId="091C028A" w14:textId="04840B69" w:rsidR="00CF7812" w:rsidRDefault="00DE4AC9">
                  <w:pPr>
                    <w:pBdr>
                      <w:right w:val="none" w:sz="0" w:space="15" w:color="auto"/>
                    </w:pBdr>
                    <w:ind w:end="15pt"/>
                    <w:jc w:val="start"/>
                  </w:pPr>
                  <w:r>
                    <w:rPr>
                      <w:b/>
                      <w:bCs/>
                    </w:rPr>
                    <w:t>Autocentrum Nord, a.s.</w:t>
                  </w:r>
                  <w:r>
                    <w:rPr>
                      <w:b/>
                      <w:bCs/>
                    </w:rPr>
                    <w:br/>
                  </w:r>
                  <w:r>
                    <w:t>XXXXXXXXXXXXXXXXXXX</w:t>
                  </w:r>
                  <w:r>
                    <w:br/>
                    <w:t>XXXXXXXXXXXXXXXXXXX</w:t>
                  </w:r>
                </w:p>
              </w:tc>
            </w:tr>
          </w:tbl>
          <w:p w14:paraId="3C250CBA" w14:textId="77777777" w:rsidR="00CF7812" w:rsidRDefault="00CF7812">
            <w:pPr>
              <w:rPr>
                <w:vanish/>
              </w:rPr>
            </w:pPr>
          </w:p>
          <w:tbl>
            <w:tblPr>
              <w:tblW w:w="100.0%" w:type="pct"/>
              <w:tblCellSpacing w:w="-1.75pt" w:type="dxa"/>
              <w:tblLook w:firstRow="1" w:lastRow="0" w:firstColumn="1" w:lastColumn="0" w:noHBand="0" w:noVBand="1"/>
            </w:tblPr>
            <w:tblGrid>
              <w:gridCol w:w="4387"/>
              <w:gridCol w:w="304"/>
              <w:gridCol w:w="4386"/>
            </w:tblGrid>
            <w:tr w:rsidR="00CF7812" w14:paraId="51D0BD62" w14:textId="77777777">
              <w:trPr>
                <w:cantSplit/>
                <w:tblCellSpacing w:w="-1.75pt" w:type="dxa"/>
              </w:trPr>
              <w:tc>
                <w:tcPr>
                  <w:tcW w:w="48.0%" w:type="pct"/>
                  <w:tcMar>
                    <w:top w:w="0pt" w:type="dxa"/>
                    <w:start w:w="0pt" w:type="dxa"/>
                    <w:bottom w:w="0pt" w:type="dxa"/>
                    <w:end w:w="0pt" w:type="dxa"/>
                  </w:tcMar>
                  <w:hideMark/>
                </w:tcPr>
                <w:tbl>
                  <w:tblPr>
                    <w:tblStyle w:val="table"/>
                    <w:tblW w:w="80.0%" w:type="pct"/>
                    <w:tblCellSpacing w:w="-1.75pt" w:type="dxa"/>
                    <w:tblCellMar>
                      <w:top w:w="0.75pt" w:type="dxa"/>
                      <w:start w:w="0.75pt" w:type="dxa"/>
                      <w:bottom w:w="0.75pt" w:type="dxa"/>
                      <w:end w:w="0.75pt" w:type="dxa"/>
                    </w:tblCellMar>
                    <w:tblLook w:firstRow="1" w:lastRow="1" w:firstColumn="1" w:lastColumn="1" w:noHBand="0" w:noVBand="1"/>
                  </w:tblPr>
                  <w:tblGrid>
                    <w:gridCol w:w="1755"/>
                    <w:gridCol w:w="1755"/>
                  </w:tblGrid>
                  <w:tr w:rsidR="00CF7812" w14:paraId="6B769495" w14:textId="77777777">
                    <w:trPr>
                      <w:cantSplit/>
                      <w:tblCellSpacing w:w="-1.75pt" w:type="dxa"/>
                    </w:trPr>
                    <w:tc>
                      <w:tcPr>
                        <w:tcW w:w="0pt" w:type="dxa"/>
                        <w:tcMar>
                          <w:top w:w="0.75pt" w:type="dxa"/>
                          <w:start w:w="0.75pt" w:type="dxa"/>
                          <w:bottom w:w="0.75pt" w:type="dxa"/>
                          <w:end w:w="0.75pt" w:type="dxa"/>
                        </w:tcMar>
                        <w:vAlign w:val="center"/>
                        <w:hideMark/>
                      </w:tcPr>
                      <w:p w14:paraId="7465FFFA" w14:textId="77777777" w:rsidR="00CF7812" w:rsidRDefault="00DE4AC9">
                        <w:pPr>
                          <w:jc w:val="start"/>
                          <w:rPr>
                            <w:color w:val="FFFFFF"/>
                          </w:rPr>
                        </w:pPr>
                        <w:r>
                          <w:rPr>
                            <w:color w:val="FFFFFF"/>
                          </w:rPr>
                          <w:t>*B*</w:t>
                        </w:r>
                      </w:p>
                    </w:tc>
                    <w:tc>
                      <w:tcPr>
                        <w:tcW w:w="0pt" w:type="dxa"/>
                        <w:tcMar>
                          <w:top w:w="0.75pt" w:type="dxa"/>
                          <w:start w:w="0.75pt" w:type="dxa"/>
                          <w:bottom w:w="0.75pt" w:type="dxa"/>
                          <w:end w:w="0.75pt" w:type="dxa"/>
                        </w:tcMar>
                        <w:vAlign w:val="center"/>
                        <w:hideMark/>
                      </w:tcPr>
                      <w:p w14:paraId="081A13CF" w14:textId="77777777" w:rsidR="00CF7812" w:rsidRDefault="00DE4AC9">
                        <w:pPr>
                          <w:jc w:val="start"/>
                          <w:rPr>
                            <w:color w:val="FFFFFF"/>
                          </w:rPr>
                        </w:pPr>
                        <w:r>
                          <w:rPr>
                            <w:color w:val="FFFFFF"/>
                          </w:rPr>
                          <w:t>*B*</w:t>
                        </w:r>
                      </w:p>
                    </w:tc>
                  </w:tr>
                </w:tbl>
                <w:p w14:paraId="3F2F14A9" w14:textId="77777777" w:rsidR="00CF7812" w:rsidRDefault="00DE4AC9">
                  <w:pPr>
                    <w:jc w:val="start"/>
                  </w:pPr>
                  <w:r>
                    <w:br/>
                  </w:r>
                  <w:r>
                    <w:br/>
                  </w:r>
                </w:p>
                <w:tbl>
                  <w:tblPr>
                    <w:tblW w:w="100.0%" w:type="pct"/>
                    <w:tblCellSpacing w:w="-1.75pt" w:type="dxa"/>
                    <w:tblLook w:firstRow="1" w:lastRow="0" w:firstColumn="1" w:lastColumn="0" w:noHBand="0" w:noVBand="1"/>
                  </w:tblPr>
                  <w:tblGrid>
                    <w:gridCol w:w="3573"/>
                    <w:gridCol w:w="814"/>
                  </w:tblGrid>
                  <w:tr w:rsidR="00CF7812" w14:paraId="221B971C" w14:textId="77777777">
                    <w:trPr>
                      <w:cantSplit/>
                      <w:tblCellSpacing w:w="-1.75pt" w:type="dxa"/>
                    </w:trPr>
                    <w:tc>
                      <w:tcPr>
                        <w:tcW w:w="80.0%" w:type="pct"/>
                        <w:tcMar>
                          <w:top w:w="0pt" w:type="dxa"/>
                          <w:start w:w="0pt" w:type="dxa"/>
                          <w:bottom w:w="0pt" w:type="dxa"/>
                          <w:end w:w="0pt" w:type="dxa"/>
                        </w:tcMar>
                        <w:vAlign w:val="center"/>
                        <w:hideMark/>
                      </w:tcPr>
                      <w:p w14:paraId="0C386D0B" w14:textId="77777777" w:rsidR="00CF7812" w:rsidRDefault="00DE4AC9">
                        <w:pPr>
                          <w:pBdr>
                            <w:top w:val="dotted" w:sz="6" w:space="0" w:color="000000"/>
                            <w:bottom w:val="none" w:sz="0" w:space="7" w:color="auto"/>
                          </w:pBdr>
                          <w:jc w:val="center"/>
                        </w:pPr>
                        <w:r>
                          <w:t>Banka</w:t>
                        </w:r>
                      </w:p>
                    </w:tc>
                    <w:tc>
                      <w:tcPr>
                        <w:tcW w:w="20.0%" w:type="pct"/>
                        <w:tcMar>
                          <w:top w:w="0pt" w:type="dxa"/>
                          <w:start w:w="0pt" w:type="dxa"/>
                          <w:bottom w:w="0pt" w:type="dxa"/>
                          <w:end w:w="0pt" w:type="dxa"/>
                        </w:tcMar>
                        <w:vAlign w:val="center"/>
                        <w:hideMark/>
                      </w:tcPr>
                      <w:p w14:paraId="6BBBE3B5" w14:textId="77777777" w:rsidR="00CF7812" w:rsidRDefault="00DE4AC9">
                        <w:pPr>
                          <w:jc w:val="start"/>
                        </w:pPr>
                        <w:r>
                          <w:t> </w:t>
                        </w:r>
                      </w:p>
                    </w:tc>
                  </w:tr>
                </w:tbl>
                <w:p w14:paraId="1780C67F" w14:textId="77777777" w:rsidR="00CF7812" w:rsidRDefault="00DE4AC9">
                  <w:r>
                    <w:br/>
                  </w:r>
                </w:p>
              </w:tc>
              <w:tc>
                <w:tcPr>
                  <w:tcW w:w="0pt" w:type="dxa"/>
                  <w:tcMar>
                    <w:top w:w="0pt" w:type="dxa"/>
                    <w:start w:w="0pt" w:type="dxa"/>
                    <w:bottom w:w="0pt" w:type="dxa"/>
                    <w:end w:w="0pt" w:type="dxa"/>
                  </w:tcMar>
                  <w:vAlign w:val="center"/>
                  <w:hideMark/>
                </w:tcPr>
                <w:p w14:paraId="424BA7E4" w14:textId="77777777" w:rsidR="00CF7812" w:rsidRDefault="00CF7812"/>
              </w:tc>
              <w:tc>
                <w:tcPr>
                  <w:tcW w:w="48.0%" w:type="pct"/>
                  <w:tcMar>
                    <w:top w:w="0pt" w:type="dxa"/>
                    <w:start w:w="0pt" w:type="dxa"/>
                    <w:bottom w:w="0pt" w:type="dxa"/>
                    <w:end w:w="0pt" w:type="dxa"/>
                  </w:tcMar>
                  <w:hideMark/>
                </w:tcPr>
                <w:tbl>
                  <w:tblPr>
                    <w:tblStyle w:val="table"/>
                    <w:tblW w:w="80.0%" w:type="pct"/>
                    <w:tblCellSpacing w:w="-1.75pt" w:type="dxa"/>
                    <w:tblCellMar>
                      <w:top w:w="0.75pt" w:type="dxa"/>
                      <w:start w:w="0.75pt" w:type="dxa"/>
                      <w:bottom w:w="0.75pt" w:type="dxa"/>
                      <w:end w:w="0.75pt" w:type="dxa"/>
                    </w:tblCellMar>
                    <w:tblLook w:firstRow="1" w:lastRow="1" w:firstColumn="1" w:lastColumn="1" w:noHBand="0" w:noVBand="1"/>
                  </w:tblPr>
                  <w:tblGrid>
                    <w:gridCol w:w="1754"/>
                    <w:gridCol w:w="1755"/>
                  </w:tblGrid>
                  <w:tr w:rsidR="00CF7812" w14:paraId="1AB5FF28" w14:textId="77777777">
                    <w:trPr>
                      <w:cantSplit/>
                      <w:tblCellSpacing w:w="-1.75pt" w:type="dxa"/>
                    </w:trPr>
                    <w:tc>
                      <w:tcPr>
                        <w:tcW w:w="0pt" w:type="dxa"/>
                        <w:tcMar>
                          <w:top w:w="0.75pt" w:type="dxa"/>
                          <w:start w:w="0.75pt" w:type="dxa"/>
                          <w:bottom w:w="0.75pt" w:type="dxa"/>
                          <w:end w:w="0.75pt" w:type="dxa"/>
                        </w:tcMar>
                        <w:vAlign w:val="center"/>
                        <w:hideMark/>
                      </w:tcPr>
                      <w:p w14:paraId="6B74A0AE" w14:textId="77777777" w:rsidR="00CF7812" w:rsidRDefault="00DE4AC9">
                        <w:pPr>
                          <w:jc w:val="start"/>
                          <w:rPr>
                            <w:color w:val="FFFFFF"/>
                          </w:rPr>
                        </w:pPr>
                        <w:r>
                          <w:rPr>
                            <w:color w:val="FFFFFF"/>
                          </w:rPr>
                          <w:t>*K*</w:t>
                        </w:r>
                      </w:p>
                    </w:tc>
                    <w:tc>
                      <w:tcPr>
                        <w:tcW w:w="0pt" w:type="dxa"/>
                        <w:tcMar>
                          <w:top w:w="0.75pt" w:type="dxa"/>
                          <w:start w:w="0.75pt" w:type="dxa"/>
                          <w:bottom w:w="0.75pt" w:type="dxa"/>
                          <w:end w:w="0.75pt" w:type="dxa"/>
                        </w:tcMar>
                        <w:vAlign w:val="center"/>
                        <w:hideMark/>
                      </w:tcPr>
                      <w:p w14:paraId="74451EA8" w14:textId="77777777" w:rsidR="00CF7812" w:rsidRDefault="00DE4AC9">
                        <w:pPr>
                          <w:jc w:val="start"/>
                          <w:rPr>
                            <w:color w:val="FFFFFF"/>
                          </w:rPr>
                        </w:pPr>
                        <w:r>
                          <w:rPr>
                            <w:color w:val="FFFFFF"/>
                          </w:rPr>
                          <w:t>*K*</w:t>
                        </w:r>
                      </w:p>
                    </w:tc>
                  </w:tr>
                </w:tbl>
                <w:p w14:paraId="530A5934" w14:textId="77777777" w:rsidR="00CF7812" w:rsidRDefault="00DE4AC9">
                  <w:pPr>
                    <w:jc w:val="start"/>
                  </w:pPr>
                  <w:r>
                    <w:br/>
                  </w:r>
                  <w:r>
                    <w:br/>
                  </w:r>
                </w:p>
                <w:tbl>
                  <w:tblPr>
                    <w:tblW w:w="100.0%" w:type="pct"/>
                    <w:tblCellSpacing w:w="-1.75pt" w:type="dxa"/>
                    <w:tblLook w:firstRow="1" w:lastRow="0" w:firstColumn="1" w:lastColumn="0" w:noHBand="0" w:noVBand="1"/>
                  </w:tblPr>
                  <w:tblGrid>
                    <w:gridCol w:w="3572"/>
                    <w:gridCol w:w="814"/>
                  </w:tblGrid>
                  <w:tr w:rsidR="00CF7812" w14:paraId="6921FFFE" w14:textId="77777777">
                    <w:trPr>
                      <w:cantSplit/>
                      <w:tblCellSpacing w:w="-1.75pt" w:type="dxa"/>
                    </w:trPr>
                    <w:tc>
                      <w:tcPr>
                        <w:tcW w:w="80.0%" w:type="pct"/>
                        <w:tcMar>
                          <w:top w:w="0pt" w:type="dxa"/>
                          <w:start w:w="0pt" w:type="dxa"/>
                          <w:bottom w:w="0pt" w:type="dxa"/>
                          <w:end w:w="0pt" w:type="dxa"/>
                        </w:tcMar>
                        <w:vAlign w:val="center"/>
                        <w:hideMark/>
                      </w:tcPr>
                      <w:p w14:paraId="4F0CF828" w14:textId="77777777" w:rsidR="00CF7812" w:rsidRDefault="00DE4AC9">
                        <w:pPr>
                          <w:pBdr>
                            <w:top w:val="dotted" w:sz="6" w:space="0" w:color="000000"/>
                            <w:bottom w:val="none" w:sz="0" w:space="7" w:color="auto"/>
                          </w:pBdr>
                          <w:jc w:val="center"/>
                        </w:pPr>
                        <w:r>
                          <w:t>Klient</w:t>
                        </w:r>
                      </w:p>
                    </w:tc>
                    <w:tc>
                      <w:tcPr>
                        <w:tcW w:w="20.0%" w:type="pct"/>
                        <w:tcMar>
                          <w:top w:w="0pt" w:type="dxa"/>
                          <w:start w:w="0pt" w:type="dxa"/>
                          <w:bottom w:w="0pt" w:type="dxa"/>
                          <w:end w:w="0pt" w:type="dxa"/>
                        </w:tcMar>
                        <w:vAlign w:val="center"/>
                        <w:hideMark/>
                      </w:tcPr>
                      <w:p w14:paraId="3F98EF52" w14:textId="77777777" w:rsidR="00CF7812" w:rsidRDefault="00DE4AC9">
                        <w:pPr>
                          <w:jc w:val="start"/>
                        </w:pPr>
                        <w:r>
                          <w:t> </w:t>
                        </w:r>
                      </w:p>
                    </w:tc>
                  </w:tr>
                </w:tbl>
                <w:p w14:paraId="58669FFE" w14:textId="77777777" w:rsidR="00CF7812" w:rsidRDefault="00CF7812">
                  <w:pPr>
                    <w:rPr>
                      <w:vanish/>
                    </w:rPr>
                  </w:pPr>
                </w:p>
                <w:tbl>
                  <w:tblPr>
                    <w:tblStyle w:val="table"/>
                    <w:tblW w:w="0pt" w:type="dxa"/>
                    <w:tblCellSpacing w:w="-1.75pt" w:type="dxa"/>
                    <w:tblCellMar>
                      <w:top w:w="0.75pt" w:type="dxa"/>
                      <w:start w:w="0.75pt" w:type="dxa"/>
                      <w:bottom w:w="0.75pt" w:type="dxa"/>
                      <w:end w:w="0.75pt" w:type="dxa"/>
                    </w:tblCellMar>
                    <w:tblLook w:firstRow="1" w:lastRow="1" w:firstColumn="1" w:lastColumn="1" w:noHBand="0" w:noVBand="1"/>
                  </w:tblPr>
                  <w:tblGrid>
                    <w:gridCol w:w="1930"/>
                    <w:gridCol w:w="1930"/>
                  </w:tblGrid>
                  <w:tr w:rsidR="00CF7812" w14:paraId="18729857" w14:textId="77777777">
                    <w:trPr>
                      <w:cantSplit/>
                      <w:tblCellSpacing w:w="-1.75pt" w:type="dxa"/>
                    </w:trPr>
                    <w:tc>
                      <w:tcPr>
                        <w:tcW w:w="50.0%" w:type="pct"/>
                        <w:tcMar>
                          <w:top w:w="0.75pt" w:type="dxa"/>
                          <w:start w:w="0.75pt" w:type="dxa"/>
                          <w:bottom w:w="0.75pt" w:type="dxa"/>
                          <w:end w:w="0.75pt" w:type="dxa"/>
                        </w:tcMar>
                        <w:vAlign w:val="center"/>
                        <w:hideMark/>
                      </w:tcPr>
                      <w:p w14:paraId="7414C29D" w14:textId="77777777" w:rsidR="00CF7812" w:rsidRDefault="00DE4AC9">
                        <w:pPr>
                          <w:jc w:val="start"/>
                        </w:pPr>
                        <w:r>
                          <w:rPr>
                            <w:sz w:val="18"/>
                            <w:szCs w:val="18"/>
                          </w:rPr>
                          <w:t>Ověření podpisu/totožnosti:</w:t>
                        </w:r>
                      </w:p>
                    </w:tc>
                    <w:tc>
                      <w:tcPr>
                        <w:tcW w:w="50.0%" w:type="pct"/>
                        <w:tcMar>
                          <w:top w:w="0.75pt" w:type="dxa"/>
                          <w:start w:w="0.75pt" w:type="dxa"/>
                          <w:bottom w:w="0.75pt" w:type="dxa"/>
                          <w:end w:w="0.75pt" w:type="dxa"/>
                        </w:tcMar>
                        <w:vAlign w:val="center"/>
                        <w:hideMark/>
                      </w:tcPr>
                      <w:p w14:paraId="5B7AFE17" w14:textId="77777777" w:rsidR="00CF7812" w:rsidRDefault="00DE4AC9">
                        <w:pPr>
                          <w:jc w:val="start"/>
                        </w:pPr>
                        <w:r>
                          <w:rPr>
                            <w:sz w:val="18"/>
                            <w:szCs w:val="18"/>
                          </w:rPr>
                          <w:t>Ověření podpisu/totožnosti:</w:t>
                        </w:r>
                      </w:p>
                    </w:tc>
                  </w:tr>
                  <w:tr w:rsidR="00CF7812" w14:paraId="3848D747" w14:textId="77777777">
                    <w:trPr>
                      <w:cantSplit/>
                      <w:tblCellSpacing w:w="-1.75pt" w:type="dxa"/>
                    </w:trPr>
                    <w:tc>
                      <w:tcPr>
                        <w:tcW w:w="50.0%" w:type="pct"/>
                        <w:tcMar>
                          <w:top w:w="0.75pt" w:type="dxa"/>
                          <w:start w:w="0.75pt" w:type="dxa"/>
                          <w:bottom w:w="0.75pt" w:type="dxa"/>
                          <w:end w:w="0.75pt" w:type="dxa"/>
                        </w:tcMar>
                        <w:vAlign w:val="center"/>
                        <w:hideMark/>
                      </w:tcPr>
                      <w:p w14:paraId="7F4B0F3A" w14:textId="77777777" w:rsidR="00CF7812" w:rsidRDefault="00DE4AC9">
                        <w:pPr>
                          <w:jc w:val="start"/>
                        </w:pPr>
                        <w:r>
                          <w:rPr>
                            <w:color w:val="FFFFFF"/>
                          </w:rPr>
                          <w:t xml:space="preserve">*O* </w:t>
                        </w:r>
                      </w:p>
                    </w:tc>
                    <w:tc>
                      <w:tcPr>
                        <w:tcW w:w="50.0%" w:type="pct"/>
                        <w:tcMar>
                          <w:top w:w="0.75pt" w:type="dxa"/>
                          <w:start w:w="0.75pt" w:type="dxa"/>
                          <w:bottom w:w="0.75pt" w:type="dxa"/>
                          <w:end w:w="0.75pt" w:type="dxa"/>
                        </w:tcMar>
                        <w:vAlign w:val="center"/>
                        <w:hideMark/>
                      </w:tcPr>
                      <w:p w14:paraId="7D942B2A" w14:textId="77777777" w:rsidR="00CF7812" w:rsidRDefault="00DE4AC9">
                        <w:pPr>
                          <w:jc w:val="start"/>
                        </w:pPr>
                        <w:r>
                          <w:rPr>
                            <w:color w:val="FFFFFF"/>
                          </w:rPr>
                          <w:t xml:space="preserve">*O* </w:t>
                        </w:r>
                      </w:p>
                    </w:tc>
                  </w:tr>
                </w:tbl>
                <w:p w14:paraId="5D77A3B8" w14:textId="79A9F468" w:rsidR="00CF7812" w:rsidRDefault="00CF7812">
                  <w:pPr>
                    <w:jc w:val="start"/>
                  </w:pPr>
                </w:p>
              </w:tc>
            </w:tr>
          </w:tbl>
          <w:p w14:paraId="4FFE35E3" w14:textId="77777777" w:rsidR="00CF7812" w:rsidRDefault="00CF7812"/>
        </w:tc>
      </w:tr>
    </w:tbl>
    <w:p w14:paraId="779D9B90" w14:textId="77777777" w:rsidR="00CF7812" w:rsidRDefault="00CF7812">
      <w:pPr>
        <w:sectPr w:rsidR="00CF7812">
          <w:headerReference w:type="default" r:id="rId10"/>
          <w:footerReference w:type="default" r:id="rId11"/>
          <w:headerReference w:type="first" r:id="rId12"/>
          <w:footerReference w:type="first" r:id="rId13"/>
          <w:pgSz w:w="595.30pt" w:h="841.90pt"/>
          <w:pgMar w:top="70.85pt" w:right="70.85pt" w:bottom="70.85pt" w:left="70.85pt" w:header="35.40pt" w:footer="35.40pt" w:gutter="0pt"/>
          <w:pgNumType w:start="1"/>
          <w:cols w:space="35.40pt"/>
          <w:titlePg/>
        </w:sectPr>
      </w:pPr>
    </w:p>
    <w:p w14:paraId="639881ED" w14:textId="77777777" w:rsidR="00CF7812" w:rsidRDefault="00CF7812" w:rsidP="00DE4AC9">
      <w:pPr>
        <w:jc w:val="center"/>
      </w:pPr>
    </w:p>
    <w:sectPr w:rsidR="00CF7812">
      <w:headerReference w:type="default" r:id="rId14"/>
      <w:footerReference w:type="default" r:id="rId15"/>
      <w:headerReference w:type="first" r:id="rId16"/>
      <w:footerReference w:type="first" r:id="rId17"/>
      <w:pgSz w:w="595.30pt" w:h="841.90pt"/>
      <w:pgMar w:top="70.85pt" w:right="70.85pt" w:bottom="70.85pt" w:left="70.85pt" w:header="35.40pt" w:footer="35.40pt" w:gutter="0pt"/>
      <w:pgNumType w:start="1"/>
      <w:cols w:space="35.40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D3FD519" w14:textId="77777777" w:rsidR="005756A6" w:rsidRDefault="005756A6">
      <w:r>
        <w:separator/>
      </w:r>
    </w:p>
  </w:endnote>
  <w:endnote w:type="continuationSeparator" w:id="0">
    <w:p w14:paraId="2ADE709F" w14:textId="77777777" w:rsidR="005756A6" w:rsidRDefault="005756A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CF7812" w14:paraId="2DAE5EC5" w14:textId="77777777">
      <w:trPr>
        <w:cantSplit/>
        <w:tblCellSpacing w:w="-5pt" w:type="dxa"/>
      </w:trPr>
      <w:tc>
        <w:tcPr>
          <w:tcW w:w="34.0%" w:type="pct"/>
          <w:tcMar>
            <w:top w:w="0.75pt" w:type="dxa"/>
            <w:start w:w="0.75pt" w:type="dxa"/>
            <w:bottom w:w="0.75pt" w:type="dxa"/>
            <w:end w:w="0.75pt" w:type="dxa"/>
          </w:tcMar>
          <w:vAlign w:val="center"/>
          <w:hideMark/>
        </w:tcPr>
        <w:p w14:paraId="7D52E8B7" w14:textId="77777777" w:rsidR="00CF7812" w:rsidRDefault="00DE4AC9">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0B6BE45" w14:textId="77777777" w:rsidR="00CF7812" w:rsidRDefault="00DE4AC9">
          <w:pPr>
            <w:jc w:val="end"/>
            <w:rPr>
              <w:sz w:val="18"/>
              <w:szCs w:val="18"/>
            </w:rPr>
          </w:pPr>
          <w:r>
            <w:rPr>
              <w:rStyle w:val="any"/>
              <w:b/>
              <w:bCs/>
            </w:rPr>
            <w:t>Autocentrum Nord, a.s.</w:t>
          </w:r>
        </w:p>
      </w:tc>
    </w:tr>
  </w:tbl>
  <w:p w14:paraId="15766F3B" w14:textId="77777777" w:rsidR="00CF7812" w:rsidRDefault="00CF7812"/>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CF7812" w14:paraId="1E98E77E" w14:textId="77777777">
      <w:trPr>
        <w:cantSplit/>
        <w:tblCellSpacing w:w="-5pt" w:type="dxa"/>
      </w:trPr>
      <w:tc>
        <w:tcPr>
          <w:tcW w:w="34.0%" w:type="pct"/>
          <w:tcMar>
            <w:top w:w="0.75pt" w:type="dxa"/>
            <w:start w:w="0.75pt" w:type="dxa"/>
            <w:bottom w:w="0.75pt" w:type="dxa"/>
            <w:end w:w="0.75pt" w:type="dxa"/>
          </w:tcMar>
          <w:vAlign w:val="center"/>
          <w:hideMark/>
        </w:tcPr>
        <w:p w14:paraId="0448F9A9" w14:textId="77777777" w:rsidR="00CF7812" w:rsidRDefault="00DE4AC9">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E9E6BC2" w14:textId="77777777" w:rsidR="00CF7812" w:rsidRDefault="00DE4AC9">
          <w:pPr>
            <w:jc w:val="end"/>
            <w:rPr>
              <w:sz w:val="18"/>
              <w:szCs w:val="18"/>
            </w:rPr>
          </w:pPr>
          <w:r>
            <w:rPr>
              <w:rStyle w:val="any"/>
              <w:b/>
              <w:bCs/>
            </w:rPr>
            <w:t>Autocentrum Nord, a.s.</w:t>
          </w:r>
        </w:p>
      </w:tc>
    </w:tr>
  </w:tbl>
  <w:p w14:paraId="6AF5838B" w14:textId="77777777" w:rsidR="00CF7812" w:rsidRDefault="00CF7812"/>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084905D" w14:textId="77777777" w:rsidR="00CF7812" w:rsidRDefault="00DE4AC9">
    <w:pPr>
      <w:pStyle w:val="anyParagraph"/>
      <w:jc w:val="end"/>
    </w:pPr>
    <w:r>
      <w:t xml:space="preserve">strana </w:t>
    </w:r>
    <w:r>
      <w:rPr>
        <w:rStyle w:val="any"/>
      </w:rPr>
      <w:fldChar w:fldCharType="begin"/>
    </w:r>
    <w:r>
      <w:rPr>
        <w:rStyle w:val="any"/>
      </w:rPr>
      <w:instrText>PAGE</w:instrText>
    </w:r>
    <w:r>
      <w:rPr>
        <w:rStyle w:val="any"/>
      </w:rPr>
      <w:fldChar w:fldCharType="separate"/>
    </w:r>
    <w:r>
      <w:rPr>
        <w:rStyle w:val="any"/>
      </w:rPr>
      <w:t>6</w:t>
    </w:r>
    <w:r>
      <w:rPr>
        <w:rStyle w:val="any"/>
      </w:rPr>
      <w:fldChar w:fldCharType="end"/>
    </w:r>
  </w:p>
  <w:p w14:paraId="48A2F7AE" w14:textId="77777777" w:rsidR="00CF7812" w:rsidRDefault="00CF7812"/>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0F7C9A9" w14:textId="77777777" w:rsidR="00CF7812" w:rsidRDefault="00DE4AC9">
    <w:pPr>
      <w:pStyle w:val="anyParagraph"/>
      <w:jc w:val="end"/>
    </w:pPr>
    <w:r>
      <w:t xml:space="preserve">strana </w:t>
    </w:r>
    <w:r>
      <w:rPr>
        <w:rStyle w:val="any"/>
      </w:rPr>
      <w:fldChar w:fldCharType="begin"/>
    </w:r>
    <w:r>
      <w:rPr>
        <w:rStyle w:val="any"/>
      </w:rPr>
      <w:instrText>PAGE</w:instrText>
    </w:r>
    <w:r>
      <w:rPr>
        <w:rStyle w:val="any"/>
      </w:rPr>
      <w:fldChar w:fldCharType="separate"/>
    </w:r>
    <w:r>
      <w:rPr>
        <w:rStyle w:val="any"/>
      </w:rPr>
      <w:t>1</w:t>
    </w:r>
    <w:r>
      <w:rPr>
        <w:rStyle w:val="any"/>
      </w:rPr>
      <w:fldChar w:fldCharType="end"/>
    </w:r>
  </w:p>
  <w:p w14:paraId="4D0042A4" w14:textId="77777777" w:rsidR="00CF7812" w:rsidRDefault="00CF7812"/>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978301F" w14:textId="77777777" w:rsidR="005756A6" w:rsidRDefault="005756A6">
      <w:r>
        <w:separator/>
      </w:r>
    </w:p>
  </w:footnote>
  <w:footnote w:type="continuationSeparator" w:id="0">
    <w:p w14:paraId="64D9E131" w14:textId="77777777" w:rsidR="005756A6" w:rsidRDefault="005756A6">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7951"/>
      <w:gridCol w:w="1156"/>
    </w:tblGrid>
    <w:tr w:rsidR="00CF7812" w14:paraId="57A49717" w14:textId="77777777">
      <w:trPr>
        <w:cantSplit/>
        <w:tblCellSpacing w:w="-5pt" w:type="dxa"/>
      </w:trPr>
      <w:tc>
        <w:tcPr>
          <w:tcW w:w="85.0%" w:type="pct"/>
          <w:tcMar>
            <w:top w:w="0.75pt" w:type="dxa"/>
            <w:start w:w="0.75pt" w:type="dxa"/>
            <w:bottom w:w="0.75pt" w:type="dxa"/>
            <w:end w:w="0.75pt" w:type="dxa"/>
          </w:tcMar>
          <w:vAlign w:val="center"/>
          <w:hideMark/>
        </w:tcPr>
        <w:p w14:paraId="6B712664" w14:textId="77777777" w:rsidR="00CF7812" w:rsidRDefault="00DE4AC9">
          <w:pPr>
            <w:jc w:val="start"/>
            <w:rPr>
              <w:sz w:val="18"/>
              <w:szCs w:val="18"/>
            </w:rPr>
          </w:pPr>
          <w:r>
            <w:rPr>
              <w:rStyle w:val="any"/>
              <w:b/>
              <w:bCs/>
            </w:rPr>
            <w:t>Smlouva č. 2024012606</w:t>
          </w:r>
        </w:p>
      </w:tc>
      <w:tc>
        <w:tcPr>
          <w:tcW w:w="15.0%" w:type="pct"/>
          <w:tcMar>
            <w:top w:w="0.75pt" w:type="dxa"/>
            <w:start w:w="0.75pt" w:type="dxa"/>
            <w:bottom w:w="0.75pt" w:type="dxa"/>
            <w:end w:w="0.75pt" w:type="dxa"/>
          </w:tcMar>
          <w:vAlign w:val="center"/>
          <w:hideMark/>
        </w:tcPr>
        <w:p w14:paraId="6EDAB6D2" w14:textId="77777777" w:rsidR="00CF7812" w:rsidRDefault="00DE4AC9">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5</w:t>
          </w:r>
          <w:r>
            <w:rPr>
              <w:rStyle w:val="any"/>
              <w:b/>
              <w:bCs/>
            </w:rPr>
            <w:fldChar w:fldCharType="end"/>
          </w:r>
        </w:p>
      </w:tc>
    </w:tr>
  </w:tbl>
  <w:p w14:paraId="5961EACC" w14:textId="798BFBF0" w:rsidR="00CF7812" w:rsidRDefault="00CF7812" w:rsidP="00762F56"/>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7951"/>
      <w:gridCol w:w="1156"/>
    </w:tblGrid>
    <w:tr w:rsidR="00CF7812" w14:paraId="4CCDEB40" w14:textId="77777777">
      <w:trPr>
        <w:cantSplit/>
        <w:tblCellSpacing w:w="-5pt" w:type="dxa"/>
      </w:trPr>
      <w:tc>
        <w:tcPr>
          <w:tcW w:w="85.0%" w:type="pct"/>
          <w:tcMar>
            <w:top w:w="0.75pt" w:type="dxa"/>
            <w:start w:w="0.75pt" w:type="dxa"/>
            <w:bottom w:w="0.75pt" w:type="dxa"/>
            <w:end w:w="0.75pt" w:type="dxa"/>
          </w:tcMar>
          <w:vAlign w:val="center"/>
          <w:hideMark/>
        </w:tcPr>
        <w:p w14:paraId="3F8EA3E5" w14:textId="77777777" w:rsidR="00CF7812" w:rsidRDefault="00DE4AC9">
          <w:pPr>
            <w:jc w:val="start"/>
            <w:rPr>
              <w:sz w:val="18"/>
              <w:szCs w:val="18"/>
            </w:rPr>
          </w:pPr>
          <w:r>
            <w:rPr>
              <w:rStyle w:val="any"/>
              <w:b/>
              <w:bCs/>
            </w:rPr>
            <w:t>Smlouva č. 2024012606</w:t>
          </w:r>
        </w:p>
      </w:tc>
      <w:tc>
        <w:tcPr>
          <w:tcW w:w="15.0%" w:type="pct"/>
          <w:tcMar>
            <w:top w:w="0.75pt" w:type="dxa"/>
            <w:start w:w="0.75pt" w:type="dxa"/>
            <w:bottom w:w="0.75pt" w:type="dxa"/>
            <w:end w:w="0.75pt" w:type="dxa"/>
          </w:tcMar>
          <w:vAlign w:val="center"/>
          <w:hideMark/>
        </w:tcPr>
        <w:p w14:paraId="5E325AB0" w14:textId="77777777" w:rsidR="00CF7812" w:rsidRDefault="00DE4AC9">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1</w:t>
          </w:r>
          <w:r>
            <w:rPr>
              <w:rStyle w:val="any"/>
              <w:b/>
              <w:bCs/>
            </w:rPr>
            <w:fldChar w:fldCharType="end"/>
          </w:r>
        </w:p>
      </w:tc>
    </w:tr>
  </w:tbl>
  <w:p w14:paraId="12C6E3E0" w14:textId="77777777" w:rsidR="00CF7812" w:rsidRDefault="00CF7812"/>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0E4582" w14:textId="4E5D0DA4" w:rsidR="00CF7812" w:rsidRPr="00762F56" w:rsidRDefault="00CF7812" w:rsidP="00762F56">
    <w:pPr>
      <w:pStyle w:val="Zhlav"/>
    </w:pP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637CFDE" w14:textId="32E0FE36" w:rsidR="00CF7812" w:rsidRPr="00762F56" w:rsidRDefault="00CF7812" w:rsidP="00762F56">
    <w:pPr>
      <w:pStyle w:val="Zhlav"/>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00000001"/>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 w15:restartNumberingAfterBreak="0">
    <w:nsid w:val="00000002"/>
    <w:multiLevelType w:val="multilevel"/>
    <w:tmpl w:val="00000002"/>
    <w:lvl w:ilvl="0">
      <w:start w:val="1"/>
      <w:numFmt w:val="decimal"/>
      <w:lvlText w:val="%1)"/>
      <w:lvlJc w:val="start"/>
      <w:pPr>
        <w:ind w:start="36pt" w:hanging="36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2" w15:restartNumberingAfterBreak="0">
    <w:nsid w:val="00000003"/>
    <w:multiLevelType w:val="multilevel"/>
    <w:tmpl w:val="00000003"/>
    <w:lvl w:ilvl="0">
      <w:start w:val="1"/>
      <w:numFmt w:val="decimal"/>
      <w:lvlText w:val="%1)"/>
      <w:lvlJc w:val="start"/>
      <w:pPr>
        <w:ind w:start="36pt" w:hanging="36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 w15:restartNumberingAfterBreak="0">
    <w:nsid w:val="00000004"/>
    <w:multiLevelType w:val="multilevel"/>
    <w:tmpl w:val="00000004"/>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 w15:restartNumberingAfterBreak="0">
    <w:nsid w:val="00000005"/>
    <w:multiLevelType w:val="multilevel"/>
    <w:tmpl w:val="00000005"/>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5" w15:restartNumberingAfterBreak="0">
    <w:nsid w:val="00000006"/>
    <w:multiLevelType w:val="multilevel"/>
    <w:tmpl w:val="00000006"/>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start"/>
      <w:pPr>
        <w:ind w:start="108pt" w:hanging="51.40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6" w15:restartNumberingAfterBreak="0">
    <w:nsid w:val="00000007"/>
    <w:multiLevelType w:val="multilevel"/>
    <w:tmpl w:val="00000007"/>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7" w15:restartNumberingAfterBreak="0">
    <w:nsid w:val="00000008"/>
    <w:multiLevelType w:val="multilevel"/>
    <w:tmpl w:val="00000008"/>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num w:numId="1" w16cid:durableId="87162989">
    <w:abstractNumId w:val="0"/>
  </w:num>
  <w:num w:numId="2" w16cid:durableId="864753479">
    <w:abstractNumId w:val="1"/>
  </w:num>
  <w:num w:numId="3" w16cid:durableId="311065333">
    <w:abstractNumId w:val="2"/>
  </w:num>
  <w:num w:numId="4" w16cid:durableId="2021469272">
    <w:abstractNumId w:val="3"/>
  </w:num>
  <w:num w:numId="5" w16cid:durableId="1676609133">
    <w:abstractNumId w:val="4"/>
  </w:num>
  <w:num w:numId="6" w16cid:durableId="2142648333">
    <w:abstractNumId w:val="5"/>
  </w:num>
  <w:num w:numId="7" w16cid:durableId="1574395206">
    <w:abstractNumId w:val="6"/>
  </w:num>
  <w:num w:numId="8" w16cid:durableId="1698582133">
    <w:abstractNumId w:val="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0pt"/>
  <w:hyphenationZone w:val="21.25pt"/>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12"/>
    <w:rsid w:val="005756A6"/>
    <w:rsid w:val="00762F56"/>
    <w:rsid w:val="00CF7812"/>
    <w:rsid w:val="00DE4AC9"/>
    <w:rsid w:val="00EA0BA5"/>
    <w:rsid w:val="00F605AC"/>
    <w:rsid w:val="00FE1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E4F61C7"/>
  <w15:docId w15:val="{62C8C995-BE28-400C-96C7-C3EE030B2B3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pPr>
      <w:jc w:val="both"/>
    </w:pPr>
    <w:rPr>
      <w:color w:val="000000"/>
      <w:sz w:val="22"/>
      <w:szCs w:val="22"/>
    </w:rPr>
  </w:style>
  <w:style w:type="paragraph" w:styleId="Nadpis1">
    <w:name w:val="heading 1"/>
    <w:basedOn w:val="Normln"/>
    <w:next w:val="Normln"/>
    <w:qFormat/>
    <w:rsid w:val="00EF7B96"/>
    <w:pPr>
      <w:keepNext/>
      <w:spacing w:before="12pt" w:after="3pt"/>
      <w:jc w:val="center"/>
      <w:outlineLvl w:val="0"/>
    </w:pPr>
    <w:rPr>
      <w:b/>
      <w:bCs/>
      <w:kern w:val="36"/>
    </w:rPr>
  </w:style>
  <w:style w:type="paragraph" w:styleId="Nadpis2">
    <w:name w:val="heading 2"/>
    <w:basedOn w:val="Normln"/>
    <w:next w:val="Normln"/>
    <w:qFormat/>
    <w:rsid w:val="00EF7B96"/>
    <w:pPr>
      <w:keepNext/>
      <w:spacing w:before="12pt" w:after="3pt"/>
      <w:outlineLvl w:val="1"/>
    </w:pPr>
    <w:rPr>
      <w:b/>
      <w:bCs/>
      <w:iCs/>
    </w:rPr>
  </w:style>
  <w:style w:type="paragraph" w:styleId="Nadpis3">
    <w:name w:val="heading 3"/>
    <w:basedOn w:val="Normln"/>
    <w:next w:val="Normln"/>
    <w:qFormat/>
    <w:rsid w:val="00EF7B96"/>
    <w:pPr>
      <w:keepNext/>
      <w:spacing w:before="12pt" w:after="3pt"/>
      <w:outlineLvl w:val="2"/>
    </w:pPr>
    <w:rPr>
      <w:b/>
      <w:bCs/>
    </w:rPr>
  </w:style>
  <w:style w:type="paragraph" w:styleId="Nadpis4">
    <w:name w:val="heading 4"/>
    <w:basedOn w:val="Normln"/>
    <w:next w:val="Normln"/>
    <w:qFormat/>
    <w:rsid w:val="00EF7B96"/>
    <w:pPr>
      <w:keepNext/>
      <w:spacing w:before="12pt" w:after="3pt"/>
      <w:outlineLvl w:val="3"/>
    </w:pPr>
    <w:rPr>
      <w:b/>
      <w:bCs/>
    </w:rPr>
  </w:style>
  <w:style w:type="paragraph" w:styleId="Nadpis5">
    <w:name w:val="heading 5"/>
    <w:basedOn w:val="Normln"/>
    <w:next w:val="Normln"/>
    <w:qFormat/>
    <w:rsid w:val="00EF7B96"/>
    <w:pPr>
      <w:keepNext/>
      <w:spacing w:before="12pt" w:after="3pt"/>
      <w:outlineLvl w:val="4"/>
    </w:pPr>
    <w:rPr>
      <w:b/>
      <w:bCs/>
      <w:iCs/>
    </w:rPr>
  </w:style>
  <w:style w:type="paragraph" w:styleId="Nadpis6">
    <w:name w:val="heading 6"/>
    <w:basedOn w:val="Normln"/>
    <w:next w:val="Normln"/>
    <w:qFormat/>
    <w:rsid w:val="00EF7B96"/>
    <w:pPr>
      <w:keepNext/>
      <w:spacing w:before="12pt" w:after="3pt"/>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divWordSection1">
    <w:name w:val="div_WordSection1"/>
    <w:basedOn w:val="Normln"/>
  </w:style>
  <w:style w:type="table" w:customStyle="1" w:styleId="table">
    <w:name w:val="table"/>
    <w:basedOn w:val="Normlntabulka"/>
    <w:tblPr/>
  </w:style>
  <w:style w:type="character" w:customStyle="1" w:styleId="cg3-block-content-condition">
    <w:name w:val="cg3-block-content-condition"/>
    <w:basedOn w:val="Standardnpsmoodstavce"/>
  </w:style>
  <w:style w:type="paragraph" w:customStyle="1" w:styleId="divWordSection2">
    <w:name w:val="div_WordSection2"/>
    <w:basedOn w:val="Normln"/>
  </w:style>
  <w:style w:type="character" w:customStyle="1" w:styleId="any">
    <w:name w:val="any"/>
    <w:basedOn w:val="Standardnpsmoodstavce"/>
    <w:rPr>
      <w:sz w:val="18"/>
      <w:szCs w:val="18"/>
    </w:rPr>
  </w:style>
  <w:style w:type="table" w:customStyle="1" w:styleId="anyTable">
    <w:name w:val="any Table"/>
    <w:basedOn w:val="Normlntabulka"/>
    <w:tblPr/>
  </w:style>
  <w:style w:type="paragraph" w:customStyle="1" w:styleId="anyParagraph">
    <w:name w:val="any Paragraph"/>
    <w:basedOn w:val="Normln"/>
    <w:rPr>
      <w:sz w:val="18"/>
      <w:szCs w:val="18"/>
    </w:rPr>
  </w:style>
  <w:style w:type="paragraph" w:styleId="Zhlav">
    <w:name w:val="header"/>
    <w:basedOn w:val="Normln"/>
    <w:link w:val="ZhlavChar"/>
    <w:uiPriority w:val="99"/>
    <w:unhideWhenUsed/>
    <w:rsid w:val="00FE1514"/>
    <w:pPr>
      <w:tabs>
        <w:tab w:val="center" w:pos="226.80pt"/>
        <w:tab w:val="end" w:pos="453.60pt"/>
      </w:tabs>
    </w:pPr>
  </w:style>
  <w:style w:type="character" w:customStyle="1" w:styleId="ZhlavChar">
    <w:name w:val="Záhlaví Char"/>
    <w:basedOn w:val="Standardnpsmoodstavce"/>
    <w:link w:val="Zhlav"/>
    <w:uiPriority w:val="99"/>
    <w:rsid w:val="00FE1514"/>
    <w:rPr>
      <w:color w:val="000000"/>
      <w:sz w:val="22"/>
      <w:szCs w:val="22"/>
    </w:rPr>
  </w:style>
  <w:style w:type="paragraph" w:styleId="Zpat">
    <w:name w:val="footer"/>
    <w:basedOn w:val="Normln"/>
    <w:link w:val="ZpatChar"/>
    <w:uiPriority w:val="99"/>
    <w:unhideWhenUsed/>
    <w:rsid w:val="00FE1514"/>
    <w:pPr>
      <w:tabs>
        <w:tab w:val="center" w:pos="226.80pt"/>
        <w:tab w:val="end" w:pos="453.60pt"/>
      </w:tabs>
    </w:pPr>
  </w:style>
  <w:style w:type="character" w:customStyle="1" w:styleId="ZpatChar">
    <w:name w:val="Zápatí Char"/>
    <w:basedOn w:val="Standardnpsmoodstavce"/>
    <w:link w:val="Zpat"/>
    <w:uiPriority w:val="99"/>
    <w:rsid w:val="00FE1514"/>
    <w:rPr>
      <w:color w:val="000000"/>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footer" Target="footer2.xml"/><Relationship Id="rId18" Type="http://purl.oclc.org/ooxml/officeDocument/relationships/fontTable" Target="fontTable.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header" Target="header2.xml"/><Relationship Id="rId17" Type="http://purl.oclc.org/ooxml/officeDocument/relationships/footer" Target="footer4.xml"/><Relationship Id="rId2" Type="http://purl.oclc.org/ooxml/officeDocument/relationships/customXml" Target="../customXml/item2.xml"/><Relationship Id="rId16" Type="http://purl.oclc.org/ooxml/officeDocument/relationships/header" Target="header4.xml"/><Relationship Id="rId1" Type="http://purl.oclc.org/ooxml/officeDocument/relationships/customXml" Target="../customXml/item1.xml"/><Relationship Id="rId6" Type="http://purl.oclc.org/ooxml/officeDocument/relationships/settings" Target="settings.xml"/><Relationship Id="rId11" Type="http://purl.oclc.org/ooxml/officeDocument/relationships/footer" Target="footer1.xml"/><Relationship Id="rId5" Type="http://purl.oclc.org/ooxml/officeDocument/relationships/styles" Target="styles.xml"/><Relationship Id="rId15" Type="http://purl.oclc.org/ooxml/officeDocument/relationships/footer" Target="footer3.xml"/><Relationship Id="rId10" Type="http://purl.oclc.org/ooxml/officeDocument/relationships/header" Target="header1.xml"/><Relationship Id="rId19" Type="http://purl.oclc.org/ooxml/officeDocument/relationships/theme" Target="theme/theme1.xml"/><Relationship Id="rId4" Type="http://purl.oclc.org/ooxml/officeDocument/relationships/numbering" Target="numbering.xml"/><Relationship Id="rId9" Type="http://purl.oclc.org/ooxml/officeDocument/relationships/endnotes" Target="endnotes.xml"/><Relationship Id="rId14" Type="http://purl.oclc.org/ooxml/officeDocument/relationships/header" Target="header3.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49EC292DC784408553BDEA584D02EA" ma:contentTypeVersion="15" ma:contentTypeDescription="Vytvoří nový dokument" ma:contentTypeScope="" ma:versionID="e5dd8fee638d7bd1399e188e4ba940d7">
  <xsd:schema xmlns:xsd="http://www.w3.org/2001/XMLSchema" xmlns:xs="http://www.w3.org/2001/XMLSchema" xmlns:p="http://schemas.microsoft.com/office/2006/metadata/properties" xmlns:ns2="c77f6ed5-b798-48fc-969d-0421d4e3bd67" xmlns:ns3="d2227a0d-4c53-4af7-b2f6-aa6fb53af47d" targetNamespace="http://schemas.microsoft.com/office/2006/metadata/properties" ma:root="true" ma:fieldsID="b7ee42699502c9484fc4378857ba85d6" ns2:_="" ns3:_="">
    <xsd:import namespace="c77f6ed5-b798-48fc-969d-0421d4e3bd67"/>
    <xsd:import namespace="d2227a0d-4c53-4af7-b2f6-aa6fb53af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f6ed5-b798-48fc-969d-0421d4e3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27a0d-4c53-4af7-b2f6-aa6fb53af4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904fc7-09b7-49ea-a24b-bb89738dd845}" ma:internalName="TaxCatchAll" ma:showField="CatchAllData" ma:web="d2227a0d-4c53-4af7-b2f6-aa6fb53af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227a0d-4c53-4af7-b2f6-aa6fb53af47d" xsi:nil="true"/>
    <lcf76f155ced4ddcb4097134ff3c332f xmlns="c77f6ed5-b798-48fc-969d-0421d4e3bd67">
      <Terms xmlns="http://schemas.microsoft.com/office/infopath/2007/PartnerControls"/>
    </lcf76f155ced4ddcb4097134ff3c332f>
  </documentManagement>
</p:properties>
</file>

<file path=customXml/itemProps1.xml><?xml version="1.0" encoding="utf-8"?>
<ds:datastoreItem xmlns:ds="http://purl.oclc.org/ooxml/officeDocument/customXml" ds:itemID="{CD10EEB9-67DE-4757-9CE1-59149AB6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f6ed5-b798-48fc-969d-0421d4e3bd67"/>
    <ds:schemaRef ds:uri="d2227a0d-4c53-4af7-b2f6-aa6fb53af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AD9AA0E2-2888-4D3A-B091-3D222AAE226F}">
  <ds:schemaRefs>
    <ds:schemaRef ds:uri="http://schemas.microsoft.com/sharepoint/v3/contenttype/forms"/>
  </ds:schemaRefs>
</ds:datastoreItem>
</file>

<file path=customXml/itemProps3.xml><?xml version="1.0" encoding="utf-8"?>
<ds:datastoreItem xmlns:ds="http://purl.oclc.org/ooxml/officeDocument/customXml" ds:itemID="{12F0A4F7-DC4A-4A25-B624-AF8193BCF9A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2227a0d-4c53-4af7-b2f6-aa6fb53af47d"/>
    <ds:schemaRef ds:uri="http://schemas.microsoft.com/office/2006/documentManagement/types"/>
    <ds:schemaRef ds:uri="c77f6ed5-b798-48fc-969d-0421d4e3bd67"/>
    <ds:schemaRef ds:uri="http://www.w3.org/XML/1998/namespace"/>
  </ds:schemaRefs>
</ds:datastoreItem>
</file>

<file path=docProps/app.xml><?xml version="1.0" encoding="utf-8"?>
<Properties xmlns="http://purl.oclc.org/ooxml/officeDocument/extendedProperties" xmlns:vt="http://purl.oclc.org/ooxml/officeDocument/docPropsVTypes">
  <Template>Normal</Template>
  <TotalTime>0</TotalTime>
  <Pages>6</Pages>
  <Words>2278</Words>
  <Characters>13442</Characters>
  <Application>Microsoft Office Word</Application>
  <DocSecurity>0</DocSecurity>
  <Lines>112</Lines>
  <Paragraphs>31</Paragraphs>
  <ScaleCrop>false</ScaleCrop>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eRevolvingový úvěr</dc:title>
  <dc:creator>HLOUŠKOVÁ Petra</dc:creator>
  <cp:lastModifiedBy>KUBÍKOVÁ Eva</cp:lastModifiedBy>
  <cp:revision>6</cp:revision>
  <dcterms:created xsi:type="dcterms:W3CDTF">2024-10-21T11:11:00Z</dcterms:created>
  <dcterms:modified xsi:type="dcterms:W3CDTF">2024-10-22T06:37:00Z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8c6547bf-3669-44b1-9e89-321d0b86b530_Enabled">
    <vt:lpwstr>true</vt:lpwstr>
  </property>
  <property fmtid="{D5CDD505-2E9C-101B-9397-08002B2CF9AE}" pid="3" name="MSIP_Label_8c6547bf-3669-44b1-9e89-321d0b86b530_SetDate">
    <vt:lpwstr>2024-10-21T11:11:56Z</vt:lpwstr>
  </property>
  <property fmtid="{D5CDD505-2E9C-101B-9397-08002B2CF9AE}" pid="4" name="MSIP_Label_8c6547bf-3669-44b1-9e89-321d0b86b530_Method">
    <vt:lpwstr>Privileged</vt:lpwstr>
  </property>
  <property fmtid="{D5CDD505-2E9C-101B-9397-08002B2CF9AE}" pid="5" name="MSIP_Label_8c6547bf-3669-44b1-9e89-321d0b86b530_Name">
    <vt:lpwstr>8c6547bf-3669-44b1-9e89-321d0b86b530</vt:lpwstr>
  </property>
  <property fmtid="{D5CDD505-2E9C-101B-9397-08002B2CF9AE}" pid="6" name="MSIP_Label_8c6547bf-3669-44b1-9e89-321d0b86b530_SiteId">
    <vt:lpwstr>64af2aee-7d6c-49ac-a409-192d3fee73b8</vt:lpwstr>
  </property>
  <property fmtid="{D5CDD505-2E9C-101B-9397-08002B2CF9AE}" pid="7" name="MSIP_Label_8c6547bf-3669-44b1-9e89-321d0b86b530_ActionId">
    <vt:lpwstr>f95db81b-073e-48bc-8fe4-a4f04e605176</vt:lpwstr>
  </property>
  <property fmtid="{D5CDD505-2E9C-101B-9397-08002B2CF9AE}" pid="8" name="MSIP_Label_8c6547bf-3669-44b1-9e89-321d0b86b530_ContentBits">
    <vt:lpwstr>0</vt:lpwstr>
  </property>
  <property fmtid="{D5CDD505-2E9C-101B-9397-08002B2CF9AE}" pid="9" name="ContentTypeId">
    <vt:lpwstr>0x0101000049EC292DC784408553BDEA584D02EA</vt:lpwstr>
  </property>
  <property fmtid="{D5CDD505-2E9C-101B-9397-08002B2CF9AE}" pid="10" name="MediaServiceImageTags">
    <vt:lpwstr/>
  </property>
</Properties>
</file>