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1621155" distL="88900" distR="88900" simplePos="0" relativeHeight="12582937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920750</wp:posOffset>
                </wp:positionV>
                <wp:extent cx="1630680" cy="224345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0680" cy="2243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„objednatel“)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8.pt;margin-top:72.5pt;width:128.40000000000001pt;height:176.65000000000001pt;z-index:-125829375;mso-wrap-distance-left:7.pt;mso-wrap-distance-right:7.pt;mso-wrap-distance-bottom:127.6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„objednatel“)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2414270" distB="0" distL="88900" distR="92075" simplePos="0" relativeHeight="12582938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3335020</wp:posOffset>
                </wp:positionV>
                <wp:extent cx="1627505" cy="145097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14509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8.pt;margin-top:262.60000000000002pt;width:128.15000000000001pt;height:114.25pt;z-index:-125829373;mso-wrap-distance-left:7.pt;mso-wrap-distance-top:190.09999999999999pt;mso-wrap-distance-right:7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4"/>
        </w:rPr>
        <w:t>2024008630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rStyle w:val="CharStyle19"/>
          <w:b/>
          <w:bCs/>
        </w:rPr>
        <w:t>RÁMCOVÁ SMLOUVA O DÍLO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rStyle w:val="CharStyle3"/>
        </w:rPr>
        <w:t>podle ust. § 2586 a násl. občanského zákoníku, uzavřená mezi níže uvedenými smluvními stranami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  <w:b/>
          <w:bCs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  <w:spacing w:val="8"/>
          <w:shd w:val="clear" w:color="auto" w:fill="000000"/>
        </w:rPr>
        <w:t>....</w:t>
      </w:r>
      <w:r>
        <w:rPr>
          <w:rStyle w:val="CharStyle3"/>
          <w:spacing w:val="9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"/>
          <w:shd w:val="clear" w:color="auto" w:fill="000000"/>
        </w:rPr>
        <w:t>...............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color w:val="819FC7"/>
          <w:lang w:val="en-US" w:eastAsia="en-US" w:bidi="en-US"/>
        </w:rPr>
        <w:t xml:space="preserve"> 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7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​....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​.......​</w:t>
      </w:r>
      <w:r>
        <w:rPr>
          <w:rStyle w:val="CharStyle3"/>
          <w:spacing w:val="6"/>
          <w:shd w:val="clear" w:color="auto" w:fill="000000"/>
        </w:rPr>
        <w:t>...</w:t>
      </w:r>
      <w:r>
        <w:rPr>
          <w:rStyle w:val="CharStyle3"/>
          <w:spacing w:val="7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​........​</w:t>
      </w:r>
      <w:r>
        <w:rPr>
          <w:rStyle w:val="CharStyle3"/>
          <w:spacing w:val="6"/>
          <w:shd w:val="clear" w:color="auto" w:fill="000000"/>
        </w:rPr>
        <w:t>....</w:t>
      </w:r>
      <w:r>
        <w:rPr>
          <w:rStyle w:val="CharStyle3"/>
          <w:spacing w:val="7"/>
          <w:shd w:val="clear" w:color="auto" w:fill="000000"/>
        </w:rPr>
        <w:t>....</w:t>
      </w:r>
      <w:r>
        <w:rPr>
          <w:rStyle w:val="CharStyle3"/>
          <w:shd w:val="clear" w:color="auto" w:fill="000000"/>
        </w:rPr>
        <w:t>​....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​.......​.......​......</w:t>
      </w:r>
      <w:r>
        <w:rPr>
          <w:rStyle w:val="CharStyle3"/>
        </w:rPr>
        <w:t xml:space="preserve"> 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80" w:line="276" w:lineRule="auto"/>
        <w:ind w:left="0" w:right="0" w:firstLine="0"/>
        <w:jc w:val="left"/>
      </w:pPr>
      <w:r>
        <w:rPr>
          <w:rStyle w:val="CharStyle3"/>
        </w:rPr>
        <w:t>MONETA Money Bank, a.s., č. ú. 117203514/0600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AsisTrans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Jahodová 503/50, Brněnské Ivanovice, 620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Petr Šenkyřík,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spacing w:val="4"/>
          <w:shd w:val="clear" w:color="auto" w:fill="000000"/>
        </w:rPr>
        <w:t>....</w:t>
      </w:r>
      <w:r>
        <w:rPr>
          <w:rStyle w:val="CharStyle3"/>
          <w:spacing w:val="5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..........</w:t>
      </w:r>
      <w:r>
        <w:rPr>
          <w:rStyle w:val="CharStyle3"/>
          <w:spacing w:val="4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7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​....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​.......​.....​.....​....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pacing w:val="4"/>
          <w:shd w:val="clear" w:color="auto" w:fill="000000"/>
        </w:rPr>
        <w:t>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......................................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26931761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CZ26931761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Krajský soud v Brně sp. zn. C 46303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0" w:right="0" w:firstLine="0"/>
        <w:jc w:val="left"/>
      </w:pPr>
      <w:r>
        <w:rPr>
          <w:rStyle w:val="CharStyle3"/>
        </w:rPr>
        <w:t xml:space="preserve">č.ú. 1666158001/5500 </w:t>
      </w: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</w:rPr>
        <w:t>„zhotovitel 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Zhotovitel je samostatnou fyzickou/právnickou osobou, oprávněnou na základě svého živnostenského oprávnění k opravám silničních motorových vozidel a k provádění silniční nákladní motorové dopravy, a k činnostem s tím spojených.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Zhotovitel se zavazuje v rámci svého oprávnění podle čl. 1 této smlouvy provádět pro objednatele odtahy jeho silničních motorových vozidel, včetně případného vyproštění, naložení a složení těchto vozidel v místě jejich doručení, a to v tuzemsku i v cizině. Zhotovitel se zavazuje tak činit non-stop vždy nejpozději do 120-ti minut od doručení výzvy (objednávky) podle čl. 3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Závazek zhotovitele podle čl. 2 této smlouvy bude plněn formou dílčích plnění v rozsahu a specifikaci dle jednotlivých dílčích smluv o dílo.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0" w:line="240" w:lineRule="auto"/>
        <w:ind w:left="400" w:right="0" w:hanging="400"/>
        <w:jc w:val="both"/>
      </w:pPr>
      <w:r>
        <w:rPr>
          <w:rStyle w:val="CharStyle3"/>
        </w:rPr>
        <w:t>Jednotlivá dílčí smlouva o dílo se považuje za uzavřenou doručením jednotlivé písemné nebo telefonické výzvy (objednávky) objednatele do rukou zhotovitele, a to ve znění, daném touto výzvou a touto rámcovou smlouvou o dílo. Výzva (objednávka) podle tohoto článku této smlouvy musí obsahovat specifikaci příslušného plnění, místa naložení a místa vyložení příslušného vozidla, termín plnění, datum a podpis objednatele. Písemná forma výzvy (objednávky) se považuje za dodrženou i v případě jejího odeslání elektronickou formou.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Závazek zhotovitele k provedení jeho díla podle čl. 2 této smlouvy se považuje za splněný po jeho faktickém provedení dnem předání a převzetí příslušného díla, prostého všech vad a nedodělků, formou písemného předávacího protokolu, podepsaného oběma stranami. V tomto smyslu objednatel není povinen převzít dílo, bude-li vykazovat jakoukoliv vadu nebo nedodělek.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Zhotovitel se zavazuje při provádění díla podle čl. 2 této smlouvy postupovat svědomitě a s náležitou odbornou péčí. Zhotovitel přitom poskytuje objednateli záruku za jakost svého díla, a to po celou dobu, po kterou to bude mít pro objednatele ještě nějaký ekonomický význam.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Pro případ prodlení zhotovitele s provedením díla podle čl. 2 této smlouvy ve lhůtě podle čl. 2 této smlouvy nebo v jiné dohodnuté lhůtě se zhotovitel zavazuje zaplatit objednateli smluvní pokutu ve výši 5 % z ceny díla podle čl. 10 této smlouvy za každých započatých 60 minut tohoto prodlení. Zaplacením smluvní pokuty podle této smlouvy není nijak dotčeno právo strany na náhradu škody v plné výši. Tímto ujednáním se přitom vylučuje aplikace ust. § 2050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Pro případ prodlení zhotovitele s provedením díla podle čl. 2 této smlouvy ve lhůtě podle čl. 2 této smlouvy nebo v jiné dohodnuté lhůtě o víc, než 90 minut, si objednatel vyhrazuje právo odstoupit od příslušné dílčí smlouvy o dílo a zadat příslušné dílo jinému zhotoviteli, a to na náklad zhotovitele.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Zhotovitel se zavazuje zachovávat mlčenlivost o všech skutečnost o poměrech objednatele, jeho klientů, jeho zaměstnanců a dalších osob, s nimiž se při plnění povinností podle této smlouvy seznámí.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Objednatel se zavazuje platit zhotoviteli za provedení díla podle čl. 2 této smlouvy cenu ve výši dle ceníku, který je jako příloha č. 1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Součástí ceny podle čl. 10 této smlouvy je náhrada všech nákladů, které zhotovitel vynaloží ke splnění svých závazků podle této smlouvy, a daň z přidané hodnoty v její výši podle příslušných právních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 xml:space="preserve">Cena podle čl. 10 této smlouvy je splatná vždy po provedení příslušného díla ve lhůtě do 30-ti dnů od doručení jejího písemného vyúčtování (faktury/daňového dokladu). Faktura musí mít náležitosti účetního a daňového dokladu podle zákona a musí být doloženo přílohami dle pokynů objednatele. Faktury budou doručeny elektronicky na email: 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</w:rPr>
        <w:t xml:space="preserve">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CharStyle3"/>
          <w:color w:val="819FC7"/>
          <w:lang w:val="en-US" w:eastAsia="en-US" w:bidi="en-US"/>
        </w:rPr>
        <w:t xml:space="preserve">. </w:t>
      </w:r>
      <w:r>
        <w:rPr>
          <w:rStyle w:val="CharStyle3"/>
        </w:rPr>
        <w:t xml:space="preserve">Na faktuře musí být mimo jiné vždy uvedeno toto číslo veřejné zakázky, ke které se faktura vztahuje: </w:t>
      </w:r>
      <w:r>
        <w:rPr>
          <w:rStyle w:val="CharStyle3"/>
          <w:b/>
          <w:bCs/>
        </w:rPr>
        <w:t xml:space="preserve">P24V00003427. </w:t>
      </w:r>
      <w:r>
        <w:rPr>
          <w:rStyle w:val="CharStyle3"/>
        </w:rPr>
        <w:t>Součástí faktury bude rovněž kopie podepsaného předávacího protokolu dle čl. 5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Pro případ prodlení se zaplacením ceny podle čl. 10 této smlouvy ve lhůtě podle čl. 12 této smlouvy se zhotovitel zavazuje zaplatit objednateli úrok z prodlení ve výši dle příslušných právních předpisů v jejich aktuálním znění.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Objednatel se zavazuje poskytnout zhotoviteli, nezbytnou ke splnění jeho závazků podle této smlouvy. Za tímto účelem je objednatel povinen zhotoviteli zejména poskytovat potřebné informace a podklady.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 xml:space="preserve">Tato smlouva se uzavírá na dobu určitou, a to od </w:t>
      </w:r>
      <w:r>
        <w:rPr>
          <w:rStyle w:val="CharStyle3"/>
          <w:b/>
          <w:bCs/>
        </w:rPr>
        <w:t xml:space="preserve">1. 1. 2025 </w:t>
      </w:r>
      <w:r>
        <w:rPr>
          <w:rStyle w:val="CharStyle3"/>
        </w:rPr>
        <w:t xml:space="preserve">do </w:t>
      </w:r>
      <w:r>
        <w:rPr>
          <w:rStyle w:val="CharStyle3"/>
          <w:b/>
          <w:bCs/>
        </w:rPr>
        <w:t>31. 12. 2026.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Tuto smlouvu lze změnit nebo zrušit pouze jinou písemnou dohodou obou smluvních stran. Tuto smlouvu lze také vypovědět písemnou výpovědí s tříměsíční výpovědní lhůtou, která počne běžet prvním dnem měsíce následujícího po doručení výpovědi druhé smluvní straně. Zrušením nebo výpovědí této smlouvy nejsou nijak dotčeny jednotlivé již uzavřené dílčí smlouvy o dílo podle čl. 4 této smlouvy.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Jednotlivou dílčí smlouvu o dílo podle čl. 4 této smlouvy lze změnit nebo zrušit pouze jinou písemnou dohodu obou smluvních stran. Od jednotlivé dílčí smlouvy o dílo lze také odstoupit z důvodu jejího podstatného porušení.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Není-li touto smlouvou ujednáno jinak, řídí se vzájemný právní vztah mezi zhotovitelem a objednatelem ust. § 2586 až 2620 občanského zákoníku, přičemž tato právní úprava má přednost před nepsanými obchodními zvyklostmi. Tímto ujednáním se přitom vylučuje aplikaci ust.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Tato smlouva se uzavírá na základě návrhu na její uzavření ze strany objednatele. Předpokladem uzavření této smlouvy je její písemná forma a dohoda o jejích podstatných náležitostech, čímž se rozumí celý obsah této smlouvy, jak je uveden v čl. 1 až 22 této smlouvy. Objednatel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Zhotovitel uděluje objednateli svůj výslovný souhlas se zveřejněním podmínek této smlouvy v rozsahu a za podmínek vyplývajících z příslušných právních předpisů (zejména zákona č. 106/1999 Sb., o svobodném přístupu k informacím a zákona č. 340/2015 Sb. o registru smluv).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3"/>
        </w:rPr>
        <w:t>Tato smlouva nabývá účinnosti po jejím podpisu oběma smluvními stranami dnem jejího uveřejnění v Registru smluv, nejdříve však 1.1. 2025.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740" w:line="240" w:lineRule="auto"/>
        <w:ind w:left="400" w:right="0" w:hanging="40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12700</wp:posOffset>
                </wp:positionV>
                <wp:extent cx="1094105" cy="14922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410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68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 24.10.2024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8.950000000000003pt;margin-top:1.pt;width:86.150000000000006pt;height:11.7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68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 24.10.2024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V Brně dne 23. 10. 2024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73" w:right="1542" w:bottom="1722" w:left="1560" w:header="945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14325" distB="635" distL="0" distR="0" simplePos="0" relativeHeight="125829384" behindDoc="0" locked="0" layoutInCell="1" allowOverlap="1">
                <wp:simplePos x="0" y="0"/>
                <wp:positionH relativeFrom="page">
                  <wp:posOffset>993140</wp:posOffset>
                </wp:positionH>
                <wp:positionV relativeFrom="paragraph">
                  <wp:posOffset>314325</wp:posOffset>
                </wp:positionV>
                <wp:extent cx="2002790" cy="107569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02790" cy="1075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IVII IDr Hana </w:t>
                            </w:r>
                            <w:r>
                              <w:rPr>
                                <w:rStyle w:val="CharStyle6"/>
                              </w:rPr>
                              <w:t xml:space="preserve">Digitálně podepsal 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sz w:val="19"/>
                                <w:szCs w:val="19"/>
                              </w:rPr>
                              <w:t>IVIL/L7I. I IC1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sz w:val="19"/>
                                <w:szCs w:val="19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•G </w:t>
                            </w:r>
                            <w:r>
                              <w:rPr>
                                <w:rStyle w:val="CharStyle6"/>
                              </w:rPr>
                              <w:t>MUDr. Hana Albrechtová</w:t>
                            </w:r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9"/>
                              </w:rPr>
                              <w:t>Albrechtová“™</w:t>
                            </w:r>
                            <w:bookmarkEnd w:id="0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8.200000000000003pt;margin-top:24.75pt;width:157.70000000000002pt;height:84.700000000000003pt;z-index:-125829369;mso-wrap-distance-left:0;mso-wrap-distance-top:24.75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  <w:sz w:val="19"/>
                          <w:szCs w:val="19"/>
                        </w:rPr>
                        <w:t xml:space="preserve">IVII IDr Hana </w:t>
                      </w:r>
                      <w:r>
                        <w:rPr>
                          <w:rStyle w:val="CharStyle6"/>
                        </w:rPr>
                        <w:t xml:space="preserve">Digitálně podepsal </w:t>
                      </w:r>
                      <w:r>
                        <w:rPr>
                          <w:rStyle w:val="CharStyle6"/>
                          <w:b/>
                          <w:bCs/>
                          <w:sz w:val="19"/>
                          <w:szCs w:val="19"/>
                        </w:rPr>
                        <w:t>IVIL/L7I. I IC1</w:t>
                      </w:r>
                      <w:r>
                        <w:rPr>
                          <w:rStyle w:val="CharStyle6"/>
                          <w:b/>
                          <w:bCs/>
                          <w:sz w:val="19"/>
                          <w:szCs w:val="19"/>
                          <w:vertAlign w:val="superscript"/>
                        </w:rPr>
                        <w:t>1</w:t>
                      </w:r>
                      <w:r>
                        <w:rPr>
                          <w:rStyle w:val="CharStyle6"/>
                          <w:b/>
                          <w:bCs/>
                          <w:sz w:val="19"/>
                          <w:szCs w:val="19"/>
                        </w:rPr>
                        <w:t xml:space="preserve"> •G </w:t>
                      </w:r>
                      <w:r>
                        <w:rPr>
                          <w:rStyle w:val="CharStyle6"/>
                        </w:rPr>
                        <w:t>MUDr. Hana Albrechtová</w:t>
                      </w:r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9"/>
                        </w:rPr>
                        <w:t>Albrechtová“™</w:t>
                      </w:r>
                      <w:bookmarkEnd w:id="0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8900" distB="996950" distL="0" distR="0" simplePos="0" relativeHeight="125829386" behindDoc="0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88900</wp:posOffset>
                </wp:positionV>
                <wp:extent cx="506095" cy="30480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6095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Petr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0.19999999999999pt;margin-top:7.pt;width:39.850000000000001pt;height:24.pt;z-index:-125829367;mso-wrap-distance-left:0;mso-wrap-distance-top:7.pt;mso-wrap-distance-right:0;mso-wrap-distance-bottom:78.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Petr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3030" distB="963930" distL="0" distR="0" simplePos="0" relativeHeight="125829388" behindDoc="0" locked="0" layoutInCell="1" allowOverlap="1">
                <wp:simplePos x="0" y="0"/>
                <wp:positionH relativeFrom="page">
                  <wp:posOffset>5211445</wp:posOffset>
                </wp:positionH>
                <wp:positionV relativeFrom="paragraph">
                  <wp:posOffset>113030</wp:posOffset>
                </wp:positionV>
                <wp:extent cx="1024255" cy="31369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Digitálně podepsal Petr Šenkyřík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10.35000000000002pt;margin-top:8.9000000000000004pt;width:80.650000000000006pt;height:24.699999999999999pt;z-index:-125829365;mso-wrap-distance-left:0;mso-wrap-distance-top:8.9000000000000004pt;mso-wrap-distance-right:0;mso-wrap-distance-bottom:75.90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Digitálně podepsal Petr Šenkyřík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27355" distB="649605" distL="0" distR="0" simplePos="0" relativeHeight="125829390" behindDoc="0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427355</wp:posOffset>
                </wp:positionV>
                <wp:extent cx="2042160" cy="31369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2160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90" w:val="left"/>
                              </w:tabs>
                              <w:bidi w:val="0"/>
                              <w:spacing w:before="0" w:after="0" w:line="206" w:lineRule="auto"/>
                              <w:ind w:left="0" w:right="0" w:firstLine="680"/>
                              <w:jc w:val="both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|z\/nL </w:t>
                            </w:r>
                            <w:r>
                              <w:rPr>
                                <w:rStyle w:val="CharStyle3"/>
                              </w:rPr>
                              <w:t>P</w:t>
                            </w:r>
                            <w:r>
                              <w:rPr>
                                <w:rStyle w:val="CharStyle3"/>
                                <w:vertAlign w:val="superscript"/>
                              </w:rPr>
                              <w:t>atum</w:t>
                            </w:r>
                            <w:r>
                              <w:rPr>
                                <w:rStyle w:val="CharStyle3"/>
                              </w:rPr>
                              <w:t xml:space="preserve">- 2024.10.23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jCl 1</w:t>
                              <w:tab/>
                              <w:t xml:space="preserve">I 1l\ </w:t>
                            </w:r>
                            <w:r>
                              <w:rPr>
                                <w:rStyle w:val="CharStyle3"/>
                              </w:rPr>
                              <w:t>09:02:44 +02'00'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9.5pt;margin-top:33.649999999999999pt;width:160.80000000000001pt;height:24.699999999999999pt;z-index:-125829363;mso-wrap-distance-left:0;mso-wrap-distance-top:33.649999999999999pt;mso-wrap-distance-right:0;mso-wrap-distance-bottom:51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90" w:val="left"/>
                        </w:tabs>
                        <w:bidi w:val="0"/>
                        <w:spacing w:before="0" w:after="0" w:line="206" w:lineRule="auto"/>
                        <w:ind w:left="0" w:right="0" w:firstLine="680"/>
                        <w:jc w:val="both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 xml:space="preserve">|z\/nL </w:t>
                      </w:r>
                      <w:r>
                        <w:rPr>
                          <w:rStyle w:val="CharStyle3"/>
                        </w:rPr>
                        <w:t>P</w:t>
                      </w:r>
                      <w:r>
                        <w:rPr>
                          <w:rStyle w:val="CharStyle3"/>
                          <w:vertAlign w:val="superscript"/>
                        </w:rPr>
                        <w:t>atum</w:t>
                      </w:r>
                      <w:r>
                        <w:rPr>
                          <w:rStyle w:val="CharStyle3"/>
                        </w:rPr>
                        <w:t xml:space="preserve">- 2024.10.23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jCl 1</w:t>
                        <w:tab/>
                        <w:t xml:space="preserve">I 1l\ </w:t>
                      </w:r>
                      <w:r>
                        <w:rPr>
                          <w:rStyle w:val="CharStyle3"/>
                        </w:rPr>
                        <w:t>09:02:44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1860" distB="6350" distL="0" distR="0" simplePos="0" relativeHeight="125829392" behindDoc="0" locked="0" layoutInCell="1" allowOverlap="1">
                <wp:simplePos x="0" y="0"/>
                <wp:positionH relativeFrom="page">
                  <wp:posOffset>4163060</wp:posOffset>
                </wp:positionH>
                <wp:positionV relativeFrom="paragraph">
                  <wp:posOffset>911860</wp:posOffset>
                </wp:positionV>
                <wp:extent cx="1271270" cy="47244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1270" cy="472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AsisTrans s.r.o.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Petr Šenkyřík, 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27.80000000000001pt;margin-top:71.799999999999997pt;width:100.10000000000001pt;height:37.200000000000003pt;z-index:-125829361;mso-wrap-distance-left:0;mso-wrap-distance-top:71.799999999999997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AsisTrans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Petr Šenkyřík, 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7" w:after="8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08" w:right="0" w:bottom="419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12700</wp:posOffset>
                </wp:positionV>
                <wp:extent cx="676910" cy="472440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6910" cy="472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Příloha č. 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Příloha č. 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Příloha č. 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8.950000000000003pt;margin-top:1.pt;width:53.300000000000004pt;height:37.200000000000003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Ceník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Pověřené osoby k objednání přepravy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Pověřené osoby k příjmu objednávek přepravy</w:t>
      </w:r>
      <w:r>
        <w:br w:type="page"/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</w:pPr>
      <w:r>
        <w:rPr>
          <w:rStyle w:val="CharStyle35"/>
          <w:b/>
          <w:bCs/>
        </w:rPr>
        <w:t>Příloha č. 1 Ceník</w:t>
      </w:r>
    </w:p>
    <w:tbl>
      <w:tblPr>
        <w:tblOverlap w:val="never"/>
        <w:jc w:val="center"/>
        <w:tblLayout w:type="fixed"/>
      </w:tblPr>
      <w:tblGrid>
        <w:gridCol w:w="3192"/>
        <w:gridCol w:w="1219"/>
        <w:gridCol w:w="2179"/>
        <w:gridCol w:w="2213"/>
      </w:tblGrid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  <w:b/>
                <w:bCs/>
              </w:rPr>
              <w:t>Činnost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7"/>
                <w:b/>
                <w:bCs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7"/>
                <w:b/>
                <w:bCs/>
              </w:rPr>
              <w:t>Cena za jednotku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7"/>
                <w:b/>
                <w:bCs/>
              </w:rPr>
              <w:t>Cena za jednotku včetně DPH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</w:rPr>
              <w:t>Naložení a složení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7"/>
              </w:rPr>
              <w:t>úkon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7"/>
              </w:rPr>
              <w:t>400,00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7"/>
              </w:rPr>
              <w:t>484,00 Kč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</w:rPr>
              <w:t>Přeprava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7"/>
              </w:rPr>
              <w:t>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7"/>
              </w:rPr>
              <w:t>25,00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7"/>
              </w:rPr>
              <w:t>30,25 Kč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</w:rPr>
              <w:t>Čekání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7"/>
              </w:rPr>
              <w:t>minuta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7"/>
              </w:rPr>
              <w:t>4,00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7"/>
              </w:rPr>
              <w:t>4,84 Kč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</w:rPr>
              <w:t>Vyproštění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7"/>
              </w:rPr>
              <w:t>minuta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7"/>
              </w:rPr>
              <w:t>2,00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7"/>
              </w:rPr>
              <w:t>2,42 Kč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</w:rPr>
              <w:t>Jízda po zpoplatněné silnici (mýto)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7"/>
              </w:rPr>
              <w:t>km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7"/>
              </w:rPr>
              <w:t>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37"/>
              </w:rPr>
              <w:t>0 Kč</w:t>
            </w:r>
          </w:p>
        </w:tc>
      </w:tr>
    </w:tbl>
    <w:p>
      <w:pPr>
        <w:widowControl w:val="0"/>
        <w:spacing w:after="739" w:line="1" w:lineRule="exact"/>
      </w:pPr>
    </w:p>
    <w:p>
      <w:pPr>
        <w:widowControl w:val="0"/>
        <w:spacing w:line="1" w:lineRule="exact"/>
      </w:pP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rStyle w:val="CharStyle35"/>
          <w:b/>
          <w:bCs/>
        </w:rPr>
        <w:t>Příloha č. 2 Pověřené osoby k objednání přepravy</w:t>
      </w:r>
    </w:p>
    <w:tbl>
      <w:tblPr>
        <w:tblOverlap w:val="never"/>
        <w:jc w:val="left"/>
        <w:tblLayout w:type="fixed"/>
      </w:tblPr>
      <w:tblGrid>
        <w:gridCol w:w="5194"/>
        <w:gridCol w:w="2458"/>
      </w:tblGrid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  <w:b/>
                <w:bCs/>
              </w:rPr>
              <w:t>Kontaktní osoba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96" w:lineRule="exact"/>
              <w:ind w:left="0" w:right="0" w:firstLine="0"/>
              <w:jc w:val="left"/>
            </w:pPr>
            <w:r>
              <w:rPr>
                <w:rStyle w:val="CharStyle37"/>
                <w:b/>
                <w:bCs/>
              </w:rPr>
              <w:t>ji Telefonní kontakt li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</w:rPr>
              <w:t>Dispečeři KOS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7"/>
              </w:rPr>
              <w:t>545 113 150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</w:rPr>
              <w:t>Jiří Urbánek, vedoucí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7"/>
              </w:rPr>
              <w:t>606 824 818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</w:rPr>
              <w:t>Petr Daniel, technický referent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7"/>
              </w:rPr>
              <w:t>702 284 435</w:t>
            </w:r>
          </w:p>
        </w:tc>
      </w:tr>
    </w:tbl>
    <w:p>
      <w:pPr>
        <w:widowControl w:val="0"/>
        <w:spacing w:after="999" w:line="1" w:lineRule="exact"/>
      </w:pPr>
    </w:p>
    <w:p>
      <w:pPr>
        <w:widowControl w:val="0"/>
        <w:spacing w:line="1" w:lineRule="exact"/>
      </w:pP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rStyle w:val="CharStyle35"/>
          <w:b/>
          <w:bCs/>
        </w:rPr>
        <w:t>Příloha č. 3 Pověřené osoby k příjmu objednávek přepravy</w:t>
      </w:r>
    </w:p>
    <w:tbl>
      <w:tblPr>
        <w:tblOverlap w:val="never"/>
        <w:jc w:val="left"/>
        <w:tblLayout w:type="fixed"/>
      </w:tblPr>
      <w:tblGrid>
        <w:gridCol w:w="5194"/>
        <w:gridCol w:w="2458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  <w:b/>
                <w:bCs/>
              </w:rPr>
              <w:t>Kontaktní osoba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  <w:b/>
                <w:bCs/>
              </w:rPr>
              <w:t>| Telefonní kontakt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37"/>
                <w:rFonts w:ascii="Times New Roman" w:eastAsia="Times New Roman" w:hAnsi="Times New Roman" w:cs="Times New Roman"/>
                <w:sz w:val="22"/>
                <w:szCs w:val="22"/>
              </w:rPr>
              <w:t>Petr Šenkyřík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37"/>
                <w:rFonts w:ascii="Times New Roman" w:eastAsia="Times New Roman" w:hAnsi="Times New Roman" w:cs="Times New Roman"/>
                <w:sz w:val="22"/>
                <w:szCs w:val="22"/>
              </w:rPr>
              <w:t>602 55 64 67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</w:rPr>
              <w:t>Milan Dvořáček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7"/>
              </w:rPr>
              <w:t>777 10 44 99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1708" w:right="1553" w:bottom="4194" w:left="1525" w:header="128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1014730</wp:posOffset>
              </wp:positionH>
              <wp:positionV relativeFrom="page">
                <wp:posOffset>9960610</wp:posOffset>
              </wp:positionV>
              <wp:extent cx="2792095" cy="11557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9209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42-24: Odtahy vozidel 2025 - 2026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9.900000000000006pt;margin-top:784.30000000000007pt;width:219.84999999999999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42-24: Odtahy vozidel 2025 - 2026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">
    <w:name w:val="Nadpis #1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Základní text (4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4">
    <w:name w:val="Základní text (3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Nadpis #2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5">
    <w:name w:val="Titulek tabulky_"/>
    <w:basedOn w:val="DefaultParagraphFont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7">
    <w:name w:val="Jiné_"/>
    <w:basedOn w:val="DefaultParagraphFont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auto"/>
      <w:spacing w:after="40" w:line="14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auto"/>
      <w:spacing w:after="2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auto"/>
      <w:spacing w:after="180"/>
      <w:ind w:right="44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4">
    <w:name w:val="Titulek tabulky"/>
    <w:basedOn w:val="Normal"/>
    <w:link w:val="CharStyle35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36">
    <w:name w:val="Jiné"/>
    <w:basedOn w:val="Normal"/>
    <w:link w:val="CharStyle37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