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F0" w:rsidRDefault="00CE59F0">
      <w:pPr>
        <w:pBdr>
          <w:top w:val="nil"/>
          <w:left w:val="nil"/>
          <w:bottom w:val="nil"/>
          <w:right w:val="nil"/>
          <w:between w:val="nil"/>
        </w:pBdr>
        <w:tabs>
          <w:tab w:val="left" w:pos="6336"/>
          <w:tab w:val="left" w:pos="1134"/>
        </w:tabs>
        <w:spacing w:line="276" w:lineRule="auto"/>
        <w:jc w:val="both"/>
        <w:rPr>
          <w:rFonts w:ascii="Verdana" w:eastAsia="Verdana" w:hAnsi="Verdana" w:cs="Verdana"/>
          <w:color w:val="000000"/>
          <w:u w:val="single"/>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Společnost a zákazník se dohodli na zabezpečení ochrany objektu takto:</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CE59F0" w:rsidRDefault="004335EA">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b/>
          <w:i/>
          <w:color w:val="000000"/>
          <w:u w:val="single"/>
        </w:rPr>
        <w:t>V případě příjmu informace o narušení</w:t>
      </w:r>
      <w:r>
        <w:rPr>
          <w:rFonts w:ascii="Verdana" w:eastAsia="Verdana" w:hAnsi="Verdana" w:cs="Verdana"/>
          <w:color w:val="000000"/>
        </w:rPr>
        <w:t xml:space="preserve">  objektu zákazník vyžaduje, aby dispečer PCO:</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r>
        <w:rPr>
          <w:rFonts w:ascii="Verdana" w:eastAsia="Verdana" w:hAnsi="Verdana" w:cs="Verdana"/>
          <w:color w:val="000000"/>
        </w:rPr>
        <w:t>Vyslal na objekt zásahovou jednotku Společnosti a:</w:t>
      </w:r>
    </w:p>
    <w:p w:rsidR="00CE59F0" w:rsidRDefault="004335EA">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pracovník zásahové jednotky zajistil objekt do příchodu Policie</w:t>
      </w:r>
    </w:p>
    <w:p w:rsidR="00CE59F0" w:rsidRDefault="004335EA">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pracovník zásahové jednotky zajistil objekt do příchodu majitele nebo pověřené osoby</w:t>
      </w:r>
    </w:p>
    <w:p w:rsidR="00CE59F0" w:rsidRDefault="004335EA">
      <w:pPr>
        <w:numPr>
          <w:ilvl w:val="0"/>
          <w:numId w:val="2"/>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pracovník zásahové jednotky zjistil narušení objektu, toto nahlásil na dispečink / dispečer zavolá Policii/</w:t>
      </w:r>
      <w:r>
        <w:rPr>
          <w:rFonts w:ascii="Verdana" w:eastAsia="Verdana" w:hAnsi="Verdana" w:cs="Verdana"/>
          <w:color w:val="000000"/>
        </w:rPr>
        <w:t xml:space="preserve"> a odjel na základnu</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080"/>
        <w:jc w:val="both"/>
        <w:rPr>
          <w:rFonts w:ascii="Verdana" w:eastAsia="Verdana" w:hAnsi="Verdana" w:cs="Verdana"/>
          <w:color w:val="000000"/>
        </w:rPr>
      </w:pPr>
    </w:p>
    <w:p w:rsidR="00CE59F0" w:rsidRDefault="004335EA">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u w:val="single"/>
        </w:rPr>
      </w:pPr>
      <w:r>
        <w:rPr>
          <w:rFonts w:ascii="Verdana" w:eastAsia="Verdana" w:hAnsi="Verdana" w:cs="Verdana"/>
          <w:b/>
          <w:i/>
          <w:color w:val="000000"/>
          <w:u w:val="single"/>
        </w:rPr>
        <w:t>Zákazník  vyžaduje kontrolu zakódování objektu.</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rPr>
      </w:pPr>
    </w:p>
    <w:tbl>
      <w:tblPr>
        <w:tblStyle w:val="a"/>
        <w:tblW w:w="6855" w:type="dxa"/>
        <w:tblInd w:w="1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2533"/>
        <w:gridCol w:w="2552"/>
      </w:tblGrid>
      <w:tr w:rsidR="00CE59F0">
        <w:tc>
          <w:tcPr>
            <w:tcW w:w="1771" w:type="dxa"/>
          </w:tcPr>
          <w:p w:rsidR="00CE59F0" w:rsidRDefault="00CE59F0">
            <w:pPr>
              <w:pBdr>
                <w:top w:val="nil"/>
                <w:left w:val="nil"/>
                <w:bottom w:val="nil"/>
                <w:right w:val="nil"/>
                <w:between w:val="nil"/>
              </w:pBdr>
              <w:rPr>
                <w:rFonts w:ascii="Verdana" w:eastAsia="Verdana" w:hAnsi="Verdana" w:cs="Verdana"/>
                <w:color w:val="000000"/>
              </w:rPr>
            </w:pPr>
          </w:p>
        </w:tc>
        <w:tc>
          <w:tcPr>
            <w:tcW w:w="5085" w:type="dxa"/>
            <w:gridSpan w:val="2"/>
          </w:tcPr>
          <w:p w:rsidR="00CE59F0" w:rsidRDefault="004335EA">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Tolerance (+/ -)</w:t>
            </w:r>
          </w:p>
        </w:tc>
      </w:tr>
      <w:tr w:rsidR="00CE59F0">
        <w:tc>
          <w:tcPr>
            <w:tcW w:w="1771" w:type="dxa"/>
          </w:tcPr>
          <w:p w:rsidR="00CE59F0" w:rsidRDefault="00CE59F0">
            <w:pPr>
              <w:pBdr>
                <w:top w:val="nil"/>
                <w:left w:val="nil"/>
                <w:bottom w:val="nil"/>
                <w:right w:val="nil"/>
                <w:between w:val="nil"/>
              </w:pBdr>
              <w:rPr>
                <w:rFonts w:ascii="Verdana" w:eastAsia="Verdana" w:hAnsi="Verdana" w:cs="Verdana"/>
                <w:color w:val="000000"/>
              </w:rPr>
            </w:pPr>
          </w:p>
        </w:tc>
        <w:tc>
          <w:tcPr>
            <w:tcW w:w="2533" w:type="dxa"/>
          </w:tcPr>
          <w:p w:rsidR="00CE59F0" w:rsidRDefault="004335EA">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Od</w:t>
            </w:r>
          </w:p>
        </w:tc>
        <w:tc>
          <w:tcPr>
            <w:tcW w:w="2552" w:type="dxa"/>
          </w:tcPr>
          <w:p w:rsidR="00CE59F0" w:rsidRDefault="004335EA">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Do</w:t>
            </w:r>
          </w:p>
        </w:tc>
      </w:tr>
      <w:tr w:rsidR="00CE59F0">
        <w:tc>
          <w:tcPr>
            <w:tcW w:w="1771" w:type="dxa"/>
          </w:tcPr>
          <w:p w:rsidR="00CE59F0" w:rsidRDefault="004335EA">
            <w:pPr>
              <w:keepNext/>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Pondělí</w:t>
            </w:r>
          </w:p>
        </w:tc>
        <w:tc>
          <w:tcPr>
            <w:tcW w:w="2533" w:type="dxa"/>
          </w:tcPr>
          <w:p w:rsidR="00CE59F0" w:rsidRDefault="00CE59F0">
            <w:pPr>
              <w:pBdr>
                <w:top w:val="nil"/>
                <w:left w:val="nil"/>
                <w:bottom w:val="nil"/>
                <w:right w:val="nil"/>
                <w:between w:val="nil"/>
              </w:pBdr>
              <w:jc w:val="center"/>
              <w:rPr>
                <w:rFonts w:ascii="Verdana" w:eastAsia="Verdana" w:hAnsi="Verdana" w:cs="Verdana"/>
                <w:color w:val="000000"/>
              </w:rPr>
            </w:pPr>
          </w:p>
        </w:tc>
        <w:tc>
          <w:tcPr>
            <w:tcW w:w="2552" w:type="dxa"/>
          </w:tcPr>
          <w:p w:rsidR="00CE59F0" w:rsidRDefault="00CE59F0">
            <w:pPr>
              <w:pBdr>
                <w:top w:val="nil"/>
                <w:left w:val="nil"/>
                <w:bottom w:val="nil"/>
                <w:right w:val="nil"/>
                <w:between w:val="nil"/>
              </w:pBdr>
              <w:jc w:val="center"/>
              <w:rPr>
                <w:rFonts w:ascii="Verdana" w:eastAsia="Verdana" w:hAnsi="Verdana" w:cs="Verdana"/>
                <w:color w:val="000000"/>
              </w:rPr>
            </w:pPr>
          </w:p>
        </w:tc>
      </w:tr>
      <w:tr w:rsidR="00CE59F0">
        <w:tc>
          <w:tcPr>
            <w:tcW w:w="1771" w:type="dxa"/>
          </w:tcPr>
          <w:p w:rsidR="00CE59F0" w:rsidRDefault="004335EA">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Úterý</w:t>
            </w:r>
          </w:p>
        </w:tc>
        <w:tc>
          <w:tcPr>
            <w:tcW w:w="2533" w:type="dxa"/>
          </w:tcPr>
          <w:p w:rsidR="00CE59F0" w:rsidRDefault="00CE59F0">
            <w:pPr>
              <w:pBdr>
                <w:top w:val="nil"/>
                <w:left w:val="nil"/>
                <w:bottom w:val="nil"/>
                <w:right w:val="nil"/>
                <w:between w:val="nil"/>
              </w:pBdr>
              <w:jc w:val="center"/>
              <w:rPr>
                <w:rFonts w:ascii="Verdana" w:eastAsia="Verdana" w:hAnsi="Verdana" w:cs="Verdana"/>
                <w:color w:val="000000"/>
              </w:rPr>
            </w:pPr>
          </w:p>
        </w:tc>
        <w:tc>
          <w:tcPr>
            <w:tcW w:w="2552" w:type="dxa"/>
          </w:tcPr>
          <w:p w:rsidR="00CE59F0" w:rsidRDefault="00CE59F0">
            <w:pPr>
              <w:pBdr>
                <w:top w:val="nil"/>
                <w:left w:val="nil"/>
                <w:bottom w:val="nil"/>
                <w:right w:val="nil"/>
                <w:between w:val="nil"/>
              </w:pBdr>
              <w:jc w:val="center"/>
              <w:rPr>
                <w:rFonts w:ascii="Verdana" w:eastAsia="Verdana" w:hAnsi="Verdana" w:cs="Verdana"/>
                <w:color w:val="000000"/>
              </w:rPr>
            </w:pPr>
          </w:p>
        </w:tc>
      </w:tr>
      <w:tr w:rsidR="00CE59F0">
        <w:tc>
          <w:tcPr>
            <w:tcW w:w="1771" w:type="dxa"/>
          </w:tcPr>
          <w:p w:rsidR="00CE59F0" w:rsidRDefault="004335EA">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Středa</w:t>
            </w:r>
          </w:p>
        </w:tc>
        <w:tc>
          <w:tcPr>
            <w:tcW w:w="2533" w:type="dxa"/>
          </w:tcPr>
          <w:p w:rsidR="00CE59F0" w:rsidRDefault="00CE59F0">
            <w:pPr>
              <w:pBdr>
                <w:top w:val="nil"/>
                <w:left w:val="nil"/>
                <w:bottom w:val="nil"/>
                <w:right w:val="nil"/>
                <w:between w:val="nil"/>
              </w:pBdr>
              <w:jc w:val="center"/>
              <w:rPr>
                <w:rFonts w:ascii="Verdana" w:eastAsia="Verdana" w:hAnsi="Verdana" w:cs="Verdana"/>
                <w:color w:val="000000"/>
              </w:rPr>
            </w:pPr>
          </w:p>
        </w:tc>
        <w:tc>
          <w:tcPr>
            <w:tcW w:w="2552" w:type="dxa"/>
          </w:tcPr>
          <w:p w:rsidR="00CE59F0" w:rsidRDefault="00CE59F0">
            <w:pPr>
              <w:pBdr>
                <w:top w:val="nil"/>
                <w:left w:val="nil"/>
                <w:bottom w:val="nil"/>
                <w:right w:val="nil"/>
                <w:between w:val="nil"/>
              </w:pBdr>
              <w:jc w:val="center"/>
              <w:rPr>
                <w:rFonts w:ascii="Verdana" w:eastAsia="Verdana" w:hAnsi="Verdana" w:cs="Verdana"/>
                <w:color w:val="000000"/>
              </w:rPr>
            </w:pPr>
          </w:p>
        </w:tc>
      </w:tr>
      <w:tr w:rsidR="00CE59F0">
        <w:tc>
          <w:tcPr>
            <w:tcW w:w="1771" w:type="dxa"/>
          </w:tcPr>
          <w:p w:rsidR="00CE59F0" w:rsidRDefault="004335EA">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Čtvrtek</w:t>
            </w:r>
          </w:p>
        </w:tc>
        <w:tc>
          <w:tcPr>
            <w:tcW w:w="2533" w:type="dxa"/>
          </w:tcPr>
          <w:p w:rsidR="00CE59F0" w:rsidRDefault="00CE59F0">
            <w:pPr>
              <w:pBdr>
                <w:top w:val="nil"/>
                <w:left w:val="nil"/>
                <w:bottom w:val="nil"/>
                <w:right w:val="nil"/>
                <w:between w:val="nil"/>
              </w:pBdr>
              <w:jc w:val="center"/>
              <w:rPr>
                <w:rFonts w:ascii="Verdana" w:eastAsia="Verdana" w:hAnsi="Verdana" w:cs="Verdana"/>
                <w:color w:val="000000"/>
              </w:rPr>
            </w:pPr>
          </w:p>
        </w:tc>
        <w:tc>
          <w:tcPr>
            <w:tcW w:w="2552" w:type="dxa"/>
          </w:tcPr>
          <w:p w:rsidR="00CE59F0" w:rsidRDefault="00CE59F0">
            <w:pPr>
              <w:pBdr>
                <w:top w:val="nil"/>
                <w:left w:val="nil"/>
                <w:bottom w:val="nil"/>
                <w:right w:val="nil"/>
                <w:between w:val="nil"/>
              </w:pBdr>
              <w:jc w:val="center"/>
              <w:rPr>
                <w:rFonts w:ascii="Verdana" w:eastAsia="Verdana" w:hAnsi="Verdana" w:cs="Verdana"/>
                <w:color w:val="000000"/>
              </w:rPr>
            </w:pPr>
          </w:p>
        </w:tc>
      </w:tr>
      <w:tr w:rsidR="00CE59F0">
        <w:tc>
          <w:tcPr>
            <w:tcW w:w="1771" w:type="dxa"/>
          </w:tcPr>
          <w:p w:rsidR="00CE59F0" w:rsidRDefault="004335EA">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Pátek</w:t>
            </w:r>
          </w:p>
        </w:tc>
        <w:tc>
          <w:tcPr>
            <w:tcW w:w="2533" w:type="dxa"/>
          </w:tcPr>
          <w:p w:rsidR="00CE59F0" w:rsidRDefault="00CE59F0">
            <w:pPr>
              <w:pBdr>
                <w:top w:val="nil"/>
                <w:left w:val="nil"/>
                <w:bottom w:val="nil"/>
                <w:right w:val="nil"/>
                <w:between w:val="nil"/>
              </w:pBdr>
              <w:jc w:val="center"/>
              <w:rPr>
                <w:rFonts w:ascii="Verdana" w:eastAsia="Verdana" w:hAnsi="Verdana" w:cs="Verdana"/>
                <w:color w:val="000000"/>
              </w:rPr>
            </w:pPr>
          </w:p>
        </w:tc>
        <w:tc>
          <w:tcPr>
            <w:tcW w:w="2552" w:type="dxa"/>
          </w:tcPr>
          <w:p w:rsidR="00CE59F0" w:rsidRDefault="00CE59F0">
            <w:pPr>
              <w:pBdr>
                <w:top w:val="nil"/>
                <w:left w:val="nil"/>
                <w:bottom w:val="nil"/>
                <w:right w:val="nil"/>
                <w:between w:val="nil"/>
              </w:pBdr>
              <w:jc w:val="center"/>
              <w:rPr>
                <w:rFonts w:ascii="Verdana" w:eastAsia="Verdana" w:hAnsi="Verdana" w:cs="Verdana"/>
                <w:color w:val="000000"/>
              </w:rPr>
            </w:pPr>
          </w:p>
        </w:tc>
      </w:tr>
      <w:tr w:rsidR="00CE59F0">
        <w:tc>
          <w:tcPr>
            <w:tcW w:w="1771" w:type="dxa"/>
          </w:tcPr>
          <w:p w:rsidR="00CE59F0" w:rsidRDefault="004335EA">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Sobota</w:t>
            </w:r>
          </w:p>
        </w:tc>
        <w:tc>
          <w:tcPr>
            <w:tcW w:w="2533" w:type="dxa"/>
          </w:tcPr>
          <w:p w:rsidR="00CE59F0" w:rsidRDefault="00CE59F0">
            <w:pPr>
              <w:pBdr>
                <w:top w:val="nil"/>
                <w:left w:val="nil"/>
                <w:bottom w:val="nil"/>
                <w:right w:val="nil"/>
                <w:between w:val="nil"/>
              </w:pBdr>
              <w:jc w:val="center"/>
              <w:rPr>
                <w:rFonts w:ascii="Verdana" w:eastAsia="Verdana" w:hAnsi="Verdana" w:cs="Verdana"/>
                <w:color w:val="000000"/>
              </w:rPr>
            </w:pPr>
          </w:p>
        </w:tc>
        <w:tc>
          <w:tcPr>
            <w:tcW w:w="2552" w:type="dxa"/>
          </w:tcPr>
          <w:p w:rsidR="00CE59F0" w:rsidRDefault="00CE59F0">
            <w:pPr>
              <w:pBdr>
                <w:top w:val="nil"/>
                <w:left w:val="nil"/>
                <w:bottom w:val="nil"/>
                <w:right w:val="nil"/>
                <w:between w:val="nil"/>
              </w:pBdr>
              <w:jc w:val="center"/>
              <w:rPr>
                <w:rFonts w:ascii="Verdana" w:eastAsia="Verdana" w:hAnsi="Verdana" w:cs="Verdana"/>
                <w:color w:val="000000"/>
              </w:rPr>
            </w:pPr>
          </w:p>
        </w:tc>
      </w:tr>
      <w:tr w:rsidR="00CE59F0">
        <w:tc>
          <w:tcPr>
            <w:tcW w:w="1771" w:type="dxa"/>
          </w:tcPr>
          <w:p w:rsidR="00CE59F0" w:rsidRDefault="004335EA">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Neděle</w:t>
            </w:r>
          </w:p>
        </w:tc>
        <w:tc>
          <w:tcPr>
            <w:tcW w:w="2533" w:type="dxa"/>
          </w:tcPr>
          <w:p w:rsidR="00CE59F0" w:rsidRDefault="00CE59F0">
            <w:pPr>
              <w:pBdr>
                <w:top w:val="nil"/>
                <w:left w:val="nil"/>
                <w:bottom w:val="nil"/>
                <w:right w:val="nil"/>
                <w:between w:val="nil"/>
              </w:pBdr>
              <w:jc w:val="center"/>
              <w:rPr>
                <w:rFonts w:ascii="Verdana" w:eastAsia="Verdana" w:hAnsi="Verdana" w:cs="Verdana"/>
                <w:color w:val="000000"/>
              </w:rPr>
            </w:pPr>
          </w:p>
        </w:tc>
        <w:tc>
          <w:tcPr>
            <w:tcW w:w="2552" w:type="dxa"/>
          </w:tcPr>
          <w:p w:rsidR="00CE59F0" w:rsidRDefault="00CE59F0">
            <w:pPr>
              <w:pBdr>
                <w:top w:val="nil"/>
                <w:left w:val="nil"/>
                <w:bottom w:val="nil"/>
                <w:right w:val="nil"/>
                <w:between w:val="nil"/>
              </w:pBdr>
              <w:jc w:val="center"/>
              <w:rPr>
                <w:rFonts w:ascii="Verdana" w:eastAsia="Verdana" w:hAnsi="Verdana" w:cs="Verdana"/>
                <w:color w:val="000000"/>
              </w:rPr>
            </w:pPr>
          </w:p>
        </w:tc>
      </w:tr>
    </w:tbl>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r>
        <w:rPr>
          <w:rFonts w:ascii="Verdana" w:eastAsia="Verdana" w:hAnsi="Verdana" w:cs="Verdana"/>
          <w:color w:val="000000"/>
        </w:rPr>
        <w:t>Pokud nebude záznam o opuštění objektu na monitorovacím zařízení PCO v určeném čase, zajistí pracovníci společnosti:</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jc w:val="both"/>
        <w:rPr>
          <w:rFonts w:ascii="Verdana" w:eastAsia="Verdana" w:hAnsi="Verdana" w:cs="Verdana"/>
          <w:color w:val="000000"/>
        </w:rPr>
      </w:pPr>
    </w:p>
    <w:p w:rsidR="00CE59F0" w:rsidRDefault="004335EA">
      <w:pPr>
        <w:numPr>
          <w:ilvl w:val="1"/>
          <w:numId w:val="3"/>
        </w:numPr>
        <w:pBdr>
          <w:top w:val="nil"/>
          <w:left w:val="nil"/>
          <w:bottom w:val="nil"/>
          <w:right w:val="nil"/>
          <w:between w:val="nil"/>
        </w:pBdr>
        <w:spacing w:line="276" w:lineRule="auto"/>
        <w:jc w:val="both"/>
        <w:rPr>
          <w:rFonts w:ascii="Verdana" w:eastAsia="Verdana" w:hAnsi="Verdana" w:cs="Verdana"/>
          <w:color w:val="000000"/>
        </w:rPr>
      </w:pPr>
      <w:r>
        <w:rPr>
          <w:rFonts w:ascii="Verdana" w:eastAsia="Verdana" w:hAnsi="Verdana" w:cs="Verdana"/>
          <w:color w:val="000000"/>
        </w:rPr>
        <w:t>Telefonické prověření přítomnosti osob ve střeženém objektu na telefonním čísle (číslech):</w:t>
      </w:r>
    </w:p>
    <w:p w:rsidR="00CE59F0" w:rsidRDefault="004335EA">
      <w:pPr>
        <w:pBdr>
          <w:top w:val="nil"/>
          <w:left w:val="nil"/>
          <w:bottom w:val="nil"/>
          <w:right w:val="nil"/>
          <w:between w:val="nil"/>
        </w:pBdr>
        <w:spacing w:line="276" w:lineRule="auto"/>
        <w:ind w:left="1418"/>
        <w:jc w:val="both"/>
        <w:rPr>
          <w:rFonts w:ascii="Verdana" w:eastAsia="Verdana" w:hAnsi="Verdana" w:cs="Verdana"/>
          <w:color w:val="000000"/>
        </w:rPr>
      </w:pPr>
      <w:r>
        <w:rPr>
          <w:rFonts w:ascii="Verdana" w:eastAsia="Verdana" w:hAnsi="Verdana" w:cs="Verdana"/>
          <w:color w:val="000000"/>
        </w:rPr>
        <w:t>_________________________________________________________________</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800"/>
        </w:tabs>
        <w:spacing w:line="276" w:lineRule="auto"/>
        <w:ind w:left="1440"/>
        <w:jc w:val="both"/>
        <w:rPr>
          <w:rFonts w:ascii="Verdana" w:eastAsia="Verdana" w:hAnsi="Verdana" w:cs="Verdana"/>
          <w:color w:val="000000"/>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800"/>
        </w:tabs>
        <w:spacing w:line="276" w:lineRule="auto"/>
        <w:ind w:left="1440"/>
        <w:jc w:val="both"/>
        <w:rPr>
          <w:rFonts w:ascii="Verdana" w:eastAsia="Verdana" w:hAnsi="Verdana" w:cs="Verdana"/>
          <w:color w:val="000000"/>
        </w:rPr>
      </w:pPr>
      <w:r>
        <w:rPr>
          <w:rFonts w:ascii="Verdana" w:eastAsia="Verdana" w:hAnsi="Verdana" w:cs="Verdana"/>
          <w:color w:val="000000"/>
        </w:rPr>
        <w:t xml:space="preserve">Jména osob, oprávněných k pobytu v objektu v mimopracovní době: </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800"/>
        </w:tabs>
        <w:spacing w:line="276" w:lineRule="auto"/>
        <w:jc w:val="both"/>
        <w:rPr>
          <w:rFonts w:ascii="Verdana" w:eastAsia="Verdana" w:hAnsi="Verdana" w:cs="Verdana"/>
          <w:color w:val="000000"/>
        </w:rPr>
      </w:pPr>
      <w:r>
        <w:rPr>
          <w:rFonts w:ascii="Verdana" w:eastAsia="Verdana" w:hAnsi="Verdana" w:cs="Verdana"/>
          <w:color w:val="000000"/>
        </w:rPr>
        <w:t xml:space="preserve">                   _________________________________________________________________</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800"/>
        </w:tabs>
        <w:spacing w:line="276" w:lineRule="auto"/>
        <w:ind w:left="1440"/>
        <w:jc w:val="both"/>
        <w:rPr>
          <w:rFonts w:ascii="Verdana" w:eastAsia="Verdana" w:hAnsi="Verdana" w:cs="Verdana"/>
          <w:color w:val="000000"/>
        </w:rPr>
      </w:pPr>
      <w:r>
        <w:rPr>
          <w:rFonts w:ascii="Verdana" w:eastAsia="Verdana" w:hAnsi="Verdana" w:cs="Verdana"/>
          <w:color w:val="000000"/>
        </w:rPr>
        <w:t>_________________________________________________________________</w:t>
      </w:r>
    </w:p>
    <w:p w:rsidR="00CE59F0" w:rsidRDefault="004335EA">
      <w:pPr>
        <w:numPr>
          <w:ilvl w:val="1"/>
          <w:numId w:val="3"/>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Nebude-li v objektu nikdo přítomen, bude okamžitě informována odpovědná osoba, která rozhodne další postup. </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32" w:firstLine="720"/>
        <w:jc w:val="both"/>
        <w:rPr>
          <w:rFonts w:ascii="Verdana" w:eastAsia="Verdana" w:hAnsi="Verdana" w:cs="Verdana"/>
          <w:color w:val="000000"/>
        </w:rPr>
      </w:pPr>
    </w:p>
    <w:p w:rsidR="00CE59F0" w:rsidRDefault="004335EA">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u w:val="single"/>
        </w:rPr>
      </w:pPr>
      <w:r>
        <w:rPr>
          <w:rFonts w:ascii="Verdana" w:eastAsia="Verdana" w:hAnsi="Verdana" w:cs="Verdana"/>
          <w:b/>
          <w:i/>
          <w:color w:val="000000"/>
          <w:u w:val="single"/>
        </w:rPr>
        <w:t xml:space="preserve">Zákazník </w:t>
      </w:r>
      <w:r>
        <w:rPr>
          <w:rFonts w:ascii="Verdana" w:eastAsia="Verdana" w:hAnsi="Verdana" w:cs="Verdana"/>
          <w:i/>
          <w:color w:val="000000"/>
          <w:u w:val="single"/>
        </w:rPr>
        <w:t xml:space="preserve">vyžaduje – nevyžaduje </w:t>
      </w:r>
      <w:r>
        <w:rPr>
          <w:rFonts w:ascii="Verdana" w:eastAsia="Verdana" w:hAnsi="Verdana" w:cs="Verdana"/>
          <w:b/>
          <w:i/>
          <w:color w:val="000000"/>
          <w:u w:val="single"/>
        </w:rPr>
        <w:t>kontrolu</w:t>
      </w:r>
      <w:r>
        <w:rPr>
          <w:rFonts w:ascii="Verdana" w:eastAsia="Verdana" w:hAnsi="Verdana" w:cs="Verdana"/>
          <w:color w:val="000000"/>
        </w:rPr>
        <w:t xml:space="preserve"> oprávněnosti vstupu do objektu v mimopracovní době.</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rPr>
      </w:pPr>
      <w:r>
        <w:rPr>
          <w:rFonts w:ascii="Verdana" w:eastAsia="Verdana" w:hAnsi="Verdana" w:cs="Verdana"/>
          <w:color w:val="000000"/>
        </w:rPr>
        <w:t xml:space="preserve"> Oprávnění ke vstupu do objektu v mimopracovní době mají tyto osoby :</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u w:val="single"/>
        </w:rPr>
      </w:pPr>
      <w:r>
        <w:rPr>
          <w:rFonts w:ascii="Verdana" w:eastAsia="Verdana" w:hAnsi="Verdana" w:cs="Verdana"/>
          <w:b/>
          <w:i/>
          <w:color w:val="000000"/>
          <w:u w:val="single"/>
        </w:rPr>
        <w:t>jméno</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                   </w:t>
      </w:r>
      <w:r>
        <w:rPr>
          <w:rFonts w:ascii="Verdana" w:eastAsia="Verdana" w:hAnsi="Verdana" w:cs="Verdana"/>
          <w:b/>
          <w:i/>
          <w:color w:val="000000"/>
          <w:u w:val="single"/>
        </w:rPr>
        <w:t>pořadové číslo vstupních kódů</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u w:val="single"/>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rPr>
      </w:pPr>
      <w:r>
        <w:rPr>
          <w:rFonts w:ascii="Verdana" w:eastAsia="Verdana" w:hAnsi="Verdana" w:cs="Verdana"/>
          <w:color w:val="000000"/>
        </w:rPr>
        <w:t>--------------------------------------------------------------------------------------------</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rPr>
      </w:pPr>
      <w:r>
        <w:rPr>
          <w:rFonts w:ascii="Verdana" w:eastAsia="Verdana" w:hAnsi="Verdana" w:cs="Verdana"/>
          <w:color w:val="000000"/>
        </w:rPr>
        <w:t>--------------------------------------------------------------------------------------------</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rPr>
      </w:pPr>
      <w:r>
        <w:rPr>
          <w:rFonts w:ascii="Verdana" w:eastAsia="Verdana" w:hAnsi="Verdana" w:cs="Verdana"/>
          <w:color w:val="000000"/>
        </w:rPr>
        <w:t>----------------------------------------------------------------------</w:t>
      </w:r>
      <w:r>
        <w:rPr>
          <w:rFonts w:ascii="Verdana" w:eastAsia="Verdana" w:hAnsi="Verdana" w:cs="Verdana"/>
          <w:color w:val="000000"/>
        </w:rPr>
        <w:t>----------------------</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rPr>
      </w:pPr>
      <w:r>
        <w:rPr>
          <w:rFonts w:ascii="Verdana" w:eastAsia="Verdana" w:hAnsi="Verdana" w:cs="Verdana"/>
          <w:color w:val="000000"/>
        </w:rPr>
        <w:t>Vstup v mimopracovní době je nutno telefonicky ověřit kódovým heslem:</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32" w:firstLine="1008"/>
        <w:jc w:val="both"/>
        <w:rPr>
          <w:rFonts w:ascii="Verdana" w:eastAsia="Verdana" w:hAnsi="Verdana" w:cs="Verdana"/>
          <w:color w:val="000000"/>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432" w:firstLine="1008"/>
        <w:jc w:val="both"/>
        <w:rPr>
          <w:rFonts w:ascii="Verdana" w:eastAsia="Verdana" w:hAnsi="Verdana" w:cs="Verdana"/>
          <w:color w:val="000000"/>
        </w:rPr>
      </w:pPr>
      <w:r>
        <w:rPr>
          <w:rFonts w:ascii="Verdana" w:eastAsia="Verdana" w:hAnsi="Verdana" w:cs="Verdana"/>
          <w:color w:val="000000"/>
        </w:rPr>
        <w:t>-------------------------------------------------------------------------------------------</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440"/>
        </w:tabs>
        <w:spacing w:line="276" w:lineRule="auto"/>
        <w:ind w:left="1440"/>
        <w:jc w:val="both"/>
        <w:rPr>
          <w:rFonts w:ascii="Verdana" w:eastAsia="Verdana" w:hAnsi="Verdana" w:cs="Verdana"/>
          <w:color w:val="000000"/>
        </w:rPr>
      </w:pPr>
      <w:r>
        <w:rPr>
          <w:rFonts w:ascii="Verdana" w:eastAsia="Verdana" w:hAnsi="Verdana" w:cs="Verdana"/>
          <w:b/>
          <w:color w:val="000000"/>
          <w:u w:val="single"/>
        </w:rPr>
        <w:t>Při neznalosti hesla nebo při nedosažení spojení</w:t>
      </w:r>
      <w:r>
        <w:rPr>
          <w:rFonts w:ascii="Verdana" w:eastAsia="Verdana" w:hAnsi="Verdana" w:cs="Verdana"/>
          <w:color w:val="000000"/>
        </w:rPr>
        <w:t xml:space="preserve"> s objektem bude postupováno jako při narušení objektu.</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440"/>
        </w:tabs>
        <w:spacing w:line="276" w:lineRule="auto"/>
        <w:ind w:left="1440"/>
        <w:jc w:val="both"/>
        <w:rPr>
          <w:rFonts w:ascii="Verdana" w:eastAsia="Verdana" w:hAnsi="Verdana" w:cs="Verdana"/>
          <w:color w:val="000000"/>
        </w:rPr>
      </w:pPr>
    </w:p>
    <w:p w:rsidR="00CE59F0" w:rsidRDefault="004335EA">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709"/>
        </w:tabs>
        <w:spacing w:line="276" w:lineRule="auto"/>
        <w:jc w:val="both"/>
        <w:rPr>
          <w:rFonts w:ascii="Verdana" w:eastAsia="Verdana" w:hAnsi="Verdana" w:cs="Verdana"/>
          <w:color w:val="000000"/>
        </w:rPr>
      </w:pPr>
      <w:r>
        <w:rPr>
          <w:rFonts w:ascii="Verdana" w:eastAsia="Verdana" w:hAnsi="Verdana" w:cs="Verdana"/>
          <w:color w:val="000000"/>
        </w:rPr>
        <w:t>Jestliže odpovědná osoba nebude po dobu třiceti minut dosažitelná, zákazník:</w:t>
      </w:r>
    </w:p>
    <w:p w:rsidR="00CE59F0" w:rsidRDefault="004335EA">
      <w:pPr>
        <w:numPr>
          <w:ilvl w:val="0"/>
          <w:numId w:val="4"/>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 xml:space="preserve"> Souhlasí </w:t>
      </w:r>
    </w:p>
    <w:p w:rsidR="00CE59F0" w:rsidRDefault="004335EA">
      <w:pPr>
        <w:numPr>
          <w:ilvl w:val="0"/>
          <w:numId w:val="4"/>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color w:val="000000"/>
        </w:rPr>
      </w:pPr>
      <w:r>
        <w:rPr>
          <w:rFonts w:ascii="Verdana" w:eastAsia="Verdana" w:hAnsi="Verdana" w:cs="Verdana"/>
          <w:color w:val="000000"/>
        </w:rPr>
        <w:t xml:space="preserve"> Nesouhlasí   s tím, aby byla přijata tato opatření:</w:t>
      </w:r>
      <w:r>
        <w:rPr>
          <w:rFonts w:ascii="Verdana" w:eastAsia="Verdana" w:hAnsi="Verdana" w:cs="Verdana"/>
          <w:color w:val="000000"/>
        </w:rPr>
        <w:tab/>
        <w:t xml:space="preserve">      </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134"/>
        <w:jc w:val="both"/>
        <w:rPr>
          <w:rFonts w:ascii="Verdana" w:eastAsia="Verdana" w:hAnsi="Verdana" w:cs="Verdana"/>
          <w:color w:val="000000"/>
        </w:rPr>
      </w:pPr>
      <w:r>
        <w:rPr>
          <w:rFonts w:ascii="Verdana" w:eastAsia="Verdana" w:hAnsi="Verdana" w:cs="Verdana"/>
          <w:b/>
          <w:color w:val="000000"/>
          <w:u w:val="single"/>
        </w:rPr>
        <w:t>Pokud objekt není fyzicky narušen</w:t>
      </w:r>
      <w:r>
        <w:rPr>
          <w:rFonts w:ascii="Verdana" w:eastAsia="Verdana" w:hAnsi="Verdana" w:cs="Verdana"/>
          <w:color w:val="000000"/>
        </w:rPr>
        <w:t>, ale bylo zjištěno, že bezpečnostní systém není funkční, případně byla pro technickou závadu odpojena ze systému PCO, bude prováděna fyzická kontrola objektu (dohlídky)  1x za hodinu, bez písemné objednávky až do doby, než dojde k dohodě s kontaktní osobo</w:t>
      </w:r>
      <w:r>
        <w:rPr>
          <w:rFonts w:ascii="Verdana" w:eastAsia="Verdana" w:hAnsi="Verdana" w:cs="Verdana"/>
          <w:color w:val="000000"/>
        </w:rPr>
        <w:t>u na počtu dohlídek.  Za tuto službu bude účtováno 200,- Kč za každou dohlídku až do dosažení kontaktní osoby.</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851"/>
        <w:jc w:val="both"/>
        <w:rPr>
          <w:rFonts w:ascii="Verdana" w:eastAsia="Verdana" w:hAnsi="Verdana" w:cs="Verdana"/>
          <w:color w:val="000000"/>
          <w:u w:val="single"/>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851"/>
        <w:jc w:val="both"/>
        <w:rPr>
          <w:rFonts w:ascii="Verdana" w:eastAsia="Verdana" w:hAnsi="Verdana" w:cs="Verdana"/>
          <w:color w:val="000000"/>
        </w:rPr>
      </w:pPr>
      <w:r>
        <w:rPr>
          <w:rFonts w:ascii="Verdana" w:eastAsia="Verdana" w:hAnsi="Verdana" w:cs="Verdana"/>
          <w:b/>
          <w:color w:val="000000"/>
          <w:u w:val="single"/>
        </w:rPr>
        <w:t>V případě fyzického narušení objektu</w:t>
      </w:r>
      <w:r>
        <w:rPr>
          <w:rFonts w:ascii="Verdana" w:eastAsia="Verdana" w:hAnsi="Verdana" w:cs="Verdana"/>
          <w:color w:val="000000"/>
        </w:rPr>
        <w:t xml:space="preserve"> bude okamžitě vyrozuměna kontaktní osoba a zároveň bude </w:t>
      </w:r>
      <w:r>
        <w:rPr>
          <w:rFonts w:ascii="Verdana" w:eastAsia="Verdana" w:hAnsi="Verdana" w:cs="Verdana"/>
          <w:color w:val="000000"/>
          <w:u w:val="single"/>
        </w:rPr>
        <w:t>objekt zajištěn proti dalšímu narušení a střežen do</w:t>
      </w:r>
      <w:r>
        <w:rPr>
          <w:rFonts w:ascii="Verdana" w:eastAsia="Verdana" w:hAnsi="Verdana" w:cs="Verdana"/>
          <w:color w:val="000000"/>
          <w:u w:val="single"/>
        </w:rPr>
        <w:t>hlídkami</w:t>
      </w:r>
      <w:r>
        <w:rPr>
          <w:rFonts w:ascii="Verdana" w:eastAsia="Verdana" w:hAnsi="Verdana" w:cs="Verdana"/>
          <w:color w:val="000000"/>
        </w:rPr>
        <w:t>, a to až do příchodu kontaktní osoby. Za tuto službu bude účtováno 200,- Kč za každou dohlídku.</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851"/>
        <w:jc w:val="both"/>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851"/>
        <w:jc w:val="both"/>
        <w:rPr>
          <w:rFonts w:ascii="Verdana" w:eastAsia="Verdana" w:hAnsi="Verdana" w:cs="Verdana"/>
          <w:color w:val="000000"/>
        </w:rPr>
      </w:pPr>
    </w:p>
    <w:p w:rsidR="00CE59F0" w:rsidRDefault="004335EA">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851"/>
        </w:tabs>
        <w:spacing w:line="276" w:lineRule="auto"/>
        <w:jc w:val="both"/>
        <w:rPr>
          <w:rFonts w:ascii="Verdana" w:eastAsia="Verdana" w:hAnsi="Verdana" w:cs="Verdana"/>
          <w:color w:val="000000"/>
        </w:rPr>
      </w:pPr>
      <w:r>
        <w:rPr>
          <w:rFonts w:ascii="Verdana" w:eastAsia="Verdana" w:hAnsi="Verdana" w:cs="Verdana"/>
          <w:b/>
          <w:color w:val="000000"/>
          <w:u w:val="single"/>
        </w:rPr>
        <w:t>Zákazník souhlasí s tím</w:t>
      </w:r>
      <w:r>
        <w:rPr>
          <w:rFonts w:ascii="Verdana" w:eastAsia="Verdana" w:hAnsi="Verdana" w:cs="Verdana"/>
          <w:color w:val="000000"/>
        </w:rPr>
        <w:t>, aby při vzniku objektivních důvodů k provedení vnitřní kontroly objektu vstoupili pověření pracovníci společnosti do objektu za těchto podmínek:</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851"/>
        </w:tabs>
        <w:spacing w:line="276" w:lineRule="auto"/>
        <w:jc w:val="both"/>
        <w:rPr>
          <w:rFonts w:ascii="Verdana" w:eastAsia="Verdana" w:hAnsi="Verdana" w:cs="Verdana"/>
          <w:color w:val="000000"/>
        </w:rPr>
      </w:pPr>
    </w:p>
    <w:p w:rsidR="00CE59F0" w:rsidRDefault="004335EA">
      <w:pPr>
        <w:numPr>
          <w:ilvl w:val="1"/>
          <w:numId w:val="5"/>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u w:val="single"/>
        </w:rPr>
      </w:pPr>
      <w:r>
        <w:rPr>
          <w:rFonts w:ascii="Verdana" w:eastAsia="Verdana" w:hAnsi="Verdana" w:cs="Verdana"/>
          <w:color w:val="000000"/>
        </w:rPr>
        <w:t xml:space="preserve">Při opakované signalizaci bezpečnostního systému na PCO nebo při signálu ve více zónách, bude okamžitě informována odpovědná osoba, která společně se zásahovou jednotkou prověří objekt; </w:t>
      </w:r>
      <w:r>
        <w:rPr>
          <w:rFonts w:ascii="Verdana" w:eastAsia="Verdana" w:hAnsi="Verdana" w:cs="Verdana"/>
          <w:i/>
          <w:color w:val="000000"/>
          <w:u w:val="single"/>
        </w:rPr>
        <w:t>pracovníci společnosti nevstoupí do objektu bez souhlasu odpovědné oso</w:t>
      </w:r>
      <w:r>
        <w:rPr>
          <w:rFonts w:ascii="Verdana" w:eastAsia="Verdana" w:hAnsi="Verdana" w:cs="Verdana"/>
          <w:i/>
          <w:color w:val="000000"/>
          <w:u w:val="single"/>
        </w:rPr>
        <w:t>by.</w:t>
      </w:r>
    </w:p>
    <w:p w:rsidR="00CE59F0" w:rsidRDefault="004335EA">
      <w:pPr>
        <w:numPr>
          <w:ilvl w:val="1"/>
          <w:numId w:val="5"/>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Při opakované signalizaci bezpečnostního systému na PCO objektu smějí pracovníci společnosti vstoupit do objektu, případně použít svěřené klíče. Stejný postup bude uplatněn i bez zjištění fyzického narušení pláště objektu, pokud zprávy bezpečnostního s</w:t>
      </w:r>
      <w:r>
        <w:rPr>
          <w:rFonts w:ascii="Verdana" w:eastAsia="Verdana" w:hAnsi="Verdana" w:cs="Verdana"/>
          <w:color w:val="000000"/>
        </w:rPr>
        <w:t xml:space="preserve">ystému objektu dávají reálný předpoklad pohybu ve střežených zónách. </w:t>
      </w:r>
      <w:r>
        <w:rPr>
          <w:rFonts w:ascii="Verdana" w:eastAsia="Verdana" w:hAnsi="Verdana" w:cs="Verdana"/>
          <w:i/>
          <w:color w:val="000000"/>
          <w:u w:val="single"/>
        </w:rPr>
        <w:t>O vstupu do objektu nebo použití klíčů bude okamžitě informována odpovědná osoba Zákazníka</w:t>
      </w:r>
      <w:r>
        <w:rPr>
          <w:rFonts w:ascii="Verdana" w:eastAsia="Verdana" w:hAnsi="Verdana" w:cs="Verdana"/>
          <w:color w:val="000000"/>
        </w:rPr>
        <w:t>.</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440"/>
        <w:jc w:val="both"/>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851"/>
        </w:tabs>
        <w:spacing w:line="276" w:lineRule="auto"/>
        <w:ind w:left="432" w:firstLine="720"/>
        <w:jc w:val="both"/>
        <w:rPr>
          <w:rFonts w:ascii="Verdana" w:eastAsia="Verdana" w:hAnsi="Verdana" w:cs="Verdana"/>
          <w:color w:val="000000"/>
        </w:rPr>
      </w:pPr>
    </w:p>
    <w:p w:rsidR="00CE59F0" w:rsidRDefault="004335EA">
      <w:pPr>
        <w:numPr>
          <w:ilvl w:val="0"/>
          <w:numId w:val="1"/>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851"/>
        </w:tabs>
        <w:spacing w:line="276" w:lineRule="auto"/>
        <w:jc w:val="both"/>
        <w:rPr>
          <w:rFonts w:ascii="Verdana" w:eastAsia="Verdana" w:hAnsi="Verdana" w:cs="Verdana"/>
          <w:color w:val="000000"/>
        </w:rPr>
      </w:pPr>
      <w:r>
        <w:rPr>
          <w:rFonts w:ascii="Verdana" w:eastAsia="Verdana" w:hAnsi="Verdana" w:cs="Verdana"/>
          <w:b/>
          <w:color w:val="000000"/>
          <w:u w:val="single"/>
        </w:rPr>
        <w:t xml:space="preserve">Při neúmyslném vyvolání poplachového stavu </w:t>
      </w:r>
      <w:r>
        <w:rPr>
          <w:rFonts w:ascii="Verdana" w:eastAsia="Verdana" w:hAnsi="Verdana" w:cs="Verdana"/>
          <w:color w:val="000000"/>
        </w:rPr>
        <w:t>v objektu musí Zákazník postupovat následujícím způsobem:</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851"/>
        </w:tabs>
        <w:spacing w:line="276" w:lineRule="auto"/>
        <w:ind w:left="750"/>
        <w:jc w:val="both"/>
        <w:rPr>
          <w:rFonts w:ascii="Verdana" w:eastAsia="Verdana" w:hAnsi="Verdana" w:cs="Verdana"/>
          <w:color w:val="000000"/>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851"/>
        </w:tabs>
        <w:spacing w:line="276" w:lineRule="auto"/>
        <w:ind w:left="1560" w:hanging="425"/>
        <w:jc w:val="both"/>
        <w:rPr>
          <w:rFonts w:ascii="Verdana" w:eastAsia="Verdana" w:hAnsi="Verdana" w:cs="Verdana"/>
          <w:color w:val="800080"/>
        </w:rPr>
      </w:pPr>
      <w:r>
        <w:rPr>
          <w:rFonts w:ascii="Verdana" w:eastAsia="Verdana" w:hAnsi="Verdana" w:cs="Verdana"/>
          <w:color w:val="000000"/>
        </w:rPr>
        <w:t xml:space="preserve">a. </w:t>
      </w:r>
      <w:r>
        <w:rPr>
          <w:rFonts w:ascii="Verdana" w:eastAsia="Verdana" w:hAnsi="Verdana" w:cs="Verdana"/>
          <w:b/>
          <w:i/>
          <w:color w:val="000000"/>
          <w:u w:val="single"/>
        </w:rPr>
        <w:t xml:space="preserve">Při neúmyslném aktivování tísňového tlačítka není možné odvolat </w:t>
      </w:r>
      <w:r>
        <w:rPr>
          <w:rFonts w:ascii="Verdana" w:eastAsia="Verdana" w:hAnsi="Verdana" w:cs="Verdana"/>
          <w:color w:val="000000"/>
          <w:u w:val="single"/>
        </w:rPr>
        <w:t>zásahovou jednotku, ale je možné okamžitě informovat dispečink Společnosti</w:t>
      </w:r>
      <w:r>
        <w:rPr>
          <w:rFonts w:ascii="Verdana" w:eastAsia="Verdana" w:hAnsi="Verdana" w:cs="Verdana"/>
          <w:color w:val="000000"/>
        </w:rPr>
        <w:t xml:space="preserve"> na telefonním čísle </w:t>
      </w:r>
      <w:r w:rsidRPr="004335EA">
        <w:rPr>
          <w:rFonts w:ascii="Verdana" w:eastAsia="Verdana" w:hAnsi="Verdana" w:cs="Verdana"/>
          <w:color w:val="000000"/>
          <w:highlight w:val="black"/>
        </w:rPr>
        <w:t xml:space="preserve">483 316 055-6, </w:t>
      </w:r>
      <w:r w:rsidRPr="004335EA">
        <w:rPr>
          <w:rFonts w:ascii="Verdana" w:eastAsia="Verdana" w:hAnsi="Verdana" w:cs="Verdana"/>
          <w:b/>
          <w:color w:val="000000"/>
          <w:highlight w:val="black"/>
        </w:rPr>
        <w:t>777 345 470</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851"/>
        </w:tabs>
        <w:spacing w:line="276" w:lineRule="auto"/>
        <w:ind w:left="1560" w:hanging="425"/>
        <w:jc w:val="both"/>
        <w:rPr>
          <w:rFonts w:ascii="Verdana" w:eastAsia="Verdana" w:hAnsi="Verdana" w:cs="Verdana"/>
          <w:color w:val="000000"/>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418"/>
        </w:tabs>
        <w:spacing w:line="276" w:lineRule="auto"/>
        <w:ind w:left="1560" w:hanging="480"/>
        <w:jc w:val="both"/>
        <w:rPr>
          <w:rFonts w:ascii="Verdana" w:eastAsia="Verdana" w:hAnsi="Verdana" w:cs="Verdana"/>
          <w:color w:val="000000"/>
        </w:rPr>
      </w:pPr>
      <w:r>
        <w:rPr>
          <w:rFonts w:ascii="Verdana" w:eastAsia="Verdana" w:hAnsi="Verdana" w:cs="Verdana"/>
          <w:color w:val="000000"/>
        </w:rPr>
        <w:t xml:space="preserve">b. Při neúmyslném vstupu do zakódovaného objektu a následné aktivaci čidel bezpečnostního systému je nutné především vložit do systému regulérní vstupní kód a teprve potom případně informovat dispečink PCO na telefonním čísle </w:t>
      </w:r>
      <w:r w:rsidRPr="004335EA">
        <w:rPr>
          <w:rFonts w:ascii="Verdana" w:eastAsia="Verdana" w:hAnsi="Verdana" w:cs="Verdana"/>
          <w:color w:val="000000"/>
          <w:highlight w:val="black"/>
        </w:rPr>
        <w:t xml:space="preserve">483 316 055-6, </w:t>
      </w:r>
      <w:r w:rsidRPr="004335EA">
        <w:rPr>
          <w:rFonts w:ascii="Verdana" w:eastAsia="Verdana" w:hAnsi="Verdana" w:cs="Verdana"/>
          <w:b/>
          <w:color w:val="000000"/>
          <w:highlight w:val="black"/>
        </w:rPr>
        <w:t>777 345 470</w:t>
      </w:r>
      <w:r>
        <w:rPr>
          <w:rFonts w:ascii="Verdana" w:eastAsia="Verdana" w:hAnsi="Verdana" w:cs="Verdana"/>
          <w:b/>
          <w:color w:val="FF0000"/>
        </w:rPr>
        <w:t xml:space="preserve"> </w:t>
      </w:r>
      <w:r>
        <w:rPr>
          <w:rFonts w:ascii="Verdana" w:eastAsia="Verdana" w:hAnsi="Verdana" w:cs="Verdana"/>
          <w:color w:val="000000"/>
        </w:rPr>
        <w:t>o o</w:t>
      </w:r>
      <w:r>
        <w:rPr>
          <w:rFonts w:ascii="Verdana" w:eastAsia="Verdana" w:hAnsi="Verdana" w:cs="Verdana"/>
          <w:color w:val="000000"/>
        </w:rPr>
        <w:t>dvolání poplachu. Bez vložení vstupního kódu bude telefonické odvolání poplachu dispečerem PCO ignorováno.</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418"/>
        </w:tabs>
        <w:spacing w:line="276" w:lineRule="auto"/>
        <w:ind w:left="1080"/>
        <w:jc w:val="both"/>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418"/>
        </w:tabs>
        <w:spacing w:line="276" w:lineRule="auto"/>
        <w:ind w:left="1080"/>
        <w:jc w:val="both"/>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 w:val="left" w:pos="1418"/>
        </w:tabs>
        <w:spacing w:line="276" w:lineRule="auto"/>
        <w:ind w:left="1080"/>
        <w:jc w:val="both"/>
        <w:rPr>
          <w:rFonts w:ascii="Verdana" w:eastAsia="Verdana" w:hAnsi="Verdana" w:cs="Verdana"/>
          <w:color w:val="000000"/>
        </w:rPr>
      </w:pPr>
      <w:bookmarkStart w:id="0" w:name="_gjdgxs" w:colFirst="0" w:colLast="0"/>
      <w:bookmarkEnd w:id="0"/>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b/>
          <w:color w:val="000000"/>
        </w:rPr>
        <w:lastRenderedPageBreak/>
        <w:t xml:space="preserve">7. </w:t>
      </w:r>
      <w:r>
        <w:rPr>
          <w:rFonts w:ascii="Verdana" w:eastAsia="Verdana" w:hAnsi="Verdana" w:cs="Verdana"/>
          <w:b/>
          <w:color w:val="000000"/>
          <w:u w:val="single"/>
        </w:rPr>
        <w:t>V případě, že do systému PCO je zapojena požární signalizace Zákazníka</w:t>
      </w:r>
      <w:r>
        <w:rPr>
          <w:rFonts w:ascii="Verdana" w:eastAsia="Verdana" w:hAnsi="Verdana" w:cs="Verdana"/>
          <w:color w:val="000000"/>
        </w:rPr>
        <w:t>, bude při poplachové zprávě uplatněn následující postup:</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080"/>
        <w:jc w:val="both"/>
        <w:rPr>
          <w:rFonts w:ascii="Verdana" w:eastAsia="Verdana" w:hAnsi="Verdana" w:cs="Verdana"/>
          <w:color w:val="000000"/>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576" w:hanging="576"/>
        <w:jc w:val="both"/>
        <w:rPr>
          <w:rFonts w:ascii="Verdana" w:eastAsia="Verdana" w:hAnsi="Verdana" w:cs="Verdana"/>
          <w:color w:val="000000"/>
        </w:rPr>
      </w:pPr>
      <w:r>
        <w:rPr>
          <w:rFonts w:ascii="Verdana" w:eastAsia="Verdana" w:hAnsi="Verdana" w:cs="Verdana"/>
          <w:color w:val="000000"/>
        </w:rPr>
        <w:t xml:space="preserve">        </w:t>
      </w:r>
      <w:r>
        <w:rPr>
          <w:rFonts w:ascii="Verdana" w:eastAsia="Verdana" w:hAnsi="Verdana" w:cs="Verdana"/>
          <w:color w:val="000000"/>
          <w:u w:val="single"/>
        </w:rPr>
        <w:t>Zásahová jednotka provede výjezdem prověření poplachové informace</w:t>
      </w:r>
      <w:r>
        <w:rPr>
          <w:rFonts w:ascii="Verdana" w:eastAsia="Verdana" w:hAnsi="Verdana" w:cs="Verdana"/>
          <w:color w:val="000000"/>
        </w:rPr>
        <w:t>, při pozitivním zjištění přivolá dispečer PCO orgány příslušné k hasebnímu zásahu a vyrozumí pověřenou kontaktní osobu.</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080"/>
        <w:jc w:val="right"/>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080"/>
        <w:jc w:val="both"/>
        <w:rPr>
          <w:rFonts w:ascii="Verdana" w:eastAsia="Verdana" w:hAnsi="Verdana" w:cs="Verdana"/>
          <w:color w:val="000000"/>
          <w:u w:val="single"/>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1080"/>
        <w:jc w:val="both"/>
        <w:rPr>
          <w:rFonts w:ascii="Verdana" w:eastAsia="Verdana" w:hAnsi="Verdana" w:cs="Verdana"/>
          <w:color w:val="000000"/>
          <w:u w:val="single"/>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u w:val="single"/>
        </w:rPr>
      </w:pPr>
      <w:r>
        <w:rPr>
          <w:rFonts w:ascii="Verdana" w:eastAsia="Verdana" w:hAnsi="Verdana" w:cs="Verdana"/>
          <w:b/>
          <w:color w:val="000000"/>
          <w:u w:val="single"/>
        </w:rPr>
        <w:t>Charakteristika objektu, jeho specifika a možnost přístupových cest:</w:t>
      </w:r>
    </w:p>
    <w:p w:rsidR="00CE59F0" w:rsidRPr="004335EA"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highlight w:val="black"/>
        </w:rPr>
      </w:pPr>
      <w:r w:rsidRPr="004335EA">
        <w:rPr>
          <w:rFonts w:ascii="Verdana" w:eastAsia="Verdana" w:hAnsi="Verdana" w:cs="Verdana"/>
          <w:color w:val="000000"/>
          <w:highlight w:val="black"/>
        </w:rPr>
        <w:t>_________________________________________________________________________</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rPr>
      </w:pPr>
      <w:r w:rsidRPr="004335EA">
        <w:rPr>
          <w:rFonts w:ascii="Verdana" w:eastAsia="Verdana" w:hAnsi="Verdana" w:cs="Verdana"/>
          <w:color w:val="000000"/>
          <w:highlight w:val="black"/>
        </w:rPr>
        <w:t>_________________________________________________________________________</w:t>
      </w:r>
    </w:p>
    <w:p w:rsidR="00CE59F0" w:rsidRDefault="00CE59F0">
      <w:pPr>
        <w:pBdr>
          <w:top w:val="nil"/>
          <w:left w:val="nil"/>
          <w:bottom w:val="nil"/>
          <w:right w:val="nil"/>
          <w:between w:val="nil"/>
        </w:pBdr>
        <w:spacing w:line="276" w:lineRule="auto"/>
        <w:jc w:val="both"/>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u w:val="single"/>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u w:val="single"/>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rPr>
      </w:pPr>
      <w:r>
        <w:rPr>
          <w:rFonts w:ascii="Verdana" w:eastAsia="Verdana" w:hAnsi="Verdana" w:cs="Verdana"/>
          <w:b/>
          <w:color w:val="000000"/>
          <w:u w:val="single"/>
        </w:rPr>
        <w:t>Rizikové pásmo</w:t>
      </w:r>
      <w:r>
        <w:rPr>
          <w:rFonts w:ascii="Verdana" w:eastAsia="Verdana" w:hAnsi="Verdana" w:cs="Verdana"/>
          <w:color w:val="000000"/>
        </w:rPr>
        <w:t>:____________________________________________________________</w:t>
      </w:r>
    </w:p>
    <w:p w:rsidR="00CE59F0" w:rsidRPr="004335EA"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highlight w:val="black"/>
        </w:rPr>
      </w:pPr>
      <w:r w:rsidRPr="004335EA">
        <w:rPr>
          <w:rFonts w:ascii="Verdana" w:eastAsia="Verdana" w:hAnsi="Verdana" w:cs="Verdana"/>
          <w:color w:val="000000"/>
          <w:highlight w:val="black"/>
        </w:rPr>
        <w:t>_________________________________________________________________________</w:t>
      </w: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rPr>
      </w:pPr>
      <w:r w:rsidRPr="004335EA">
        <w:rPr>
          <w:rFonts w:ascii="Verdana" w:eastAsia="Verdana" w:hAnsi="Verdana" w:cs="Verdana"/>
          <w:color w:val="000000"/>
          <w:highlight w:val="black"/>
        </w:rPr>
        <w:t>_________________________________________________________________________</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u w:val="single"/>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u w:val="single"/>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u w:val="single"/>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b/>
          <w:color w:val="000000"/>
          <w:u w:val="single"/>
        </w:rPr>
      </w:pPr>
      <w:r>
        <w:rPr>
          <w:rFonts w:ascii="Verdana" w:eastAsia="Verdana" w:hAnsi="Verdana" w:cs="Verdana"/>
          <w:b/>
          <w:color w:val="000000"/>
          <w:u w:val="single"/>
        </w:rPr>
        <w:t xml:space="preserve">Pověřené osoby v pořadí pro kontakt:  </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b/>
          <w:u w:val="single"/>
        </w:rPr>
      </w:pPr>
    </w:p>
    <w:p w:rsidR="00CE59F0" w:rsidRPr="004335EA" w:rsidRDefault="004335EA">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highlight w:val="black"/>
        </w:rPr>
      </w:pPr>
      <w:r w:rsidRPr="004335EA">
        <w:rPr>
          <w:rFonts w:ascii="Verdana" w:eastAsia="Verdana" w:hAnsi="Verdana" w:cs="Verdana"/>
          <w:b/>
          <w:highlight w:val="black"/>
        </w:rPr>
        <w:t xml:space="preserve">Roman Papoušek, tel.: 728 964 840, e-mail: </w:t>
      </w:r>
      <w:hyperlink r:id="rId7">
        <w:r w:rsidRPr="004335EA">
          <w:rPr>
            <w:rFonts w:ascii="Verdana" w:eastAsia="Verdana" w:hAnsi="Verdana" w:cs="Verdana"/>
            <w:b/>
            <w:highlight w:val="black"/>
            <w:u w:val="single"/>
          </w:rPr>
          <w:t>papousek@randovka.cz</w:t>
        </w:r>
      </w:hyperlink>
    </w:p>
    <w:p w:rsidR="00CE59F0" w:rsidRPr="004335EA" w:rsidRDefault="004335EA">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highlight w:val="black"/>
        </w:rPr>
      </w:pPr>
      <w:r w:rsidRPr="004335EA">
        <w:rPr>
          <w:rFonts w:ascii="Verdana" w:eastAsia="Verdana" w:hAnsi="Verdana" w:cs="Verdana"/>
          <w:b/>
          <w:highlight w:val="black"/>
        </w:rPr>
        <w:t xml:space="preserve">Petr Koutek, tel.: 723 639 159, e-mail: </w:t>
      </w:r>
      <w:hyperlink r:id="rId8">
        <w:r w:rsidRPr="004335EA">
          <w:rPr>
            <w:rFonts w:ascii="Verdana" w:eastAsia="Verdana" w:hAnsi="Verdana" w:cs="Verdana"/>
            <w:b/>
            <w:highlight w:val="black"/>
            <w:u w:val="single"/>
          </w:rPr>
          <w:t>koutek@randovka.cz</w:t>
        </w:r>
      </w:hyperlink>
    </w:p>
    <w:p w:rsidR="00CE59F0" w:rsidRPr="004335EA" w:rsidRDefault="004335EA">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highlight w:val="black"/>
        </w:rPr>
      </w:pPr>
      <w:r w:rsidRPr="004335EA">
        <w:rPr>
          <w:rFonts w:ascii="Verdana" w:eastAsia="Verdana" w:hAnsi="Verdana" w:cs="Verdana"/>
          <w:b/>
          <w:highlight w:val="black"/>
        </w:rPr>
        <w:t xml:space="preserve">Tomáš Hofrichter, tel.: 724 834 536, e-mail: </w:t>
      </w:r>
      <w:hyperlink r:id="rId9">
        <w:r w:rsidRPr="004335EA">
          <w:rPr>
            <w:rFonts w:ascii="Verdana" w:eastAsia="Verdana" w:hAnsi="Verdana" w:cs="Verdana"/>
            <w:b/>
            <w:highlight w:val="black"/>
            <w:u w:val="single"/>
          </w:rPr>
          <w:t>hofrichter@randovka.cz</w:t>
        </w:r>
      </w:hyperlink>
    </w:p>
    <w:p w:rsidR="00CE59F0" w:rsidRPr="004335EA" w:rsidRDefault="004335EA">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highlight w:val="black"/>
        </w:rPr>
      </w:pPr>
      <w:r w:rsidRPr="004335EA">
        <w:rPr>
          <w:rFonts w:ascii="Verdana" w:eastAsia="Verdana" w:hAnsi="Verdana" w:cs="Verdana"/>
          <w:b/>
          <w:highlight w:val="black"/>
        </w:rPr>
        <w:t xml:space="preserve">Rudolf Dlouhý, tel.: 774 821 951, e-mail: </w:t>
      </w:r>
      <w:hyperlink r:id="rId10">
        <w:r w:rsidRPr="004335EA">
          <w:rPr>
            <w:rFonts w:ascii="Verdana" w:eastAsia="Verdana" w:hAnsi="Verdana" w:cs="Verdana"/>
            <w:b/>
            <w:highlight w:val="black"/>
            <w:u w:val="single"/>
          </w:rPr>
          <w:t>dlouhy@randovka.cz</w:t>
        </w:r>
      </w:hyperlink>
    </w:p>
    <w:p w:rsidR="00CE59F0" w:rsidRPr="004335EA" w:rsidRDefault="004335EA">
      <w:pPr>
        <w:numPr>
          <w:ilvl w:val="0"/>
          <w:numId w:val="6"/>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rPr>
          <w:rFonts w:ascii="Verdana" w:eastAsia="Verdana" w:hAnsi="Verdana" w:cs="Verdana"/>
          <w:b/>
          <w:highlight w:val="black"/>
        </w:rPr>
      </w:pPr>
      <w:r w:rsidRPr="004335EA">
        <w:rPr>
          <w:rFonts w:ascii="Verdana" w:eastAsia="Verdana" w:hAnsi="Verdana" w:cs="Verdana"/>
          <w:b/>
          <w:highlight w:val="black"/>
        </w:rPr>
        <w:t>Miloš Vrána, tel.:773 765 065, e-</w:t>
      </w:r>
      <w:r w:rsidRPr="004335EA">
        <w:rPr>
          <w:rFonts w:ascii="Verdana" w:eastAsia="Verdana" w:hAnsi="Verdana" w:cs="Verdana"/>
          <w:b/>
          <w:highlight w:val="black"/>
        </w:rPr>
        <w:t xml:space="preserve">mail: </w:t>
      </w:r>
      <w:r w:rsidRPr="004335EA">
        <w:rPr>
          <w:rFonts w:ascii="Verdana" w:eastAsia="Verdana" w:hAnsi="Verdana" w:cs="Verdana"/>
          <w:b/>
          <w:highlight w:val="black"/>
          <w:u w:val="single"/>
        </w:rPr>
        <w:t>vrana@randovka.cz</w:t>
      </w:r>
    </w:p>
    <w:p w:rsidR="00CE59F0" w:rsidRPr="004335EA"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720"/>
        <w:rPr>
          <w:rFonts w:ascii="Verdana" w:eastAsia="Verdana" w:hAnsi="Verdana" w:cs="Verdana"/>
          <w:b/>
        </w:rPr>
      </w:pPr>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u w:val="single"/>
        </w:rPr>
      </w:pPr>
      <w:r>
        <w:rPr>
          <w:rFonts w:ascii="Verdana" w:eastAsia="Verdana" w:hAnsi="Verdana" w:cs="Verdana"/>
          <w:b/>
          <w:color w:val="000000"/>
          <w:u w:val="single"/>
        </w:rPr>
        <w:t xml:space="preserve">                                                                    </w:t>
      </w: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rPr>
      </w:pPr>
    </w:p>
    <w:p w:rsidR="00CE59F0" w:rsidRDefault="00CE59F0">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ind w:left="360"/>
        <w:jc w:val="both"/>
        <w:rPr>
          <w:rFonts w:ascii="Verdana" w:eastAsia="Verdana" w:hAnsi="Verdana" w:cs="Verdana"/>
          <w:color w:val="000000"/>
          <w:u w:val="single"/>
        </w:rPr>
      </w:pPr>
    </w:p>
    <w:p w:rsidR="00CE59F0" w:rsidRDefault="00CE59F0">
      <w:pPr>
        <w:pBdr>
          <w:top w:val="nil"/>
          <w:left w:val="nil"/>
          <w:bottom w:val="nil"/>
          <w:right w:val="nil"/>
          <w:between w:val="nil"/>
        </w:pBdr>
        <w:ind w:left="2340" w:right="-110"/>
        <w:jc w:val="both"/>
        <w:rPr>
          <w:rFonts w:ascii="Verdana" w:eastAsia="Verdana" w:hAnsi="Verdana" w:cs="Verdana"/>
          <w:color w:val="000000"/>
        </w:rPr>
      </w:pPr>
      <w:bookmarkStart w:id="1" w:name="_GoBack"/>
      <w:bookmarkEnd w:id="1"/>
    </w:p>
    <w:p w:rsidR="00CE59F0" w:rsidRDefault="00CE59F0">
      <w:pPr>
        <w:pBdr>
          <w:top w:val="nil"/>
          <w:left w:val="nil"/>
          <w:bottom w:val="nil"/>
          <w:right w:val="nil"/>
          <w:between w:val="nil"/>
        </w:pBdr>
        <w:ind w:right="-110"/>
        <w:jc w:val="both"/>
        <w:rPr>
          <w:rFonts w:ascii="Verdana" w:eastAsia="Verdana" w:hAnsi="Verdana" w:cs="Verdana"/>
          <w:color w:val="000000"/>
        </w:rPr>
      </w:pPr>
      <w:bookmarkStart w:id="2" w:name="_30j0zll" w:colFirst="0" w:colLast="0"/>
      <w:bookmarkEnd w:id="2"/>
    </w:p>
    <w:p w:rsidR="00CE59F0" w:rsidRDefault="004335EA">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6" w:lineRule="auto"/>
        <w:jc w:val="both"/>
        <w:rPr>
          <w:rFonts w:ascii="Verdana" w:eastAsia="Verdana" w:hAnsi="Verdana" w:cs="Verdana"/>
          <w:color w:val="000000"/>
        </w:rPr>
      </w:pPr>
      <w:r>
        <w:rPr>
          <w:rFonts w:ascii="Verdana" w:eastAsia="Verdana" w:hAnsi="Verdana" w:cs="Verdana"/>
          <w:color w:val="000000"/>
        </w:rPr>
        <w:t xml:space="preserve">    </w:t>
      </w:r>
    </w:p>
    <w:p w:rsidR="00CE59F0" w:rsidRDefault="00CE59F0">
      <w:pPr>
        <w:pBdr>
          <w:top w:val="nil"/>
          <w:left w:val="nil"/>
          <w:bottom w:val="nil"/>
          <w:right w:val="nil"/>
          <w:between w:val="nil"/>
        </w:pBdr>
        <w:spacing w:line="276" w:lineRule="auto"/>
        <w:jc w:val="both"/>
        <w:rPr>
          <w:rFonts w:ascii="Verdana" w:eastAsia="Verdana" w:hAnsi="Verdana" w:cs="Verdana"/>
          <w:color w:val="000000"/>
        </w:rPr>
      </w:pPr>
    </w:p>
    <w:p w:rsidR="00CE59F0" w:rsidRDefault="00CE59F0">
      <w:pPr>
        <w:pBdr>
          <w:top w:val="nil"/>
          <w:left w:val="nil"/>
          <w:bottom w:val="nil"/>
          <w:right w:val="nil"/>
          <w:between w:val="nil"/>
        </w:pBdr>
        <w:spacing w:line="276" w:lineRule="auto"/>
        <w:jc w:val="both"/>
        <w:rPr>
          <w:rFonts w:ascii="Verdana" w:eastAsia="Verdana" w:hAnsi="Verdana" w:cs="Verdana"/>
          <w:color w:val="000000"/>
        </w:rPr>
      </w:pPr>
    </w:p>
    <w:p w:rsidR="00CE59F0" w:rsidRDefault="00CE59F0">
      <w:pPr>
        <w:pBdr>
          <w:top w:val="nil"/>
          <w:left w:val="nil"/>
          <w:bottom w:val="nil"/>
          <w:right w:val="nil"/>
          <w:between w:val="nil"/>
        </w:pBdr>
        <w:spacing w:line="276" w:lineRule="auto"/>
        <w:jc w:val="both"/>
        <w:rPr>
          <w:rFonts w:ascii="Verdana" w:eastAsia="Verdana" w:hAnsi="Verdana" w:cs="Verdana"/>
          <w:color w:val="000000"/>
        </w:rPr>
      </w:pPr>
    </w:p>
    <w:p w:rsidR="00CE59F0" w:rsidRDefault="00CE59F0">
      <w:pPr>
        <w:pBdr>
          <w:top w:val="nil"/>
          <w:left w:val="nil"/>
          <w:bottom w:val="nil"/>
          <w:right w:val="nil"/>
          <w:between w:val="nil"/>
        </w:pBdr>
        <w:spacing w:line="276" w:lineRule="auto"/>
        <w:jc w:val="both"/>
        <w:rPr>
          <w:rFonts w:ascii="Verdana" w:eastAsia="Verdana" w:hAnsi="Verdana" w:cs="Verdana"/>
          <w:color w:val="000000"/>
        </w:rPr>
      </w:pPr>
    </w:p>
    <w:p w:rsidR="00CE59F0" w:rsidRDefault="00CE59F0">
      <w:pPr>
        <w:pBdr>
          <w:top w:val="nil"/>
          <w:left w:val="nil"/>
          <w:bottom w:val="nil"/>
          <w:right w:val="nil"/>
          <w:between w:val="nil"/>
        </w:pBdr>
        <w:spacing w:line="276" w:lineRule="auto"/>
        <w:jc w:val="both"/>
        <w:rPr>
          <w:rFonts w:ascii="Verdana" w:eastAsia="Verdana" w:hAnsi="Verdana" w:cs="Verdana"/>
          <w:color w:val="000000"/>
        </w:rPr>
      </w:pPr>
    </w:p>
    <w:sectPr w:rsidR="00CE59F0">
      <w:headerReference w:type="even" r:id="rId11"/>
      <w:headerReference w:type="default" r:id="rId12"/>
      <w:footerReference w:type="even" r:id="rId13"/>
      <w:footerReference w:type="default" r:id="rId14"/>
      <w:pgSz w:w="11906" w:h="16832"/>
      <w:pgMar w:top="1080" w:right="849" w:bottom="1080"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35EA">
      <w:r>
        <w:separator/>
      </w:r>
    </w:p>
  </w:endnote>
  <w:endnote w:type="continuationSeparator" w:id="0">
    <w:p w:rsidR="00000000" w:rsidRDefault="0043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F0" w:rsidRDefault="004335EA">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CE59F0" w:rsidRDefault="00CE59F0">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F0" w:rsidRDefault="004335EA">
    <w:pPr>
      <w:pBdr>
        <w:top w:val="nil"/>
        <w:left w:val="nil"/>
        <w:bottom w:val="nil"/>
        <w:right w:val="nil"/>
        <w:between w:val="nil"/>
      </w:pBdr>
      <w:tabs>
        <w:tab w:val="center" w:pos="4536"/>
        <w:tab w:val="right" w:pos="9072"/>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rsidR="00CE59F0" w:rsidRDefault="00CE59F0">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35EA">
      <w:r>
        <w:separator/>
      </w:r>
    </w:p>
  </w:footnote>
  <w:footnote w:type="continuationSeparator" w:id="0">
    <w:p w:rsidR="00000000" w:rsidRDefault="0043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F0" w:rsidRDefault="004335EA">
    <w:pPr>
      <w:pBdr>
        <w:top w:val="nil"/>
        <w:left w:val="nil"/>
        <w:bottom w:val="single" w:sz="24" w:space="1" w:color="622423"/>
        <w:right w:val="nil"/>
        <w:between w:val="nil"/>
      </w:pBdr>
      <w:tabs>
        <w:tab w:val="center" w:pos="4536"/>
        <w:tab w:val="right" w:pos="9072"/>
      </w:tabs>
      <w:jc w:val="center"/>
      <w:rPr>
        <w:rFonts w:ascii="Verdana" w:eastAsia="Verdana" w:hAnsi="Verdana" w:cs="Verdana"/>
        <w:color w:val="000000"/>
        <w:sz w:val="24"/>
        <w:szCs w:val="24"/>
      </w:rPr>
    </w:pPr>
    <w:r>
      <w:rPr>
        <w:rFonts w:ascii="Verdana" w:eastAsia="Verdana" w:hAnsi="Verdana" w:cs="Verdana"/>
        <w:b/>
        <w:color w:val="000000"/>
        <w:sz w:val="24"/>
        <w:szCs w:val="24"/>
      </w:rPr>
      <w:t>SOUHRN ZÁSAHOVÝCH OPATŘENÍ</w:t>
    </w:r>
    <w:r>
      <w:rPr>
        <w:noProof/>
      </w:rPr>
      <w:drawing>
        <wp:anchor distT="0" distB="0" distL="114300" distR="114300" simplePos="0" relativeHeight="251660288" behindDoc="0" locked="0" layoutInCell="1" hidden="0" allowOverlap="1">
          <wp:simplePos x="0" y="0"/>
          <wp:positionH relativeFrom="column">
            <wp:posOffset>5615940</wp:posOffset>
          </wp:positionH>
          <wp:positionV relativeFrom="paragraph">
            <wp:posOffset>0</wp:posOffset>
          </wp:positionV>
          <wp:extent cx="909320" cy="88201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09320" cy="88201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-288924</wp:posOffset>
          </wp:positionH>
          <wp:positionV relativeFrom="paragraph">
            <wp:posOffset>-267334</wp:posOffset>
          </wp:positionV>
          <wp:extent cx="878205" cy="8477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78205" cy="847725"/>
                  </a:xfrm>
                  <a:prstGeom prst="rect">
                    <a:avLst/>
                  </a:prstGeom>
                  <a:ln/>
                </pic:spPr>
              </pic:pic>
            </a:graphicData>
          </a:graphic>
        </wp:anchor>
      </w:drawing>
    </w:r>
  </w:p>
  <w:p w:rsidR="00CE59F0" w:rsidRDefault="004335EA">
    <w:pPr>
      <w:pBdr>
        <w:top w:val="nil"/>
        <w:left w:val="nil"/>
        <w:bottom w:val="single" w:sz="24" w:space="1" w:color="622423"/>
        <w:right w:val="nil"/>
        <w:between w:val="nil"/>
      </w:pBdr>
      <w:tabs>
        <w:tab w:val="center" w:pos="4536"/>
        <w:tab w:val="right" w:pos="9072"/>
      </w:tabs>
      <w:jc w:val="center"/>
      <w:rPr>
        <w:rFonts w:ascii="Verdana" w:eastAsia="Verdana" w:hAnsi="Verdana" w:cs="Verdana"/>
        <w:color w:val="000000"/>
        <w:sz w:val="24"/>
        <w:szCs w:val="24"/>
      </w:rPr>
    </w:pPr>
    <w:r>
      <w:rPr>
        <w:rFonts w:ascii="Verdana" w:eastAsia="Verdana" w:hAnsi="Verdana" w:cs="Verdana"/>
        <w:b/>
        <w:color w:val="000000"/>
        <w:sz w:val="24"/>
        <w:szCs w:val="24"/>
      </w:rPr>
      <w:t>KBS Security s.r.o.</w:t>
    </w:r>
  </w:p>
  <w:p w:rsidR="00CE59F0" w:rsidRDefault="00CE59F0">
    <w:pPr>
      <w:pBdr>
        <w:top w:val="nil"/>
        <w:left w:val="nil"/>
        <w:bottom w:val="single" w:sz="24" w:space="1" w:color="622423"/>
        <w:right w:val="nil"/>
        <w:between w:val="nil"/>
      </w:pBdr>
      <w:tabs>
        <w:tab w:val="center" w:pos="4536"/>
        <w:tab w:val="right" w:pos="9072"/>
      </w:tabs>
      <w:jc w:val="center"/>
      <w:rPr>
        <w:rFonts w:ascii="Verdana" w:eastAsia="Verdana" w:hAnsi="Verdana" w:cs="Verdana"/>
        <w:color w:val="000000"/>
        <w:sz w:val="32"/>
        <w:szCs w:val="32"/>
      </w:rPr>
    </w:pPr>
  </w:p>
  <w:p w:rsidR="00CE59F0" w:rsidRDefault="00CE59F0">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F0" w:rsidRDefault="004335EA">
    <w:pPr>
      <w:pBdr>
        <w:top w:val="nil"/>
        <w:left w:val="nil"/>
        <w:bottom w:val="single" w:sz="24" w:space="1" w:color="622423"/>
        <w:right w:val="nil"/>
        <w:between w:val="nil"/>
      </w:pBdr>
      <w:tabs>
        <w:tab w:val="center" w:pos="4536"/>
        <w:tab w:val="right" w:pos="9072"/>
      </w:tabs>
      <w:jc w:val="center"/>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simplePos x="0" y="0"/>
          <wp:positionH relativeFrom="column">
            <wp:posOffset>5549265</wp:posOffset>
          </wp:positionH>
          <wp:positionV relativeFrom="paragraph">
            <wp:posOffset>0</wp:posOffset>
          </wp:positionV>
          <wp:extent cx="909320" cy="88201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09320" cy="88201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-220344</wp:posOffset>
          </wp:positionH>
          <wp:positionV relativeFrom="paragraph">
            <wp:posOffset>-221614</wp:posOffset>
          </wp:positionV>
          <wp:extent cx="878205" cy="84772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78205" cy="847725"/>
                  </a:xfrm>
                  <a:prstGeom prst="rect">
                    <a:avLst/>
                  </a:prstGeom>
                  <a:ln/>
                </pic:spPr>
              </pic:pic>
            </a:graphicData>
          </a:graphic>
        </wp:anchor>
      </w:drawing>
    </w:r>
  </w:p>
  <w:p w:rsidR="00CE59F0" w:rsidRDefault="004335EA">
    <w:pPr>
      <w:pBdr>
        <w:top w:val="nil"/>
        <w:left w:val="nil"/>
        <w:bottom w:val="single" w:sz="24" w:space="1" w:color="622423"/>
        <w:right w:val="nil"/>
        <w:between w:val="nil"/>
      </w:pBdr>
      <w:tabs>
        <w:tab w:val="center" w:pos="4536"/>
        <w:tab w:val="right" w:pos="9072"/>
      </w:tabs>
      <w:jc w:val="center"/>
      <w:rPr>
        <w:rFonts w:ascii="Verdana" w:eastAsia="Verdana" w:hAnsi="Verdana" w:cs="Verdana"/>
        <w:color w:val="000000"/>
        <w:sz w:val="24"/>
        <w:szCs w:val="24"/>
      </w:rPr>
    </w:pPr>
    <w:r>
      <w:rPr>
        <w:rFonts w:ascii="Verdana" w:eastAsia="Verdana" w:hAnsi="Verdana" w:cs="Verdana"/>
        <w:b/>
        <w:color w:val="000000"/>
        <w:sz w:val="24"/>
        <w:szCs w:val="24"/>
      </w:rPr>
      <w:t>SOUHRN ZÁSAHOVÝCH OPATŘENÍ</w:t>
    </w:r>
  </w:p>
  <w:p w:rsidR="00CE59F0" w:rsidRDefault="004335EA">
    <w:pPr>
      <w:pBdr>
        <w:top w:val="nil"/>
        <w:left w:val="nil"/>
        <w:bottom w:val="single" w:sz="24" w:space="1" w:color="622423"/>
        <w:right w:val="nil"/>
        <w:between w:val="nil"/>
      </w:pBdr>
      <w:tabs>
        <w:tab w:val="center" w:pos="4536"/>
        <w:tab w:val="right" w:pos="9072"/>
      </w:tabs>
      <w:jc w:val="center"/>
      <w:rPr>
        <w:rFonts w:ascii="Verdana" w:eastAsia="Verdana" w:hAnsi="Verdana" w:cs="Verdana"/>
        <w:color w:val="000000"/>
        <w:sz w:val="24"/>
        <w:szCs w:val="24"/>
      </w:rPr>
    </w:pPr>
    <w:r>
      <w:rPr>
        <w:rFonts w:ascii="Verdana" w:eastAsia="Verdana" w:hAnsi="Verdana" w:cs="Verdana"/>
        <w:b/>
        <w:color w:val="000000"/>
        <w:sz w:val="24"/>
        <w:szCs w:val="24"/>
      </w:rPr>
      <w:t>KBS Security s.r.o.</w:t>
    </w:r>
  </w:p>
  <w:p w:rsidR="00CE59F0" w:rsidRDefault="00CE59F0">
    <w:pPr>
      <w:pBdr>
        <w:top w:val="nil"/>
        <w:left w:val="nil"/>
        <w:bottom w:val="single" w:sz="24" w:space="1" w:color="622423"/>
        <w:right w:val="nil"/>
        <w:between w:val="nil"/>
      </w:pBdr>
      <w:tabs>
        <w:tab w:val="center" w:pos="4536"/>
        <w:tab w:val="right" w:pos="9072"/>
      </w:tabs>
      <w:jc w:val="center"/>
      <w:rPr>
        <w:rFonts w:ascii="Verdana" w:eastAsia="Verdana" w:hAnsi="Verdana" w:cs="Verdana"/>
        <w:color w:val="000000"/>
        <w:sz w:val="32"/>
        <w:szCs w:val="32"/>
      </w:rPr>
    </w:pPr>
  </w:p>
  <w:p w:rsidR="00CE59F0" w:rsidRDefault="00CE59F0">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43700"/>
    <w:multiLevelType w:val="multilevel"/>
    <w:tmpl w:val="58620572"/>
    <w:lvl w:ilvl="0">
      <w:start w:val="1"/>
      <w:numFmt w:val="lowerLetter"/>
      <w:lvlText w:val="%1)"/>
      <w:lvlJc w:val="left"/>
      <w:pPr>
        <w:ind w:left="1590" w:hanging="510"/>
      </w:pPr>
      <w:rPr>
        <w:rFonts w:ascii="Bookman Old Style" w:eastAsia="Bookman Old Style" w:hAnsi="Bookman Old Style" w:cs="Bookman Old Style"/>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27C2E23"/>
    <w:multiLevelType w:val="multilevel"/>
    <w:tmpl w:val="8250991A"/>
    <w:lvl w:ilvl="0">
      <w:start w:val="2"/>
      <w:numFmt w:val="decimal"/>
      <w:lvlText w:val="%1"/>
      <w:lvlJc w:val="left"/>
      <w:pPr>
        <w:ind w:left="360" w:hanging="360"/>
      </w:pPr>
      <w:rPr>
        <w:vertAlign w:val="baseline"/>
      </w:rPr>
    </w:lvl>
    <w:lvl w:ilvl="1">
      <w:start w:val="1"/>
      <w:numFmt w:val="decimal"/>
      <w:lvlText w:val="%1.%2"/>
      <w:lvlJc w:val="left"/>
      <w:pPr>
        <w:ind w:left="1494" w:hanging="360"/>
      </w:pPr>
      <w:rPr>
        <w:vertAlign w:val="baseline"/>
      </w:rPr>
    </w:lvl>
    <w:lvl w:ilvl="2">
      <w:start w:val="1"/>
      <w:numFmt w:val="decimal"/>
      <w:lvlText w:val="%1.%2.%3"/>
      <w:lvlJc w:val="left"/>
      <w:pPr>
        <w:ind w:left="2988" w:hanging="720"/>
      </w:pPr>
      <w:rPr>
        <w:vertAlign w:val="baseline"/>
      </w:rPr>
    </w:lvl>
    <w:lvl w:ilvl="3">
      <w:start w:val="1"/>
      <w:numFmt w:val="decimal"/>
      <w:lvlText w:val="%1.%2.%3.%4"/>
      <w:lvlJc w:val="left"/>
      <w:pPr>
        <w:ind w:left="4482" w:hanging="1080"/>
      </w:pPr>
      <w:rPr>
        <w:vertAlign w:val="baseline"/>
      </w:rPr>
    </w:lvl>
    <w:lvl w:ilvl="4">
      <w:start w:val="1"/>
      <w:numFmt w:val="decimal"/>
      <w:lvlText w:val="%1.%2.%3.%4.%5"/>
      <w:lvlJc w:val="left"/>
      <w:pPr>
        <w:ind w:left="5616" w:hanging="1080"/>
      </w:pPr>
      <w:rPr>
        <w:vertAlign w:val="baseline"/>
      </w:rPr>
    </w:lvl>
    <w:lvl w:ilvl="5">
      <w:start w:val="1"/>
      <w:numFmt w:val="decimal"/>
      <w:lvlText w:val="%1.%2.%3.%4.%5.%6"/>
      <w:lvlJc w:val="left"/>
      <w:pPr>
        <w:ind w:left="7110" w:hanging="1440"/>
      </w:pPr>
      <w:rPr>
        <w:vertAlign w:val="baseline"/>
      </w:rPr>
    </w:lvl>
    <w:lvl w:ilvl="6">
      <w:start w:val="1"/>
      <w:numFmt w:val="decimal"/>
      <w:lvlText w:val="%1.%2.%3.%4.%5.%6.%7"/>
      <w:lvlJc w:val="left"/>
      <w:pPr>
        <w:ind w:left="8244" w:hanging="1440"/>
      </w:pPr>
      <w:rPr>
        <w:vertAlign w:val="baseline"/>
      </w:rPr>
    </w:lvl>
    <w:lvl w:ilvl="7">
      <w:start w:val="1"/>
      <w:numFmt w:val="decimal"/>
      <w:lvlText w:val="%1.%2.%3.%4.%5.%6.%7.%8"/>
      <w:lvlJc w:val="left"/>
      <w:pPr>
        <w:ind w:left="9738" w:hanging="1800"/>
      </w:pPr>
      <w:rPr>
        <w:vertAlign w:val="baseline"/>
      </w:rPr>
    </w:lvl>
    <w:lvl w:ilvl="8">
      <w:start w:val="1"/>
      <w:numFmt w:val="decimal"/>
      <w:lvlText w:val="%1.%2.%3.%4.%5.%6.%7.%8.%9"/>
      <w:lvlJc w:val="left"/>
      <w:pPr>
        <w:ind w:left="10872" w:hanging="1800"/>
      </w:pPr>
      <w:rPr>
        <w:vertAlign w:val="baseline"/>
      </w:rPr>
    </w:lvl>
  </w:abstractNum>
  <w:abstractNum w:abstractNumId="2" w15:restartNumberingAfterBreak="0">
    <w:nsid w:val="3D6746EB"/>
    <w:multiLevelType w:val="multilevel"/>
    <w:tmpl w:val="E64EE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B55163"/>
    <w:multiLevelType w:val="multilevel"/>
    <w:tmpl w:val="FB00B286"/>
    <w:lvl w:ilvl="0">
      <w:start w:val="1"/>
      <w:numFmt w:val="decimal"/>
      <w:lvlText w:val="%1."/>
      <w:lvlJc w:val="left"/>
      <w:pPr>
        <w:ind w:left="750" w:hanging="360"/>
      </w:pPr>
      <w:rPr>
        <w:b/>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4" w15:restartNumberingAfterBreak="0">
    <w:nsid w:val="782F637F"/>
    <w:multiLevelType w:val="multilevel"/>
    <w:tmpl w:val="821E3374"/>
    <w:lvl w:ilvl="0">
      <w:start w:val="4"/>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F303700"/>
    <w:multiLevelType w:val="multilevel"/>
    <w:tmpl w:val="5E5C46FE"/>
    <w:lvl w:ilvl="0">
      <w:start w:val="1"/>
      <w:numFmt w:val="lowerLetter"/>
      <w:lvlText w:val="%1)"/>
      <w:lvlJc w:val="left"/>
      <w:pPr>
        <w:ind w:left="1494" w:hanging="360"/>
      </w:pPr>
      <w:rPr>
        <w:rFonts w:ascii="Bookman Old Style" w:eastAsia="Bookman Old Style" w:hAnsi="Bookman Old Style" w:cs="Bookman Old Style"/>
        <w:sz w:val="20"/>
        <w:szCs w:val="2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F0"/>
    <w:rsid w:val="004335EA"/>
    <w:rsid w:val="00CE5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281B2-E682-4D1E-8E0B-3D2E68AC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outek@randovk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pousek@randovka.cz"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louhy@randovka.cz" TargetMode="External"/><Relationship Id="rId4" Type="http://schemas.openxmlformats.org/officeDocument/2006/relationships/webSettings" Target="webSettings.xml"/><Relationship Id="rId9" Type="http://schemas.openxmlformats.org/officeDocument/2006/relationships/hyperlink" Target="mailto:hofrichter@randovka.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4880</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Trdlová Martina</cp:lastModifiedBy>
  <cp:revision>2</cp:revision>
  <dcterms:created xsi:type="dcterms:W3CDTF">2024-10-24T08:09:00Z</dcterms:created>
  <dcterms:modified xsi:type="dcterms:W3CDTF">2024-10-24T08:10:00Z</dcterms:modified>
</cp:coreProperties>
</file>