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1BF763C2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2B3224E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rPr>
          <w:rFonts w:ascii="Arial" w:hAnsi="Arial" w:cs="Arial"/>
          <w:i w:val="0"/>
          <w:sz w:val="22"/>
          <w:szCs w:val="22"/>
        </w:rPr>
        <w:t>Husinecká 1024/</w:t>
      </w:r>
      <w:proofErr w:type="gramStart"/>
      <w:r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47549D99" w14:textId="56B6D14B" w:rsidR="00EA21B7" w:rsidRDefault="00EA21B7" w:rsidP="00D5646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D56467">
        <w:rPr>
          <w:rFonts w:ascii="Arial" w:hAnsi="Arial" w:cs="Arial"/>
          <w:i w:val="0"/>
          <w:sz w:val="22"/>
          <w:szCs w:val="22"/>
        </w:rPr>
        <w:t>pro Královéhradecký kraj,</w:t>
      </w:r>
      <w:r w:rsidR="00812ED3">
        <w:rPr>
          <w:rFonts w:ascii="Arial" w:hAnsi="Arial" w:cs="Arial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D56467">
        <w:rPr>
          <w:rFonts w:ascii="Arial" w:hAnsi="Arial" w:cs="Arial"/>
          <w:i w:val="0"/>
          <w:sz w:val="22"/>
          <w:szCs w:val="22"/>
        </w:rPr>
        <w:t>Rychnov nad Kněžnou</w:t>
      </w:r>
    </w:p>
    <w:p w14:paraId="08A5439C" w14:textId="30D135F9" w:rsidR="00812ED3" w:rsidRPr="00E93F51" w:rsidRDefault="00812ED3" w:rsidP="00D56467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Adresa:</w:t>
      </w:r>
      <w:r w:rsidR="00D56467">
        <w:rPr>
          <w:rFonts w:ascii="Arial" w:hAnsi="Arial" w:cs="Arial"/>
          <w:b w:val="0"/>
          <w:i w:val="0"/>
          <w:sz w:val="22"/>
          <w:szCs w:val="22"/>
        </w:rPr>
        <w:t xml:space="preserve"> Jiráskova 1320</w:t>
      </w:r>
    </w:p>
    <w:p w14:paraId="3E931E53" w14:textId="77777777" w:rsidR="00D56467" w:rsidRPr="00E93F51" w:rsidRDefault="00D56467" w:rsidP="00D56467">
      <w:pPr>
        <w:pStyle w:val="Bezmezer"/>
        <w:ind w:left="5103" w:hanging="5103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Alenou </w:t>
      </w:r>
      <w:proofErr w:type="spellStart"/>
      <w:r>
        <w:rPr>
          <w:rFonts w:ascii="Arial" w:hAnsi="Arial" w:cs="Arial"/>
          <w:sz w:val="22"/>
          <w:szCs w:val="22"/>
        </w:rPr>
        <w:t>Rufferovou</w:t>
      </w:r>
      <w:proofErr w:type="spellEnd"/>
      <w:r>
        <w:rPr>
          <w:rFonts w:ascii="Arial" w:hAnsi="Arial" w:cs="Arial"/>
          <w:sz w:val="22"/>
          <w:szCs w:val="22"/>
        </w:rPr>
        <w:t>, vedoucí Pobočky Rychnov nad Kněžnou</w:t>
      </w:r>
    </w:p>
    <w:p w14:paraId="2CFF1C49" w14:textId="1CBFB652" w:rsidR="00D56467" w:rsidRPr="00E93F51" w:rsidRDefault="00D56467" w:rsidP="00D56467">
      <w:pPr>
        <w:pStyle w:val="Bezmezer"/>
        <w:ind w:left="5103" w:hanging="5103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Alena Rufferová, vedoucí Pobočky Rychnov nad Kněžnou</w:t>
      </w:r>
    </w:p>
    <w:p w14:paraId="51ECF6F5" w14:textId="01C2368B" w:rsidR="00D56467" w:rsidRPr="00E93F51" w:rsidRDefault="00D56467" w:rsidP="00D56467">
      <w:pPr>
        <w:pStyle w:val="Bezmezer"/>
        <w:tabs>
          <w:tab w:val="left" w:pos="4536"/>
        </w:tabs>
        <w:ind w:left="5103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>Ing. Ladislav Kopecký, odborný rada, Pobočka Rychnov nad Kněžnou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ACAF810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>
        <w:rPr>
          <w:rFonts w:ascii="Arial" w:hAnsi="Arial" w:cs="Arial"/>
          <w:sz w:val="22"/>
          <w:szCs w:val="22"/>
        </w:rPr>
        <w:t> 602 155 177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279B363C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rychnov.pk@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087C6D06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286F2EC3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4C61AF6D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A93D877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74E42E56" w14:textId="77777777" w:rsidR="00D56467" w:rsidRPr="00E93F51" w:rsidRDefault="00D56467" w:rsidP="00B83749">
      <w:pPr>
        <w:pStyle w:val="Bezmezer"/>
        <w:tabs>
          <w:tab w:val="left" w:pos="5103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54838C75" w14:textId="0AB48F31" w:rsidR="00AD766C" w:rsidRDefault="00812ED3" w:rsidP="00AD766C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="00AD766C">
        <w:rPr>
          <w:rFonts w:ascii="Arial" w:hAnsi="Arial" w:cs="Arial"/>
          <w:b/>
          <w:sz w:val="22"/>
          <w:szCs w:val="22"/>
        </w:rPr>
        <w:t>Jméno:</w:t>
      </w:r>
      <w:r w:rsidR="00AD766C"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AD766C" w:rsidRPr="00E93F51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AD766C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ab/>
        <w:t xml:space="preserve">HIG </w:t>
      </w:r>
      <w:proofErr w:type="spellStart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>geologická</w:t>
      </w:r>
      <w:proofErr w:type="spellEnd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>služba</w:t>
      </w:r>
      <w:proofErr w:type="spellEnd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>spol</w:t>
      </w:r>
      <w:proofErr w:type="spellEnd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. s </w:t>
      </w:r>
      <w:proofErr w:type="spellStart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>r.o</w:t>
      </w:r>
      <w:proofErr w:type="spellEnd"/>
      <w:r w:rsidR="00AD766C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</w:p>
    <w:p w14:paraId="55B0410A" w14:textId="77777777" w:rsidR="00AD766C" w:rsidRPr="00E93F51" w:rsidRDefault="00AD766C" w:rsidP="00AD766C">
      <w:pPr>
        <w:tabs>
          <w:tab w:val="left" w:pos="4253"/>
        </w:tabs>
        <w:spacing w:line="288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Sídlo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>: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Školní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322,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Želešice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66443</w:t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65BC02FC" w14:textId="490DE944" w:rsidR="00AD766C" w:rsidRPr="00E93F51" w:rsidRDefault="00AD766C" w:rsidP="00AD766C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</w:t>
      </w:r>
      <w:r w:rsidR="00B837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Mgr. Aleš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Grünwald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</w:p>
    <w:p w14:paraId="78CB5C07" w14:textId="74A5F909" w:rsidR="00AD766C" w:rsidRPr="00E93F51" w:rsidRDefault="00AD766C" w:rsidP="00AD766C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</w:t>
      </w:r>
      <w:r w:rsidR="007168A8">
        <w:rPr>
          <w:rFonts w:ascii="Arial" w:hAnsi="Arial" w:cs="Arial"/>
          <w:sz w:val="22"/>
          <w:szCs w:val="22"/>
        </w:rPr>
        <w:t>:</w:t>
      </w:r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96875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2C967A9F" w14:textId="63719D6E" w:rsidR="00AD766C" w:rsidRPr="00E93F51" w:rsidRDefault="00AD766C" w:rsidP="00AD766C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B83749">
        <w:rPr>
          <w:rFonts w:ascii="Arial" w:hAnsi="Arial" w:cs="Arial"/>
          <w:sz w:val="22"/>
          <w:szCs w:val="22"/>
        </w:rPr>
        <w:tab/>
      </w:r>
      <w:proofErr w:type="spellStart"/>
      <w:r w:rsidR="00696875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proofErr w:type="spellEnd"/>
    </w:p>
    <w:p w14:paraId="23EAE5D4" w14:textId="10D584F6" w:rsidR="00AD766C" w:rsidRPr="00E93F51" w:rsidRDefault="00AD766C" w:rsidP="00AD766C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696875">
        <w:rPr>
          <w:rFonts w:ascii="Arial" w:hAnsi="Arial" w:cs="Arial"/>
          <w:bCs/>
          <w:snapToGrid w:val="0"/>
          <w:sz w:val="22"/>
          <w:szCs w:val="22"/>
          <w:lang w:val="en-US"/>
        </w:rPr>
        <w:t>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7FB51C" w14:textId="719605D0" w:rsidR="00AD766C" w:rsidRPr="00E93F51" w:rsidRDefault="00AD766C" w:rsidP="00AD766C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696875">
        <w:rPr>
          <w:rFonts w:ascii="Arial" w:hAnsi="Arial" w:cs="Arial"/>
          <w:bCs/>
          <w:snapToGrid w:val="0"/>
          <w:sz w:val="22"/>
          <w:szCs w:val="22"/>
          <w:lang w:val="en-US"/>
        </w:rPr>
        <w:t>xxxxxxxxx</w:t>
      </w:r>
      <w:proofErr w:type="spellEnd"/>
    </w:p>
    <w:p w14:paraId="0F53A467" w14:textId="74ADE2DB" w:rsidR="00AD766C" w:rsidRDefault="00AD766C" w:rsidP="00AD766C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96875">
        <w:rPr>
          <w:rFonts w:ascii="Arial" w:hAnsi="Arial" w:cs="Arial"/>
          <w:sz w:val="22"/>
          <w:szCs w:val="22"/>
        </w:rPr>
        <w:t>xxxxxxxxx</w:t>
      </w:r>
      <w:proofErr w:type="spellEnd"/>
    </w:p>
    <w:p w14:paraId="16D6C3DC" w14:textId="77777777" w:rsidR="00AD766C" w:rsidRPr="00E93F51" w:rsidRDefault="00AD766C" w:rsidP="00AD766C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48248A7D" w14:textId="77777777" w:rsidR="00AD766C" w:rsidRPr="00E93F51" w:rsidRDefault="00AD766C" w:rsidP="00AD766C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CE1C6C3" w14:textId="77777777" w:rsidR="00AD766C" w:rsidRPr="00E93F51" w:rsidRDefault="00AD766C" w:rsidP="00AD766C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C92E927" w14:textId="77777777" w:rsidR="00AD766C" w:rsidRPr="00E93F51" w:rsidRDefault="00AD766C" w:rsidP="00AD766C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49969986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B074D7D" w14:textId="77777777" w:rsidR="00AD766C" w:rsidRPr="00E93F51" w:rsidRDefault="00AD766C" w:rsidP="00AD766C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CZ49969986</w:t>
      </w:r>
    </w:p>
    <w:p w14:paraId="69889962" w14:textId="77777777" w:rsidR="00696875" w:rsidRDefault="00696875" w:rsidP="00AD766C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</w:p>
    <w:p w14:paraId="023743EC" w14:textId="18B16BFD" w:rsidR="00AD766C" w:rsidRPr="00E93F51" w:rsidRDefault="00AD766C" w:rsidP="00AD766C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>
        <w:rPr>
          <w:rFonts w:ascii="Arial" w:hAnsi="Arial" w:cs="Arial"/>
          <w:sz w:val="22"/>
          <w:szCs w:val="22"/>
        </w:rPr>
        <w:t>KS Brno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Pr="004E2C19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4E2C19">
        <w:rPr>
          <w:rFonts w:ascii="Arial" w:hAnsi="Arial" w:cs="Arial"/>
          <w:sz w:val="22"/>
          <w:szCs w:val="22"/>
        </w:rPr>
        <w:t>,</w:t>
      </w:r>
      <w:r w:rsidRPr="00E93F51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13521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71DB113B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1"/>
      <w:r w:rsidR="00D56467">
        <w:rPr>
          <w:rStyle w:val="Siln"/>
          <w:rFonts w:ascii="Arial" w:hAnsi="Arial" w:cs="Arial"/>
          <w:sz w:val="22"/>
          <w:szCs w:val="22"/>
        </w:rPr>
        <w:t xml:space="preserve">pro </w:t>
      </w:r>
      <w:proofErr w:type="spellStart"/>
      <w:r w:rsidR="00D56467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D56467">
        <w:rPr>
          <w:rStyle w:val="Siln"/>
          <w:rFonts w:ascii="Arial" w:hAnsi="Arial" w:cs="Arial"/>
          <w:sz w:val="22"/>
          <w:szCs w:val="22"/>
        </w:rPr>
        <w:t xml:space="preserve"> Bolehošť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D56467">
        <w:rPr>
          <w:rFonts w:ascii="Arial" w:hAnsi="Arial" w:cs="Arial"/>
          <w:sz w:val="22"/>
          <w:szCs w:val="22"/>
        </w:rPr>
        <w:t>Bolehošť.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0079947F" w14:textId="77777777" w:rsidR="00823D3C" w:rsidRDefault="008325A1" w:rsidP="00823D3C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D5646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D56467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D56467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D56467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823D3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D56467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D56467">
        <w:rPr>
          <w:rStyle w:val="Siln"/>
          <w:rFonts w:ascii="Arial" w:hAnsi="Arial" w:cs="Arial"/>
          <w:b w:val="0"/>
          <w:sz w:val="22"/>
          <w:szCs w:val="22"/>
        </w:rPr>
        <w:t>na zákla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190218AE" w:rsidR="001B7847" w:rsidRPr="00E93F51" w:rsidRDefault="001B7847" w:rsidP="00823D3C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1CE50C9B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Style w:val="Siln"/>
          <w:b w:val="0"/>
        </w:rPr>
        <w:t xml:space="preserve">Čl. </w:t>
      </w:r>
      <w:r w:rsidR="002638C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7CF0DE7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668EC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D56467">
        <w:rPr>
          <w:rStyle w:val="Siln"/>
          <w:rFonts w:ascii="Arial" w:hAnsi="Arial" w:cs="Arial"/>
          <w:b w:val="0"/>
          <w:sz w:val="22"/>
          <w:szCs w:val="22"/>
        </w:rPr>
        <w:t>.12.2024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7BF33D0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D56467">
        <w:rPr>
          <w:rStyle w:val="Siln"/>
          <w:rFonts w:ascii="Arial" w:hAnsi="Arial" w:cs="Arial"/>
          <w:b w:val="0"/>
          <w:sz w:val="22"/>
          <w:szCs w:val="22"/>
        </w:rPr>
        <w:t>okres Rychnov nad Kněžnou, obec a katastrální území Bolehošť,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1AA8E9F3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B668EC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D56467">
        <w:rPr>
          <w:rFonts w:ascii="Arial" w:hAnsi="Arial" w:cs="Arial"/>
          <w:b w:val="0"/>
          <w:bCs/>
          <w:i w:val="0"/>
          <w:sz w:val="22"/>
          <w:szCs w:val="22"/>
        </w:rPr>
        <w:t>.12.2024.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0B0CCAB4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06D2D4FE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823D3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823D3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573C951A" w:rsidR="00B745E4" w:rsidRPr="00E93F51" w:rsidRDefault="00083100" w:rsidP="00AD766C">
      <w:pPr>
        <w:pStyle w:val="Zkladntext"/>
        <w:tabs>
          <w:tab w:val="decimal" w:pos="581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AD766C">
        <w:rPr>
          <w:rFonts w:ascii="Arial" w:hAnsi="Arial" w:cs="Arial"/>
          <w:b w:val="0"/>
          <w:i w:val="0"/>
          <w:sz w:val="22"/>
          <w:szCs w:val="22"/>
        </w:rPr>
        <w:tab/>
        <w:t>90 000,00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53523414" w:rsidR="00B745E4" w:rsidRPr="00E93F51" w:rsidRDefault="00B745E4" w:rsidP="00AD766C">
      <w:pPr>
        <w:pStyle w:val="Zkladntext"/>
        <w:tabs>
          <w:tab w:val="left" w:pos="2552"/>
          <w:tab w:val="decimal" w:pos="581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AD766C">
        <w:rPr>
          <w:rFonts w:ascii="Arial" w:hAnsi="Arial" w:cs="Arial"/>
          <w:b w:val="0"/>
          <w:i w:val="0"/>
          <w:sz w:val="22"/>
          <w:szCs w:val="22"/>
        </w:rPr>
        <w:t xml:space="preserve">                           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r w:rsidR="00AD766C">
        <w:rPr>
          <w:rFonts w:ascii="Arial" w:hAnsi="Arial" w:cs="Arial"/>
          <w:b w:val="0"/>
          <w:i w:val="0"/>
          <w:sz w:val="22"/>
          <w:szCs w:val="22"/>
        </w:rPr>
        <w:tab/>
        <w:t>18 900,00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4A30F5CA" w:rsidR="00B745E4" w:rsidRPr="00E93F51" w:rsidRDefault="00083100" w:rsidP="00AD766C">
      <w:pPr>
        <w:pStyle w:val="Zkladntext"/>
        <w:tabs>
          <w:tab w:val="decimal" w:pos="581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D766C">
        <w:rPr>
          <w:rFonts w:ascii="Arial" w:hAnsi="Arial" w:cs="Arial"/>
          <w:b w:val="0"/>
          <w:i w:val="0"/>
          <w:sz w:val="22"/>
          <w:szCs w:val="22"/>
        </w:rPr>
        <w:tab/>
        <w:t>108 900,00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3F4A9551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823D3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</w:t>
      </w:r>
      <w:r w:rsidR="00823D3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ukončení účinnosti smlouvy.</w:t>
      </w:r>
      <w:r w:rsidR="00823D3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3EE71B77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do </w:t>
      </w:r>
      <w:r w:rsidR="00BD5EE3">
        <w:rPr>
          <w:rStyle w:val="Siln"/>
          <w:rFonts w:ascii="Arial" w:hAnsi="Arial" w:cs="Arial"/>
          <w:b w:val="0"/>
          <w:sz w:val="22"/>
          <w:szCs w:val="22"/>
          <w:lang w:eastAsia="cs-CZ"/>
        </w:rPr>
        <w:t>5. prosince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D56467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D56467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1006BD8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</w:t>
      </w:r>
      <w:r w:rsidR="00823D3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967936B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</w:t>
      </w:r>
      <w:r w:rsidR="00823D3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 tím, že</w:t>
      </w:r>
      <w:r w:rsidR="00823D3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</w:t>
      </w:r>
      <w:r w:rsidR="00823D3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58F25D3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6E7D68B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F7A55C3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624C35C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AE415B1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D56467" w:rsidRPr="00D5646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, </w:t>
      </w:r>
      <w:r w:rsidR="00101D4A" w:rsidRPr="00D56467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D56467">
        <w:rPr>
          <w:rFonts w:ascii="Arial" w:hAnsi="Arial" w:cs="Arial"/>
          <w:bCs/>
          <w:sz w:val="22"/>
          <w:szCs w:val="22"/>
          <w:lang w:val="en-US"/>
        </w:rPr>
        <w:t xml:space="preserve"> 2 500 </w:t>
      </w:r>
      <w:proofErr w:type="spellStart"/>
      <w:r w:rsidR="004568DC" w:rsidRPr="00D56467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4568DC" w:rsidRPr="00D5646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DFD94AB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splňujícího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65D5EA6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0CA846E9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 w:rsidRPr="002638C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638C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1F442D8F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nejméně </w:t>
      </w:r>
      <w:r w:rsidR="00D56467">
        <w:rPr>
          <w:rFonts w:ascii="Arial" w:hAnsi="Arial" w:cs="Arial"/>
          <w:bCs/>
          <w:sz w:val="22"/>
          <w:szCs w:val="22"/>
        </w:rPr>
        <w:t>ve výši celkové ceny bez DPH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A63B7F" w14:paraId="4622AD9D" w14:textId="77777777" w:rsidTr="0044285B">
        <w:tc>
          <w:tcPr>
            <w:tcW w:w="4606" w:type="dxa"/>
            <w:shd w:val="clear" w:color="auto" w:fill="auto"/>
          </w:tcPr>
          <w:p w14:paraId="251E6703" w14:textId="56C0BB83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A63B7F"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R</w:t>
            </w:r>
            <w:r w:rsidR="00A63B7F" w:rsidRPr="00A63B7F">
              <w:rPr>
                <w:rFonts w:ascii="Arial" w:hAnsi="Arial" w:cs="Arial"/>
                <w:b w:val="0"/>
                <w:i w:val="0"/>
              </w:rPr>
              <w:t>ychnově nad Kněžnou</w:t>
            </w: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69687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18.10.202</w:t>
            </w:r>
            <w:r w:rsidR="00EE1C20">
              <w:rPr>
                <w:rFonts w:ascii="Arial" w:hAnsi="Arial" w:cs="Arial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4606" w:type="dxa"/>
            <w:shd w:val="clear" w:color="auto" w:fill="auto"/>
          </w:tcPr>
          <w:p w14:paraId="1A62A2E1" w14:textId="33AAB9DA" w:rsidR="0029141F" w:rsidRPr="00A63B7F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napToGrid w:val="0"/>
                <w:sz w:val="22"/>
                <w:szCs w:val="22"/>
                <w:lang w:val="en-US"/>
              </w:rPr>
            </w:pP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AD766C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96875">
              <w:rPr>
                <w:rFonts w:ascii="Arial" w:hAnsi="Arial" w:cs="Arial"/>
                <w:b w:val="0"/>
                <w:i w:val="0"/>
                <w:sz w:val="22"/>
                <w:szCs w:val="22"/>
              </w:rPr>
              <w:t>18.10.202</w:t>
            </w:r>
            <w:r w:rsidR="00EE1C20">
              <w:rPr>
                <w:rFonts w:ascii="Arial" w:hAnsi="Arial" w:cs="Arial"/>
                <w:b w:val="0"/>
                <w:i w:val="0"/>
                <w:sz w:val="22"/>
                <w:szCs w:val="22"/>
              </w:rPr>
              <w:t>4</w:t>
            </w:r>
          </w:p>
          <w:p w14:paraId="550F46F9" w14:textId="77777777" w:rsidR="002B0933" w:rsidRPr="00A63B7F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A63B7F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A63B7F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A63B7F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A63B7F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A63B7F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A63B7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A63B7F" w:rsidRPr="00A63B7F" w14:paraId="2D307A34" w14:textId="77777777" w:rsidTr="0044285B">
        <w:tc>
          <w:tcPr>
            <w:tcW w:w="4606" w:type="dxa"/>
            <w:shd w:val="clear" w:color="auto" w:fill="auto"/>
          </w:tcPr>
          <w:p w14:paraId="3FFD21F9" w14:textId="7EDA2E5F" w:rsidR="00A63B7F" w:rsidRPr="00A63B7F" w:rsidRDefault="00A63B7F" w:rsidP="00A63B7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iCs/>
              </w:rPr>
              <w:t xml:space="preserve">Mgr. Alena Rufferová </w:t>
            </w:r>
          </w:p>
        </w:tc>
        <w:tc>
          <w:tcPr>
            <w:tcW w:w="4606" w:type="dxa"/>
            <w:shd w:val="clear" w:color="auto" w:fill="auto"/>
          </w:tcPr>
          <w:p w14:paraId="6D0D2AD1" w14:textId="44EE6A72" w:rsidR="00A63B7F" w:rsidRPr="00A63B7F" w:rsidRDefault="00AD766C" w:rsidP="00A63B7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Mgr. Aleš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Grünwald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</w:p>
        </w:tc>
      </w:tr>
      <w:tr w:rsidR="00A63B7F" w:rsidRPr="00A63B7F" w14:paraId="482EEBFA" w14:textId="77777777" w:rsidTr="0044285B">
        <w:tc>
          <w:tcPr>
            <w:tcW w:w="4606" w:type="dxa"/>
            <w:shd w:val="clear" w:color="auto" w:fill="auto"/>
          </w:tcPr>
          <w:p w14:paraId="37CCF47C" w14:textId="1331F783" w:rsidR="00A63B7F" w:rsidRPr="00A63B7F" w:rsidRDefault="00A63B7F" w:rsidP="00A63B7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iCs/>
              </w:rPr>
              <w:t xml:space="preserve">vedoucí Pobočky Rychnov nad Kněžnou </w:t>
            </w:r>
          </w:p>
        </w:tc>
        <w:tc>
          <w:tcPr>
            <w:tcW w:w="4606" w:type="dxa"/>
            <w:shd w:val="clear" w:color="auto" w:fill="auto"/>
          </w:tcPr>
          <w:p w14:paraId="4CCBF97C" w14:textId="52AAD228" w:rsidR="00A63B7F" w:rsidRPr="00A63B7F" w:rsidRDefault="00AD766C" w:rsidP="00A63B7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112E44">
              <w:rPr>
                <w:rFonts w:ascii="Arial" w:hAnsi="Arial" w:cs="Arial"/>
                <w:b w:val="0"/>
                <w:i w:val="0"/>
                <w:sz w:val="22"/>
                <w:szCs w:val="22"/>
              </w:rPr>
              <w:t>HIG geologická služba, spol. s r.o.</w:t>
            </w:r>
          </w:p>
        </w:tc>
      </w:tr>
      <w:tr w:rsidR="00A63B7F" w:rsidRPr="00A63B7F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EF11FF2" w:rsidR="00A63B7F" w:rsidRPr="00A63B7F" w:rsidRDefault="00A63B7F" w:rsidP="00A63B7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A63B7F">
              <w:rPr>
                <w:rFonts w:ascii="Arial" w:hAnsi="Arial" w:cs="Arial"/>
                <w:b w:val="0"/>
                <w:i w:val="0"/>
                <w:iCs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BF5BD4C" w14:textId="77777777" w:rsidR="00A63B7F" w:rsidRPr="00A63B7F" w:rsidRDefault="00A63B7F" w:rsidP="00A63B7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3E17B3A" w:rsidR="00821765" w:rsidRPr="00E93F51" w:rsidRDefault="008838F9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  <w:r w:rsidR="0040514A"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6C62805" w14:textId="55457AFA" w:rsidR="00E71D59" w:rsidRPr="00E71D59" w:rsidRDefault="00E71D59" w:rsidP="00E71D59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823D3C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Realizace a vyhodnocení 4 sond předběžného geotechnického průzkumu pro rekonstrukci polní cesty VC11-R a VC19-R.</w:t>
      </w:r>
    </w:p>
    <w:p w14:paraId="69DC38AA" w14:textId="77777777" w:rsidR="00E71D59" w:rsidRDefault="00E71D59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4D2CCC38" w14:textId="77777777" w:rsidR="00B668EC" w:rsidRDefault="00B668EC" w:rsidP="00B668EC">
      <w:pPr>
        <w:ind w:right="423" w:firstLine="284"/>
        <w:jc w:val="both"/>
        <w:rPr>
          <w:b/>
        </w:rPr>
      </w:pPr>
    </w:p>
    <w:p w14:paraId="434570CD" w14:textId="042CFE84" w:rsidR="00B668EC" w:rsidRPr="00B668EC" w:rsidRDefault="00B668EC" w:rsidP="00B668EC">
      <w:pPr>
        <w:ind w:right="423"/>
        <w:jc w:val="both"/>
        <w:rPr>
          <w:rFonts w:ascii="Arial" w:hAnsi="Arial" w:cs="Arial"/>
          <w:b/>
          <w:sz w:val="22"/>
          <w:szCs w:val="22"/>
        </w:rPr>
      </w:pPr>
      <w:r w:rsidRPr="00B668EC">
        <w:rPr>
          <w:rFonts w:ascii="Arial" w:hAnsi="Arial" w:cs="Arial"/>
          <w:b/>
          <w:sz w:val="22"/>
          <w:szCs w:val="22"/>
        </w:rPr>
        <w:t>Rekonstruovaná polní cesta VC11-R</w:t>
      </w:r>
    </w:p>
    <w:p w14:paraId="5A054C0D" w14:textId="402FBF26" w:rsidR="00B668EC" w:rsidRPr="00B668EC" w:rsidRDefault="00B668EC" w:rsidP="00B668EC">
      <w:pPr>
        <w:ind w:right="423"/>
        <w:jc w:val="both"/>
        <w:rPr>
          <w:rFonts w:ascii="Arial" w:hAnsi="Arial" w:cs="Arial"/>
          <w:sz w:val="22"/>
          <w:szCs w:val="20"/>
        </w:rPr>
      </w:pPr>
      <w:r w:rsidRPr="00B668EC">
        <w:rPr>
          <w:rFonts w:ascii="Arial" w:hAnsi="Arial" w:cs="Arial"/>
          <w:color w:val="000000"/>
          <w:sz w:val="22"/>
          <w:szCs w:val="20"/>
        </w:rPr>
        <w:t>Cesta napojující se v jihozápadní části území na intravilán obce Bolehošť. V začátku cca km 0,050 až km 0,400 je cesta vedená podél stávajícího příkopu HOZ 2. Jedná se o část cesty s potencionálním</w:t>
      </w:r>
      <w:r w:rsidRPr="00B668EC">
        <w:rPr>
          <w:rFonts w:ascii="Arial" w:hAnsi="Arial" w:cs="Arial"/>
          <w:sz w:val="22"/>
          <w:szCs w:val="20"/>
        </w:rPr>
        <w:t xml:space="preserve"> zamokřením a zvodněním. Cesta je dále vedena přes Bezedný potok jihozápadním směrem k lesním pozemkům. </w:t>
      </w:r>
      <w:r w:rsidR="008A751A">
        <w:rPr>
          <w:rFonts w:ascii="Arial" w:hAnsi="Arial" w:cs="Arial"/>
          <w:sz w:val="22"/>
          <w:szCs w:val="20"/>
        </w:rPr>
        <w:t>(</w:t>
      </w:r>
      <w:r w:rsidR="008A751A" w:rsidRPr="008A751A">
        <w:rPr>
          <w:rFonts w:ascii="Arial" w:hAnsi="Arial" w:cs="Arial"/>
          <w:sz w:val="22"/>
          <w:szCs w:val="20"/>
        </w:rPr>
        <w:t>sondy 4,5</w:t>
      </w:r>
      <w:r w:rsidR="008A751A">
        <w:rPr>
          <w:rFonts w:ascii="Arial" w:hAnsi="Arial" w:cs="Arial"/>
          <w:sz w:val="22"/>
          <w:szCs w:val="20"/>
        </w:rPr>
        <w:t>)</w:t>
      </w:r>
    </w:p>
    <w:p w14:paraId="79AED59A" w14:textId="77777777" w:rsidR="00B668EC" w:rsidRDefault="00B668EC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742386BA" w14:textId="77777777" w:rsidR="00E71D59" w:rsidRPr="00823D3C" w:rsidRDefault="00E71D59" w:rsidP="00E71D59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23D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Rekonstruovaná polní cesta </w:t>
      </w:r>
      <w:bookmarkStart w:id="18" w:name="_Hlk179287927"/>
      <w:r w:rsidRPr="00823D3C">
        <w:rPr>
          <w:rFonts w:ascii="Arial" w:eastAsia="Calibri" w:hAnsi="Arial" w:cs="Arial"/>
          <w:b/>
          <w:bCs/>
          <w:sz w:val="22"/>
          <w:szCs w:val="22"/>
          <w:lang w:eastAsia="en-US"/>
        </w:rPr>
        <w:t>VC19-R</w:t>
      </w:r>
      <w:bookmarkEnd w:id="18"/>
    </w:p>
    <w:p w14:paraId="06CECCBD" w14:textId="560458A2" w:rsidR="008A751A" w:rsidRPr="00E71D59" w:rsidRDefault="008A751A" w:rsidP="008A751A">
      <w:pPr>
        <w:widowControl w:val="0"/>
        <w:spacing w:before="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3D3C">
        <w:rPr>
          <w:rFonts w:ascii="Arial" w:eastAsia="Calibri" w:hAnsi="Arial" w:cs="Arial"/>
          <w:sz w:val="22"/>
          <w:szCs w:val="22"/>
          <w:lang w:eastAsia="en-US"/>
        </w:rPr>
        <w:t>Cesta v severní části území napojující se na místí komunikaci je vedená severovýchodním směrem s napojením na hlavní polní cestu HC1. Cesta je vedena svažitým územím a obchází zamokřenou lokalitu V rybníčkách. Jedná se o část cesty km 0,100 až km 0,200 s potencionálním zamokřením a zvodněním. (sondy 9,10)</w:t>
      </w:r>
    </w:p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CC8D495" w14:textId="0913F78A" w:rsidR="00AF35CF" w:rsidRPr="00E93F51" w:rsidRDefault="00F74916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B. 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Požadavky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na technické práce a podklady</w:t>
      </w:r>
    </w:p>
    <w:p w14:paraId="0113D23E" w14:textId="1D9D1EDD" w:rsidR="00F74916" w:rsidRPr="007E175B" w:rsidRDefault="00F74916" w:rsidP="00F74916">
      <w:pPr>
        <w:widowControl w:val="0"/>
        <w:tabs>
          <w:tab w:val="left" w:pos="1814"/>
        </w:tabs>
        <w:spacing w:before="56" w:line="276" w:lineRule="auto"/>
        <w:ind w:right="936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Mapový zákres umístění jednotlivých sond</w:t>
      </w:r>
      <w:r w:rsidR="000A171E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="000A171E" w:rsidRPr="00823D3C">
        <w:rPr>
          <w:rFonts w:ascii="Arial" w:eastAsia="Calibri" w:hAnsi="Arial" w:cs="Arial"/>
          <w:spacing w:val="-1"/>
          <w:sz w:val="22"/>
          <w:szCs w:val="22"/>
          <w:lang w:eastAsia="en-US"/>
        </w:rPr>
        <w:t>se souřadnicemi</w:t>
      </w: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0754B4B" w14:textId="77777777" w:rsidR="00F74916" w:rsidRDefault="00F74916" w:rsidP="00F74916">
      <w:pPr>
        <w:widowControl w:val="0"/>
        <w:spacing w:before="9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Informace o střetech zájmů chráněných zvlášt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ními právními předpisy ve formě </w:t>
      </w: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zpracované dokumentace rozboru současného stavu pro </w:t>
      </w:r>
      <w:proofErr w:type="spellStart"/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KoPÚ</w:t>
      </w:r>
      <w:proofErr w:type="spellEnd"/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Bolehošť.</w:t>
      </w:r>
    </w:p>
    <w:p w14:paraId="5ED673FB" w14:textId="77777777" w:rsidR="00F74916" w:rsidRDefault="00F74916" w:rsidP="00F74916">
      <w:pPr>
        <w:widowControl w:val="0"/>
        <w:spacing w:line="307" w:lineRule="exact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Podrobnější informace budou k dispozici na vyžádání u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zástupce </w:t>
      </w: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zhotovitele </w:t>
      </w:r>
      <w:proofErr w:type="spellStart"/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KoPÚ</w:t>
      </w:r>
      <w:proofErr w:type="spellEnd"/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Bolehošť (INGEOS spol. s r.o.).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p w14:paraId="3CF39859" w14:textId="77777777" w:rsidR="00096F04" w:rsidRPr="00E93F51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104E5F5C" w:rsidR="00A85C66" w:rsidRPr="00E93F51" w:rsidRDefault="00B127C5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136A07AA" w14:textId="09F57060" w:rsidR="00AF35CF" w:rsidRDefault="00F74916" w:rsidP="000A171E">
      <w:pPr>
        <w:widowControl w:val="0"/>
        <w:spacing w:before="9"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Realizace a vyhodnocení 4 sond pro nově navrhovanou soustavu tůní na Bezedném potoce (sondy 1,2,3,11) a realizace a vyhodnocení 3 sond v prostoru nefunkční vodní nádrže pro obnovu vodní nádrže </w:t>
      </w:r>
      <w:r w:rsidR="000A171E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případně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tůně (sondy 6,7,8).</w:t>
      </w:r>
    </w:p>
    <w:p w14:paraId="0624B605" w14:textId="77777777" w:rsidR="00F74916" w:rsidRDefault="00F74916" w:rsidP="00AF35CF">
      <w:pPr>
        <w:widowControl w:val="0"/>
        <w:spacing w:before="9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303B99ED" w14:textId="77777777" w:rsidR="00F74916" w:rsidRPr="00F74916" w:rsidRDefault="00F74916" w:rsidP="00F74916">
      <w:pPr>
        <w:widowControl w:val="0"/>
        <w:spacing w:before="9"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Nová soustava tůní na Bezedném potoce</w:t>
      </w:r>
    </w:p>
    <w:p w14:paraId="21567AFF" w14:textId="2EEC27DA" w:rsidR="00F74916" w:rsidRDefault="00F74916" w:rsidP="000A171E">
      <w:pPr>
        <w:widowControl w:val="0"/>
        <w:spacing w:before="9"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Jedná se o plánovanou soustavu tůní jihozápadně od obce Bolehošť na Bezedném potoce. Soustava tůní bude umístěna při levém břehu, případně pravém břehu vodního toku 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z</w:t>
      </w: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ahloubením v kombinaci s doprovodnými hrázkami dle konfigurace stávajícího terénu.</w:t>
      </w:r>
    </w:p>
    <w:p w14:paraId="1F5C3C37" w14:textId="77777777" w:rsidR="00F74916" w:rsidRDefault="00F74916" w:rsidP="00F74916">
      <w:pPr>
        <w:widowControl w:val="0"/>
        <w:spacing w:before="9"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0914B4AB" w14:textId="71DB8ADF" w:rsidR="00F74916" w:rsidRPr="00F74916" w:rsidRDefault="00F74916" w:rsidP="00F74916">
      <w:pPr>
        <w:widowControl w:val="0"/>
        <w:spacing w:before="9"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Nová </w:t>
      </w:r>
      <w:r w:rsidR="000A171E" w:rsidRPr="000A171E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malá vodní nádrž (označená Tůň5)</w:t>
      </w:r>
      <w:r w:rsidR="000A171E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</w:t>
      </w: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v prostoru nefunkční vodní nádrže</w:t>
      </w:r>
    </w:p>
    <w:p w14:paraId="0AD7D06D" w14:textId="0D288AE8" w:rsidR="00F74916" w:rsidRDefault="00F74916" w:rsidP="00F74916">
      <w:pPr>
        <w:widowControl w:val="0"/>
        <w:spacing w:before="9"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Pozůstatky stávající nádrže se nacházejí ve východní části území u lesních pozemků. Nádrž se nachází v prameništi vodní linie s funkcí hlavního odvodňovacího příkopu s označením HMZ IDVT 10171735. Cílem PSZ je obnovení vodní nádrže </w:t>
      </w:r>
      <w:r w:rsidR="000A171E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případně</w:t>
      </w:r>
      <w:r w:rsidRPr="00F74916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tůně.</w:t>
      </w:r>
    </w:p>
    <w:p w14:paraId="1971719C" w14:textId="77777777" w:rsidR="00F74916" w:rsidRDefault="00F74916" w:rsidP="00AF35CF">
      <w:pPr>
        <w:widowControl w:val="0"/>
        <w:spacing w:before="9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4C7D52C4" w14:textId="77777777" w:rsidR="00F9385B" w:rsidRDefault="00F9385B" w:rsidP="00F9385B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B. Požadavky na technické práce a podklady:</w:t>
      </w:r>
    </w:p>
    <w:p w14:paraId="12A59878" w14:textId="09CED843" w:rsidR="00F74916" w:rsidRPr="007E175B" w:rsidRDefault="00F74916" w:rsidP="00F74916">
      <w:pPr>
        <w:widowControl w:val="0"/>
        <w:tabs>
          <w:tab w:val="left" w:pos="1814"/>
        </w:tabs>
        <w:spacing w:before="56" w:line="276" w:lineRule="auto"/>
        <w:ind w:right="936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Mapový zákres umístění jednotlivých sond</w:t>
      </w:r>
      <w:r w:rsidR="00823D3C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se souřadnicemi</w:t>
      </w: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5D6FB13" w14:textId="77777777" w:rsidR="00F74916" w:rsidRDefault="00F74916" w:rsidP="00F74916">
      <w:pPr>
        <w:widowControl w:val="0"/>
        <w:spacing w:before="9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Informace o střetech zájmů chráněných zvlášt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ními právními předpisy ve formě </w:t>
      </w: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zpracované dokumentace rozboru současného stavu pro </w:t>
      </w:r>
      <w:proofErr w:type="spellStart"/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KoPÚ</w:t>
      </w:r>
      <w:proofErr w:type="spellEnd"/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Bolehošť.</w:t>
      </w:r>
    </w:p>
    <w:p w14:paraId="536AECAE" w14:textId="77777777" w:rsidR="00F74916" w:rsidRDefault="00F74916" w:rsidP="00F74916">
      <w:pPr>
        <w:widowControl w:val="0"/>
        <w:spacing w:line="307" w:lineRule="exact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Podrobnější informace budou k dispozici na vyžádání u 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zástupce </w:t>
      </w:r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zhotovitele </w:t>
      </w:r>
      <w:proofErr w:type="spellStart"/>
      <w:r w:rsidRPr="007E175B">
        <w:rPr>
          <w:rFonts w:ascii="Arial" w:eastAsia="Calibri" w:hAnsi="Arial" w:cs="Arial"/>
          <w:spacing w:val="-1"/>
          <w:sz w:val="22"/>
          <w:szCs w:val="22"/>
          <w:lang w:eastAsia="en-US"/>
        </w:rPr>
        <w:t>KoPÚ</w:t>
      </w:r>
      <w:proofErr w:type="spellEnd"/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Bolehošť (INGEOS spol. s r.o.).</w:t>
      </w:r>
    </w:p>
    <w:p w14:paraId="4FFD8850" w14:textId="77777777" w:rsidR="00F74916" w:rsidRDefault="00F74916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F9385B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09EB9E45" w14:textId="77777777" w:rsidR="00F9385B" w:rsidRDefault="00F9385B" w:rsidP="00F9385B">
      <w:pPr>
        <w:widowControl w:val="0"/>
        <w:tabs>
          <w:tab w:val="left" w:pos="1116"/>
        </w:tabs>
        <w:spacing w:before="5" w:line="276" w:lineRule="auto"/>
        <w:ind w:right="254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005E51F4" w14:textId="77777777" w:rsidR="00F9385B" w:rsidRDefault="00F9385B" w:rsidP="00F9385B">
      <w:pPr>
        <w:widowControl w:val="0"/>
        <w:tabs>
          <w:tab w:val="left" w:pos="1116"/>
        </w:tabs>
        <w:spacing w:before="5" w:line="276" w:lineRule="auto"/>
        <w:ind w:right="254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79511446" w14:textId="77777777" w:rsidR="00F9385B" w:rsidRPr="00E93F51" w:rsidRDefault="00F9385B" w:rsidP="00F9385B">
      <w:pPr>
        <w:widowControl w:val="0"/>
        <w:tabs>
          <w:tab w:val="left" w:pos="1116"/>
        </w:tabs>
        <w:spacing w:before="5" w:line="276" w:lineRule="auto"/>
        <w:ind w:right="254"/>
        <w:rPr>
          <w:rFonts w:ascii="Arial" w:eastAsia="Calibri" w:hAnsi="Arial" w:cs="Arial"/>
          <w:sz w:val="22"/>
          <w:szCs w:val="22"/>
          <w:lang w:eastAsia="en-US"/>
        </w:rPr>
      </w:pP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lastRenderedPageBreak/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5A644483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876B8F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8A6" w14:textId="74E84267" w:rsidR="00F523A5" w:rsidRPr="004652E6" w:rsidRDefault="00876B8F" w:rsidP="00876B8F">
    <w:pPr>
      <w:pStyle w:val="Zhlav"/>
      <w:tabs>
        <w:tab w:val="clear" w:pos="4536"/>
        <w:tab w:val="left" w:pos="303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 xml:space="preserve">Zpracování geotechnického průzkumu pro </w:t>
    </w:r>
    <w:proofErr w:type="spellStart"/>
    <w:r>
      <w:rPr>
        <w:i/>
        <w:sz w:val="20"/>
        <w:szCs w:val="20"/>
      </w:rPr>
      <w:t>KoPÚ</w:t>
    </w:r>
    <w:proofErr w:type="spellEnd"/>
    <w:r>
      <w:rPr>
        <w:i/>
        <w:sz w:val="20"/>
        <w:szCs w:val="20"/>
      </w:rPr>
      <w:t xml:space="preserve"> Bolehošť</w:t>
    </w:r>
    <w:r>
      <w:rPr>
        <w:i/>
        <w:sz w:val="20"/>
        <w:szCs w:val="20"/>
      </w:rPr>
      <w:tab/>
    </w:r>
    <w:r w:rsidR="00F523A5">
      <w:rPr>
        <w:i/>
        <w:sz w:val="20"/>
        <w:szCs w:val="20"/>
      </w:rPr>
      <w:tab/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CB16" w14:textId="165D5193" w:rsidR="00876B8F" w:rsidRDefault="00876B8F" w:rsidP="006E23C1">
    <w:pPr>
      <w:pStyle w:val="Zhlav"/>
      <w:tabs>
        <w:tab w:val="clear" w:pos="4536"/>
        <w:tab w:val="left" w:pos="467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>UID:</w:t>
    </w:r>
    <w:r w:rsidR="006E23C1">
      <w:rPr>
        <w:rFonts w:ascii="Arial" w:hAnsi="Arial" w:cs="Arial"/>
        <w:i/>
        <w:sz w:val="20"/>
        <w:szCs w:val="20"/>
      </w:rPr>
      <w:t xml:space="preserve"> </w:t>
    </w:r>
    <w:r w:rsidR="006E23C1" w:rsidRPr="006E23C1">
      <w:rPr>
        <w:rFonts w:ascii="Arial" w:hAnsi="Arial" w:cs="Arial"/>
        <w:i/>
        <w:sz w:val="20"/>
        <w:szCs w:val="20"/>
      </w:rPr>
      <w:t>spudms00000014972571</w:t>
    </w:r>
  </w:p>
  <w:p w14:paraId="294774D8" w14:textId="7A8C0B61" w:rsidR="00876B8F" w:rsidRPr="004652E6" w:rsidRDefault="00876B8F" w:rsidP="006E23C1">
    <w:pPr>
      <w:pStyle w:val="Zhlav"/>
      <w:tabs>
        <w:tab w:val="clear" w:pos="4536"/>
        <w:tab w:val="left" w:pos="467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 xml:space="preserve">íslo smlouvy </w:t>
    </w:r>
    <w:r w:rsidRPr="004652E6">
      <w:rPr>
        <w:rFonts w:ascii="Arial" w:hAnsi="Arial" w:cs="Arial"/>
        <w:i/>
        <w:sz w:val="20"/>
        <w:szCs w:val="20"/>
      </w:rPr>
      <w:t>objednatele:</w:t>
    </w:r>
    <w:r w:rsidR="006E23C1">
      <w:rPr>
        <w:rFonts w:ascii="Arial" w:hAnsi="Arial" w:cs="Arial"/>
        <w:i/>
        <w:sz w:val="20"/>
        <w:szCs w:val="20"/>
      </w:rPr>
      <w:t xml:space="preserve"> </w:t>
    </w:r>
    <w:r w:rsidR="00597DB3" w:rsidRPr="00597DB3">
      <w:rPr>
        <w:rFonts w:ascii="Arial" w:hAnsi="Arial" w:cs="Arial"/>
        <w:i/>
        <w:sz w:val="20"/>
        <w:szCs w:val="20"/>
      </w:rPr>
      <w:t>1184-2024-514204</w:t>
    </w:r>
    <w:r>
      <w:rPr>
        <w:rFonts w:ascii="Arial" w:hAnsi="Arial" w:cs="Arial"/>
        <w:i/>
        <w:sz w:val="20"/>
        <w:szCs w:val="20"/>
      </w:rPr>
      <w:tab/>
      <w:t>Číslo smlouvy z</w:t>
    </w:r>
    <w:r w:rsidRPr="004652E6">
      <w:rPr>
        <w:rFonts w:ascii="Arial" w:hAnsi="Arial" w:cs="Arial"/>
        <w:i/>
        <w:sz w:val="20"/>
        <w:szCs w:val="20"/>
      </w:rPr>
      <w:t>hotovitele:</w:t>
    </w:r>
  </w:p>
  <w:p w14:paraId="31349135" w14:textId="77777777" w:rsidR="00876B8F" w:rsidRDefault="00876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171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38C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2493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97DB3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6875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23C1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31EB"/>
    <w:rsid w:val="00705588"/>
    <w:rsid w:val="00706CB0"/>
    <w:rsid w:val="00711EBB"/>
    <w:rsid w:val="00712045"/>
    <w:rsid w:val="0071607D"/>
    <w:rsid w:val="007168A8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3D3C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76B8F"/>
    <w:rsid w:val="0088005F"/>
    <w:rsid w:val="0088135D"/>
    <w:rsid w:val="0088292E"/>
    <w:rsid w:val="008838F9"/>
    <w:rsid w:val="00883D5F"/>
    <w:rsid w:val="00890731"/>
    <w:rsid w:val="00890AEC"/>
    <w:rsid w:val="008915A7"/>
    <w:rsid w:val="008932A3"/>
    <w:rsid w:val="008A10CC"/>
    <w:rsid w:val="008A1FCA"/>
    <w:rsid w:val="008A6351"/>
    <w:rsid w:val="008A751A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33407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B7F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D766C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27C5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8EC"/>
    <w:rsid w:val="00B66B9F"/>
    <w:rsid w:val="00B679F5"/>
    <w:rsid w:val="00B70366"/>
    <w:rsid w:val="00B70E97"/>
    <w:rsid w:val="00B745E4"/>
    <w:rsid w:val="00B746AE"/>
    <w:rsid w:val="00B77FCC"/>
    <w:rsid w:val="00B80B4E"/>
    <w:rsid w:val="00B83749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5EE3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5D9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56467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449B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1D59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1C20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4916"/>
    <w:rsid w:val="00F77DFB"/>
    <w:rsid w:val="00F800FC"/>
    <w:rsid w:val="00F81A04"/>
    <w:rsid w:val="00F8750E"/>
    <w:rsid w:val="00F87A5F"/>
    <w:rsid w:val="00F91758"/>
    <w:rsid w:val="00F9385B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6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ada3fa48-c231-4f9d-a491-19361e04fcb4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2046fdb6-fa60-49a6-a635-1115ab0d2074"/>
    <ds:schemaRef ds:uri="85f4b5cc-4033-44c7-b405-f5eed34c8154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4694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Vithová Miroslava Ing.</cp:lastModifiedBy>
  <cp:revision>4</cp:revision>
  <cp:lastPrinted>2024-10-17T09:03:00Z</cp:lastPrinted>
  <dcterms:created xsi:type="dcterms:W3CDTF">2024-10-18T07:46:00Z</dcterms:created>
  <dcterms:modified xsi:type="dcterms:W3CDTF">2024-10-24T08:04:00Z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