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2C70" w14:textId="77777777" w:rsidR="009559F0" w:rsidRDefault="00AF69A4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B381C2" w14:textId="77777777" w:rsidR="009559F0" w:rsidRDefault="00AF69A4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085A460" w14:textId="77777777" w:rsidR="009559F0" w:rsidRDefault="00AF69A4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1FFD9DB" w14:textId="77777777" w:rsidR="009559F0" w:rsidRDefault="00AF69A4">
      <w:pPr>
        <w:tabs>
          <w:tab w:val="center" w:pos="2006"/>
          <w:tab w:val="center" w:pos="83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565776 Třebívlice</w:t>
      </w:r>
    </w:p>
    <w:p w14:paraId="3F557E60" w14:textId="77777777" w:rsidR="009559F0" w:rsidRDefault="00AF69A4">
      <w:pPr>
        <w:tabs>
          <w:tab w:val="center" w:pos="6930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754099 Skalice u Lovosic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DDDFE38" w14:textId="77777777" w:rsidR="009559F0" w:rsidRDefault="00AF69A4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</w:t>
      </w:r>
      <w:r>
        <w:rPr>
          <w:rFonts w:ascii="Courier New" w:eastAsia="Courier New" w:hAnsi="Courier New" w:cs="Courier New"/>
          <w:b/>
          <w:sz w:val="20"/>
        </w:rPr>
        <w:t xml:space="preserve">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9559F0" w14:paraId="5259ACF6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6E7FE9" w14:textId="77777777" w:rsidR="009559F0" w:rsidRDefault="00AF69A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2DF81F" w14:textId="77777777" w:rsidR="009559F0" w:rsidRDefault="00AF69A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947502" w14:textId="77777777" w:rsidR="009559F0" w:rsidRDefault="00AF69A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559F0" w14:paraId="5A899D2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4D2E09" w14:textId="77777777" w:rsidR="009559F0" w:rsidRDefault="00AF69A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CEBF2DA" w14:textId="77777777" w:rsidR="009559F0" w:rsidRDefault="00AF69A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2D05808" w14:textId="77777777" w:rsidR="009559F0" w:rsidRDefault="00AF69A4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DCE05A6" w14:textId="77777777" w:rsidR="009559F0" w:rsidRDefault="00AF69A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3BB6383" w14:textId="77777777" w:rsidR="009559F0" w:rsidRDefault="00AF69A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6E54087" w14:textId="77777777" w:rsidR="009559F0" w:rsidRDefault="00AF69A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3E94DC3" w14:textId="77777777" w:rsidR="009559F0" w:rsidRDefault="00AF69A4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592010" w14:textId="77777777" w:rsidR="009559F0" w:rsidRDefault="00AF69A4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E2FC0B4" w14:textId="77777777" w:rsidR="009559F0" w:rsidRDefault="00AF69A4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00B0C0" w14:textId="77777777" w:rsidR="009559F0" w:rsidRDefault="009559F0"/>
        </w:tc>
      </w:tr>
      <w:tr w:rsidR="009559F0" w14:paraId="41A43A6E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5EAE1E" w14:textId="77777777" w:rsidR="009559F0" w:rsidRDefault="00AF69A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74AA3A5" w14:textId="77777777" w:rsidR="009559F0" w:rsidRDefault="00AF69A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574B666" w14:textId="77777777" w:rsidR="009559F0" w:rsidRDefault="00AF69A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9864F80" w14:textId="77777777" w:rsidR="009559F0" w:rsidRDefault="00AF69A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A4E9A5" w14:textId="77777777" w:rsidR="009559F0" w:rsidRDefault="009559F0"/>
        </w:tc>
      </w:tr>
    </w:tbl>
    <w:p w14:paraId="54625F7B" w14:textId="77777777" w:rsidR="009559F0" w:rsidRDefault="00AF69A4">
      <w:pPr>
        <w:tabs>
          <w:tab w:val="center" w:pos="1011"/>
          <w:tab w:val="center" w:pos="3915"/>
          <w:tab w:val="center" w:pos="973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467/16</w:t>
      </w:r>
      <w:r>
        <w:rPr>
          <w:rFonts w:ascii="Courier New" w:eastAsia="Courier New" w:hAnsi="Courier New" w:cs="Courier New"/>
          <w:b/>
          <w:sz w:val="20"/>
        </w:rPr>
        <w:tab/>
        <w:t xml:space="preserve">216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CF5E380" w14:textId="77777777" w:rsidR="009559F0" w:rsidRDefault="00AF69A4">
      <w:pPr>
        <w:spacing w:after="25" w:line="247" w:lineRule="auto"/>
        <w:ind w:left="8721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9559F0" w14:paraId="54D1261A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257BF7" w14:textId="77777777" w:rsidR="009559F0" w:rsidRDefault="00AF69A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11A41A" w14:textId="77777777" w:rsidR="009559F0" w:rsidRDefault="009559F0"/>
        </w:tc>
      </w:tr>
      <w:tr w:rsidR="009559F0" w14:paraId="53BEF9E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6AF972C" w14:textId="77777777" w:rsidR="009559F0" w:rsidRDefault="00AF69A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9476A1F" w14:textId="77777777" w:rsidR="009559F0" w:rsidRDefault="00AF69A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0862088" w14:textId="77777777" w:rsidR="009559F0" w:rsidRDefault="00AF69A4">
      <w:pPr>
        <w:spacing w:after="0" w:line="363" w:lineRule="auto"/>
        <w:ind w:left="196" w:right="677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49AE6CA" w14:textId="77777777" w:rsidR="009559F0" w:rsidRDefault="00AF69A4">
      <w:pPr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387175A6" wp14:editId="73BB25C9">
                <wp:extent cx="7020052" cy="1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552.76pt;height:7.87402e-05pt;mso-position-horizontal-relative:char;mso-position-vertical-relative:line" coordsize="70200,0">
                <v:shape id="Shape 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947DA5" w14:textId="77777777" w:rsidR="009559F0" w:rsidRDefault="00AF69A4">
      <w:pPr>
        <w:spacing w:after="25" w:line="247" w:lineRule="auto"/>
        <w:ind w:left="188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CA4E77F" w14:textId="77777777" w:rsidR="009559F0" w:rsidRDefault="00AF69A4">
      <w:pPr>
        <w:pStyle w:val="Nadpis1"/>
      </w:pPr>
      <w:r>
        <w:t>Povinnost k</w:t>
      </w:r>
    </w:p>
    <w:p w14:paraId="5D51FB0E" w14:textId="77777777" w:rsidR="009559F0" w:rsidRDefault="00AF69A4">
      <w:pPr>
        <w:spacing w:after="25" w:line="247" w:lineRule="auto"/>
        <w:ind w:left="1484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467/16</w:t>
      </w:r>
    </w:p>
    <w:p w14:paraId="2D19351C" w14:textId="77777777" w:rsidR="009559F0" w:rsidRDefault="00AF69A4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DA590F8" wp14:editId="03B76B2A">
                <wp:extent cx="7020052" cy="38100"/>
                <wp:effectExtent l="0" t="0" r="0" b="0"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3" style="width:552.76pt;height:3pt;mso-position-horizontal-relative:char;mso-position-vertical-relative:line" coordsize="70200,381">
                <v:shape id="Shape 1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1731AA" w14:textId="77777777" w:rsidR="009559F0" w:rsidRDefault="00AF69A4">
      <w:pPr>
        <w:pStyle w:val="Nadpis1"/>
        <w:ind w:left="62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3D90CF8" w14:textId="77777777" w:rsidR="009559F0" w:rsidRDefault="00AF69A4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2E96E17B" wp14:editId="6D550080">
                <wp:extent cx="7020052" cy="38100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D34123" w14:textId="77777777" w:rsidR="009559F0" w:rsidRDefault="00AF69A4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B76BAA7" w14:textId="77777777" w:rsidR="009559F0" w:rsidRDefault="00AF69A4">
      <w:pPr>
        <w:spacing w:after="25" w:line="302" w:lineRule="auto"/>
        <w:ind w:left="154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zákonu 93/92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5.8.1997.</w:t>
      </w:r>
    </w:p>
    <w:p w14:paraId="34E35177" w14:textId="77777777" w:rsidR="009559F0" w:rsidRDefault="00AF69A4">
      <w:pPr>
        <w:tabs>
          <w:tab w:val="center" w:pos="7035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POLVZ:54/1997</w:t>
      </w:r>
      <w:r>
        <w:rPr>
          <w:rFonts w:ascii="Courier New" w:eastAsia="Courier New" w:hAnsi="Courier New" w:cs="Courier New"/>
          <w:b/>
          <w:sz w:val="20"/>
        </w:rPr>
        <w:tab/>
        <w:t>Z-18400054/1997-506</w:t>
      </w:r>
    </w:p>
    <w:p w14:paraId="0FB90FEF" w14:textId="77777777" w:rsidR="009559F0" w:rsidRDefault="00AF69A4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9A50529" w14:textId="77777777" w:rsidR="009559F0" w:rsidRDefault="00AF69A4">
      <w:pPr>
        <w:spacing w:after="58" w:line="247" w:lineRule="auto"/>
        <w:ind w:left="374" w:hanging="222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</w:t>
      </w:r>
      <w:r>
        <w:rPr>
          <w:rFonts w:ascii="Courier New" w:eastAsia="Courier New" w:hAnsi="Courier New" w:cs="Courier New"/>
          <w:b/>
          <w:sz w:val="20"/>
        </w:rPr>
        <w:t xml:space="preserve">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5AC3DEB8" w14:textId="77777777" w:rsidR="009559F0" w:rsidRDefault="00AF69A4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744171B" w14:textId="77777777" w:rsidR="009559F0" w:rsidRDefault="00AF69A4">
      <w:pPr>
        <w:spacing w:after="159" w:line="247" w:lineRule="auto"/>
        <w:ind w:left="1045" w:right="54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A372D9D" w14:textId="77777777" w:rsidR="009559F0" w:rsidRDefault="00AF69A4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71012004" wp14:editId="53361A7C">
                <wp:extent cx="7020052" cy="28448"/>
                <wp:effectExtent l="0" t="0" r="0" b="0"/>
                <wp:docPr id="2240" name="Group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0" style="width:552.76pt;height:2.23999pt;mso-position-horizontal-relative:char;mso-position-vertical-relative:line" coordsize="70200,284">
                <v:shape id="Shape 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DDD2D4" w14:textId="77777777" w:rsidR="009559F0" w:rsidRDefault="00AF69A4">
      <w:pPr>
        <w:pStyle w:val="Nadpis1"/>
        <w:ind w:left="62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25EDCCFC" w14:textId="77777777" w:rsidR="009559F0" w:rsidRDefault="00AF69A4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DA2E993" wp14:editId="4DE7A722">
                <wp:extent cx="7020052" cy="1"/>
                <wp:effectExtent l="0" t="0" r="0" b="0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2" style="width:552.76pt;height:7.87402e-05pt;mso-position-horizontal-relative:char;mso-position-vertical-relative:line" coordsize="70200,0">
                <v:shape id="Shape 9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DD9B57" w14:textId="77777777" w:rsidR="009559F0" w:rsidRDefault="00AF69A4">
      <w:pPr>
        <w:tabs>
          <w:tab w:val="center" w:pos="5797"/>
          <w:tab w:val="center" w:pos="8920"/>
        </w:tabs>
        <w:spacing w:after="73" w:line="247" w:lineRule="auto"/>
      </w:pPr>
      <w:r>
        <w:rPr>
          <w:rFonts w:ascii="Courier New" w:eastAsia="Courier New" w:hAnsi="Courier New" w:cs="Courier New"/>
          <w:b/>
          <w:sz w:val="20"/>
        </w:rPr>
        <w:t xml:space="preserve">     467/16</w:t>
      </w:r>
      <w:r>
        <w:rPr>
          <w:rFonts w:ascii="Courier New" w:eastAsia="Courier New" w:hAnsi="Courier New" w:cs="Courier New"/>
          <w:b/>
          <w:sz w:val="20"/>
        </w:rPr>
        <w:tab/>
        <w:t>44712</w:t>
      </w:r>
      <w:r>
        <w:rPr>
          <w:rFonts w:ascii="Courier New" w:eastAsia="Courier New" w:hAnsi="Courier New" w:cs="Courier New"/>
          <w:b/>
          <w:sz w:val="20"/>
        </w:rPr>
        <w:tab/>
        <w:t>216</w:t>
      </w:r>
    </w:p>
    <w:p w14:paraId="069D3080" w14:textId="77777777" w:rsidR="009559F0" w:rsidRDefault="00AF69A4">
      <w:pPr>
        <w:pStyle w:val="Nadpis1"/>
        <w:ind w:left="62"/>
      </w:pPr>
      <w:r>
        <w:t>Pokud je výměra bonitních dílů parcel menší než výměra pa</w:t>
      </w:r>
      <w:r>
        <w:t>rcely, zbytek parcely není bonitován</w:t>
      </w:r>
    </w:p>
    <w:p w14:paraId="575A5473" w14:textId="77777777" w:rsidR="009559F0" w:rsidRDefault="00AF69A4">
      <w:pPr>
        <w:spacing w:after="208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4B03B16C" wp14:editId="67BA4F8D">
                <wp:extent cx="7020052" cy="33528"/>
                <wp:effectExtent l="0" t="0" r="0" b="0"/>
                <wp:docPr id="2241" name="Group 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528"/>
                          <a:chOff x="0" y="0"/>
                          <a:chExt cx="7020052" cy="33528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352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1" style="width:552.76pt;height:2.64001pt;mso-position-horizontal-relative:char;mso-position-vertical-relative:line" coordsize="70200,335">
                <v:shape id="Shape 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1" style="position:absolute;width:70200;height:0;left:0;top:33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66913A" w14:textId="77777777" w:rsidR="009559F0" w:rsidRDefault="00AF69A4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8AD3D3" wp14:editId="75ED2C4D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7" style="width:552.76pt;height:7.87402e-05pt;position:absolute;z-index:3;mso-position-horizontal-relative:text;mso-position-horizontal:absolute;margin-left:0.45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CDE228E" w14:textId="77777777" w:rsidR="009559F0" w:rsidRDefault="00AF69A4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0E07C2C" w14:textId="77777777" w:rsidR="009559F0" w:rsidRDefault="00AF69A4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F0894FA" w14:textId="77777777" w:rsidR="009559F0" w:rsidRDefault="00AF69A4">
      <w:pPr>
        <w:tabs>
          <w:tab w:val="center" w:pos="2006"/>
          <w:tab w:val="center" w:pos="83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565776 Třebívlice</w:t>
      </w:r>
    </w:p>
    <w:p w14:paraId="1748115E" w14:textId="77777777" w:rsidR="009559F0" w:rsidRDefault="00AF69A4">
      <w:pPr>
        <w:tabs>
          <w:tab w:val="center" w:pos="6930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754099 Skalice u Lovosic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2CEEEC2" w14:textId="77777777" w:rsidR="009559F0" w:rsidRDefault="00AF69A4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7AA5761" w14:textId="77777777" w:rsidR="009559F0" w:rsidRDefault="00AF69A4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6C9807B" wp14:editId="1B52C7ED">
                <wp:extent cx="7020052" cy="1"/>
                <wp:effectExtent l="0" t="0" r="0" b="0"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1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E6E1FA" w14:textId="77777777" w:rsidR="009559F0" w:rsidRDefault="00AF69A4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078276F" w14:textId="77777777" w:rsidR="009559F0" w:rsidRDefault="00AF69A4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5C8DB1A7" w14:textId="77777777" w:rsidR="009559F0" w:rsidRDefault="00AF69A4">
      <w:pPr>
        <w:tabs>
          <w:tab w:val="center" w:pos="815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:21:04</w:t>
      </w:r>
    </w:p>
    <w:p w14:paraId="42E535D3" w14:textId="77777777" w:rsidR="009559F0" w:rsidRDefault="00AF69A4">
      <w:pPr>
        <w:pStyle w:val="Nadpis1"/>
        <w:spacing w:after="96"/>
        <w:ind w:left="62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E4EB78A" w14:textId="77777777" w:rsidR="009559F0" w:rsidRDefault="00AF69A4">
      <w:pPr>
        <w:spacing w:after="10691" w:line="233" w:lineRule="auto"/>
        <w:ind w:left="54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https://www.cuzk.cz/.</w:t>
      </w:r>
    </w:p>
    <w:p w14:paraId="5CE42BCE" w14:textId="77777777" w:rsidR="009559F0" w:rsidRDefault="00AF69A4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C8F63" wp14:editId="2FA59CF6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60" name="Group 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0" style="width:552.76pt;height:7.87402e-05pt;position:absolute;z-index:3;mso-position-horizontal-relative:text;mso-position-horizontal:absolute;margin-left:0.45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9559F0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F0"/>
    <w:rsid w:val="009559F0"/>
    <w:rsid w:val="00A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3324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2510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249098600011.pdf</dc:title>
  <dc:subject/>
  <dc:creator>Oracle Reports</dc:creator>
  <cp:keywords/>
  <cp:lastModifiedBy>Bendová Pavlína</cp:lastModifiedBy>
  <cp:revision>2</cp:revision>
  <dcterms:created xsi:type="dcterms:W3CDTF">2024-10-23T10:51:00Z</dcterms:created>
  <dcterms:modified xsi:type="dcterms:W3CDTF">2024-10-23T10:51:00Z</dcterms:modified>
</cp:coreProperties>
</file>