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675F" w14:textId="77777777" w:rsidR="008650E9" w:rsidRDefault="00551A0E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919938E" w14:textId="77777777" w:rsidR="008650E9" w:rsidRDefault="00551A0E">
      <w:pPr>
        <w:spacing w:after="128"/>
        <w:ind w:left="2244" w:right="91" w:hanging="10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53EABF2" w14:textId="77777777" w:rsidR="008650E9" w:rsidRDefault="00551A0E">
      <w:pPr>
        <w:spacing w:after="117"/>
        <w:ind w:left="131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05711F9" w14:textId="77777777" w:rsidR="008650E9" w:rsidRDefault="00551A0E">
      <w:pPr>
        <w:tabs>
          <w:tab w:val="center" w:pos="2006"/>
          <w:tab w:val="center" w:pos="83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565873 Vlastislav</w:t>
      </w:r>
    </w:p>
    <w:p w14:paraId="475933A1" w14:textId="77777777" w:rsidR="008650E9" w:rsidRDefault="00551A0E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783480 Vlastislav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41E8DD7" w14:textId="77777777" w:rsidR="008650E9" w:rsidRDefault="00551A0E">
      <w:pPr>
        <w:spacing w:after="3"/>
        <w:ind w:left="654" w:right="91" w:hanging="10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</w:t>
      </w:r>
      <w:r>
        <w:rPr>
          <w:rFonts w:ascii="Courier New" w:eastAsia="Courier New" w:hAnsi="Courier New" w:cs="Courier New"/>
          <w:b/>
          <w:sz w:val="20"/>
        </w:rPr>
        <w:t xml:space="preserve">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8650E9" w14:paraId="0AB12EE7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3344F97" w14:textId="77777777" w:rsidR="008650E9" w:rsidRDefault="00551A0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8DE2F91" w14:textId="77777777" w:rsidR="008650E9" w:rsidRDefault="00551A0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ED3B41B" w14:textId="77777777" w:rsidR="008650E9" w:rsidRDefault="00551A0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650E9" w14:paraId="6D942441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A610525" w14:textId="77777777" w:rsidR="008650E9" w:rsidRDefault="00551A0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70F433F" w14:textId="77777777" w:rsidR="008650E9" w:rsidRDefault="00551A0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F938374" w14:textId="77777777" w:rsidR="008650E9" w:rsidRDefault="00551A0E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926E27E" w14:textId="77777777" w:rsidR="008650E9" w:rsidRDefault="00551A0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3CBBE3C" w14:textId="77777777" w:rsidR="008650E9" w:rsidRDefault="00551A0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A4DE20F" w14:textId="77777777" w:rsidR="008650E9" w:rsidRDefault="00551A0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8E62043" w14:textId="77777777" w:rsidR="008650E9" w:rsidRDefault="00551A0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F705066" w14:textId="77777777" w:rsidR="008650E9" w:rsidRDefault="00551A0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2C963C0" w14:textId="77777777" w:rsidR="008650E9" w:rsidRDefault="00551A0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304789E" w14:textId="77777777" w:rsidR="008650E9" w:rsidRDefault="008650E9"/>
        </w:tc>
      </w:tr>
      <w:tr w:rsidR="008650E9" w14:paraId="4C6BC6EB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3FD02A" w14:textId="77777777" w:rsidR="008650E9" w:rsidRDefault="00551A0E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621D385" w14:textId="77777777" w:rsidR="008650E9" w:rsidRDefault="00551A0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ABC5D40" w14:textId="77777777" w:rsidR="008650E9" w:rsidRDefault="00551A0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752221D" w14:textId="77777777" w:rsidR="008650E9" w:rsidRDefault="00551A0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F37F69" w14:textId="77777777" w:rsidR="008650E9" w:rsidRDefault="008650E9"/>
        </w:tc>
      </w:tr>
    </w:tbl>
    <w:p w14:paraId="5DBB152A" w14:textId="77777777" w:rsidR="008650E9" w:rsidRDefault="00551A0E">
      <w:pPr>
        <w:spacing w:after="0"/>
        <w:ind w:left="10" w:right="41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793</w:t>
      </w:r>
      <w:r>
        <w:rPr>
          <w:rFonts w:ascii="Courier New" w:eastAsia="Courier New" w:hAnsi="Courier New" w:cs="Courier New"/>
          <w:b/>
          <w:sz w:val="20"/>
        </w:rPr>
        <w:tab/>
        <w:t xml:space="preserve">90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6D27C665" w14:textId="77777777" w:rsidR="008650E9" w:rsidRDefault="00551A0E">
      <w:pPr>
        <w:spacing w:after="3"/>
        <w:ind w:left="8720" w:right="91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chráněná ložisková území,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8650E9" w14:paraId="0A89A2A5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9F2FE3D" w14:textId="77777777" w:rsidR="008650E9" w:rsidRDefault="00551A0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A103337" w14:textId="77777777" w:rsidR="008650E9" w:rsidRDefault="008650E9"/>
        </w:tc>
      </w:tr>
      <w:tr w:rsidR="008650E9" w14:paraId="763B600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D31495D" w14:textId="77777777" w:rsidR="008650E9" w:rsidRDefault="00551A0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6D8622E" w14:textId="77777777" w:rsidR="008650E9" w:rsidRDefault="00551A0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EE05DF6" w14:textId="77777777" w:rsidR="008650E9" w:rsidRDefault="00551A0E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08189CC" w14:textId="77777777" w:rsidR="008650E9" w:rsidRDefault="00551A0E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E75951D" wp14:editId="4FE637E0">
                <wp:extent cx="7020052" cy="1"/>
                <wp:effectExtent l="0" t="0" r="0" b="0"/>
                <wp:docPr id="2539" name="Group 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90325F" w14:textId="77777777" w:rsidR="008650E9" w:rsidRDefault="00551A0E">
      <w:pPr>
        <w:spacing w:after="3"/>
        <w:ind w:left="188" w:right="9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0AE9497F" w14:textId="77777777" w:rsidR="008650E9" w:rsidRDefault="00551A0E">
      <w:pPr>
        <w:pStyle w:val="Nadpis1"/>
      </w:pPr>
      <w:r>
        <w:t>Povinnost k</w:t>
      </w:r>
    </w:p>
    <w:p w14:paraId="32B53E97" w14:textId="77777777" w:rsidR="008650E9" w:rsidRDefault="00551A0E">
      <w:pPr>
        <w:spacing w:after="3"/>
        <w:ind w:left="1469" w:right="236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6E2EFC32" w14:textId="77777777" w:rsidR="008650E9" w:rsidRDefault="00551A0E">
      <w:pPr>
        <w:spacing w:after="3"/>
        <w:ind w:left="1469" w:right="91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1B8E0619" w14:textId="77777777" w:rsidR="008650E9" w:rsidRDefault="00551A0E">
      <w:pPr>
        <w:spacing w:after="97"/>
        <w:ind w:left="1469" w:right="91" w:hanging="10"/>
      </w:pPr>
      <w:r>
        <w:rPr>
          <w:rFonts w:ascii="Courier New" w:eastAsia="Courier New" w:hAnsi="Courier New" w:cs="Courier New"/>
          <w:b/>
          <w:sz w:val="20"/>
        </w:rPr>
        <w:t>Parcela: 793</w:t>
      </w:r>
    </w:p>
    <w:p w14:paraId="328CB158" w14:textId="77777777" w:rsidR="008650E9" w:rsidRDefault="00551A0E">
      <w:pPr>
        <w:spacing w:after="3"/>
        <w:ind w:left="1594" w:right="91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5A7C42A7" w14:textId="77777777" w:rsidR="008650E9" w:rsidRDefault="00551A0E">
      <w:pPr>
        <w:spacing w:after="158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6C15D7A8" w14:textId="77777777" w:rsidR="008650E9" w:rsidRDefault="00551A0E">
      <w:pPr>
        <w:spacing w:after="3"/>
        <w:ind w:left="188" w:right="9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1CFF43D1" w14:textId="77777777" w:rsidR="008650E9" w:rsidRDefault="00551A0E">
      <w:pPr>
        <w:pStyle w:val="Nadpis1"/>
      </w:pPr>
      <w:r>
        <w:t>Povinnost k</w:t>
      </w:r>
    </w:p>
    <w:p w14:paraId="07D95F1A" w14:textId="77777777" w:rsidR="008650E9" w:rsidRDefault="00551A0E">
      <w:pPr>
        <w:spacing w:after="3"/>
        <w:ind w:left="1469" w:right="236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3922286F" w14:textId="77777777" w:rsidR="008650E9" w:rsidRDefault="00551A0E">
      <w:pPr>
        <w:spacing w:after="3"/>
        <w:ind w:left="1469" w:right="91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6E7608CE" w14:textId="77777777" w:rsidR="008650E9" w:rsidRDefault="00551A0E">
      <w:pPr>
        <w:spacing w:after="97"/>
        <w:ind w:left="1469" w:right="91" w:hanging="10"/>
      </w:pPr>
      <w:r>
        <w:rPr>
          <w:rFonts w:ascii="Courier New" w:eastAsia="Courier New" w:hAnsi="Courier New" w:cs="Courier New"/>
          <w:b/>
          <w:sz w:val="20"/>
        </w:rPr>
        <w:t>Parcela: 793</w:t>
      </w:r>
    </w:p>
    <w:p w14:paraId="413CC8E9" w14:textId="77777777" w:rsidR="008650E9" w:rsidRDefault="00551A0E">
      <w:pPr>
        <w:spacing w:after="2"/>
        <w:ind w:left="98" w:right="294" w:hanging="10"/>
        <w:jc w:val="center"/>
      </w:pPr>
      <w:r>
        <w:rPr>
          <w:rFonts w:ascii="Courier New" w:eastAsia="Courier New" w:hAnsi="Courier New" w:cs="Courier New"/>
          <w:i/>
          <w:sz w:val="20"/>
        </w:rPr>
        <w:t>List</w:t>
      </w:r>
      <w:r>
        <w:rPr>
          <w:rFonts w:ascii="Courier New" w:eastAsia="Courier New" w:hAnsi="Courier New" w:cs="Courier New"/>
          <w:i/>
          <w:sz w:val="20"/>
        </w:rPr>
        <w:t xml:space="preserve">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53F47912" w14:textId="77777777" w:rsidR="008650E9" w:rsidRDefault="00551A0E">
      <w:pPr>
        <w:spacing w:after="1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Z-18955/2008-506</w:t>
      </w:r>
    </w:p>
    <w:p w14:paraId="64D58CFD" w14:textId="77777777" w:rsidR="008650E9" w:rsidRDefault="00551A0E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4DFA6B02" wp14:editId="1AE81561">
                <wp:extent cx="7020052" cy="38100"/>
                <wp:effectExtent l="0" t="0" r="0" b="0"/>
                <wp:docPr id="2540" name="Group 2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0" style="width:552.76pt;height:3pt;mso-position-horizontal-relative:char;mso-position-vertical-relative:line" coordsize="70200,381">
                <v:shape id="Shape 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8EC3DD" w14:textId="77777777" w:rsidR="008650E9" w:rsidRDefault="00551A0E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52FCDC16" w14:textId="77777777" w:rsidR="008650E9" w:rsidRDefault="00551A0E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488E20F" wp14:editId="22553FA7">
                <wp:extent cx="7020052" cy="37592"/>
                <wp:effectExtent l="0" t="0" r="0" b="0"/>
                <wp:docPr id="2538" name="Group 2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8" style="width:552.76pt;height:2.95996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9419EC" w14:textId="77777777" w:rsidR="008650E9" w:rsidRDefault="00551A0E">
      <w:pPr>
        <w:tabs>
          <w:tab w:val="center" w:pos="2914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1B35C15" w14:textId="77777777" w:rsidR="008650E9" w:rsidRDefault="00551A0E">
      <w:pPr>
        <w:pStyle w:val="Nadpis1"/>
        <w:spacing w:after="203"/>
        <w:ind w:left="61"/>
      </w:pPr>
      <w:r>
        <w:lastRenderedPageBreak/>
        <w:t>Listina</w:t>
      </w:r>
    </w:p>
    <w:p w14:paraId="68E07A4D" w14:textId="77777777" w:rsidR="008650E9" w:rsidRDefault="00551A0E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77BA37" wp14:editId="7B2FB3EE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37" name="Group 2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37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6C0D2AA" w14:textId="77777777" w:rsidR="008650E9" w:rsidRDefault="00551A0E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E5E6C72" w14:textId="77777777" w:rsidR="008650E9" w:rsidRDefault="00551A0E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30.09.2024 1</w:t>
      </w:r>
      <w:r>
        <w:rPr>
          <w:rFonts w:ascii="Courier New" w:eastAsia="Courier New" w:hAnsi="Courier New" w:cs="Courier New"/>
          <w:i/>
          <w:sz w:val="20"/>
        </w:rPr>
        <w:t xml:space="preserve">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7731D17" w14:textId="77777777" w:rsidR="008650E9" w:rsidRDefault="00551A0E">
      <w:pPr>
        <w:tabs>
          <w:tab w:val="center" w:pos="2006"/>
          <w:tab w:val="center" w:pos="83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565873 Vlastislav</w:t>
      </w:r>
    </w:p>
    <w:p w14:paraId="162FE6BB" w14:textId="77777777" w:rsidR="008650E9" w:rsidRDefault="00551A0E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783480 Vlastislav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6B352A6" w14:textId="77777777" w:rsidR="008650E9" w:rsidRDefault="00551A0E">
      <w:pPr>
        <w:spacing w:after="2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876856A" w14:textId="77777777" w:rsidR="008650E9" w:rsidRDefault="00551A0E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016BD80" wp14:editId="3370C412">
                <wp:extent cx="7020052" cy="1"/>
                <wp:effectExtent l="0" t="0" r="0" b="0"/>
                <wp:docPr id="2055" name="Group 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5" style="width:552.76pt;height:7.87402e-05pt;mso-position-horizontal-relative:char;mso-position-vertical-relative:line" coordsize="70200,0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E92EEB" w14:textId="77777777" w:rsidR="008650E9" w:rsidRDefault="00551A0E">
      <w:pPr>
        <w:spacing w:after="3" w:line="368" w:lineRule="auto"/>
        <w:ind w:left="152" w:right="9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7DB9A710" w14:textId="77777777" w:rsidR="008650E9" w:rsidRDefault="00551A0E">
      <w:pPr>
        <w:spacing w:after="3"/>
        <w:ind w:left="384" w:right="91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564B0BC5" w14:textId="77777777" w:rsidR="008650E9" w:rsidRDefault="00551A0E">
      <w:pPr>
        <w:spacing w:after="45"/>
        <w:ind w:left="384" w:right="91" w:hanging="10"/>
      </w:pPr>
      <w:r>
        <w:rPr>
          <w:rFonts w:ascii="Courier New" w:eastAsia="Courier New" w:hAnsi="Courier New" w:cs="Courier New"/>
          <w:b/>
          <w:sz w:val="20"/>
        </w:rPr>
        <w:t>31.5.1999.</w:t>
      </w:r>
    </w:p>
    <w:p w14:paraId="180F6141" w14:textId="77777777" w:rsidR="008650E9" w:rsidRDefault="00551A0E">
      <w:pPr>
        <w:tabs>
          <w:tab w:val="center" w:pos="697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POLVZ:8/1999</w:t>
      </w:r>
      <w:r>
        <w:rPr>
          <w:rFonts w:ascii="Courier New" w:eastAsia="Courier New" w:hAnsi="Courier New" w:cs="Courier New"/>
          <w:b/>
          <w:sz w:val="20"/>
        </w:rPr>
        <w:tab/>
        <w:t>Z-23400008/1999-506</w:t>
      </w:r>
    </w:p>
    <w:p w14:paraId="2112C88A" w14:textId="77777777" w:rsidR="008650E9" w:rsidRDefault="00551A0E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8A42C60" w14:textId="77777777" w:rsidR="008650E9" w:rsidRDefault="00551A0E">
      <w:pPr>
        <w:spacing w:after="48"/>
        <w:ind w:left="374" w:right="91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7D473B55" w14:textId="77777777" w:rsidR="008650E9" w:rsidRDefault="00551A0E">
      <w:pPr>
        <w:spacing w:after="4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0BC31A1" w14:textId="77777777" w:rsidR="008650E9" w:rsidRDefault="00551A0E">
      <w:pPr>
        <w:spacing w:after="150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</w:t>
      </w:r>
      <w:r>
        <w:rPr>
          <w:rFonts w:ascii="Courier New" w:eastAsia="Courier New" w:hAnsi="Courier New" w:cs="Courier New"/>
          <w:b/>
          <w:sz w:val="20"/>
        </w:rPr>
        <w:t>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EC8A9CE" w14:textId="77777777" w:rsidR="008650E9" w:rsidRDefault="00551A0E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81EC806" wp14:editId="1FEC4DB9">
                <wp:extent cx="7020052" cy="28448"/>
                <wp:effectExtent l="0" t="0" r="0" b="0"/>
                <wp:docPr id="2054" name="Group 2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4" style="width:552.76pt;height:2.23999pt;mso-position-horizontal-relative:char;mso-position-vertical-relative:line" coordsize="70200,284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272625" w14:textId="77777777" w:rsidR="008650E9" w:rsidRDefault="00551A0E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7FEF18E7" w14:textId="77777777" w:rsidR="008650E9" w:rsidRDefault="00551A0E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76E66E2" wp14:editId="716DBA2D">
                <wp:extent cx="7020052" cy="1"/>
                <wp:effectExtent l="0" t="0" r="0" b="0"/>
                <wp:docPr id="2057" name="Group 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7" style="width:552.76pt;height:7.87402e-05pt;mso-position-horizontal-relative:char;mso-position-vertical-relative:line" coordsize="70200,0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9B505B" w14:textId="77777777" w:rsidR="008650E9" w:rsidRDefault="00551A0E">
      <w:pPr>
        <w:tabs>
          <w:tab w:val="center" w:pos="5797"/>
          <w:tab w:val="center" w:pos="8980"/>
        </w:tabs>
        <w:spacing w:after="64"/>
      </w:pPr>
      <w:r>
        <w:rPr>
          <w:rFonts w:ascii="Courier New" w:eastAsia="Courier New" w:hAnsi="Courier New" w:cs="Courier New"/>
          <w:b/>
          <w:sz w:val="20"/>
        </w:rPr>
        <w:t xml:space="preserve">     793</w:t>
      </w:r>
      <w:r>
        <w:rPr>
          <w:rFonts w:ascii="Courier New" w:eastAsia="Courier New" w:hAnsi="Courier New" w:cs="Courier New"/>
          <w:b/>
          <w:sz w:val="20"/>
        </w:rPr>
        <w:tab/>
        <w:t>11911</w:t>
      </w:r>
      <w:r>
        <w:rPr>
          <w:rFonts w:ascii="Courier New" w:eastAsia="Courier New" w:hAnsi="Courier New" w:cs="Courier New"/>
          <w:b/>
          <w:sz w:val="20"/>
        </w:rPr>
        <w:tab/>
        <w:t>90</w:t>
      </w:r>
    </w:p>
    <w:p w14:paraId="6B665F0A" w14:textId="77777777" w:rsidR="008650E9" w:rsidRDefault="00551A0E">
      <w:pPr>
        <w:pStyle w:val="Nadpis1"/>
        <w:ind w:left="61"/>
      </w:pPr>
      <w:r>
        <w:t xml:space="preserve">Pokud je výměra bonitních dílů parcel menší než výměra parcely, zbytek parcely není </w:t>
      </w:r>
      <w:r>
        <w:t>bonitován</w:t>
      </w:r>
    </w:p>
    <w:p w14:paraId="5158F460" w14:textId="77777777" w:rsidR="008650E9" w:rsidRDefault="00551A0E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98C3488" wp14:editId="32C7F357">
                <wp:extent cx="7020052" cy="33020"/>
                <wp:effectExtent l="0" t="0" r="0" b="0"/>
                <wp:docPr id="2056" name="Group 2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6" style="width:552.76pt;height:2.60001pt;mso-position-horizontal-relative:char;mso-position-vertical-relative:line" coordsize="70200,330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1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A3D686" w14:textId="77777777" w:rsidR="008650E9" w:rsidRDefault="00551A0E">
      <w:pPr>
        <w:spacing w:after="49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469AFBE" w14:textId="77777777" w:rsidR="008650E9" w:rsidRDefault="00551A0E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587D66E" w14:textId="77777777" w:rsidR="008650E9" w:rsidRDefault="00551A0E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30.09.2024  10</w:t>
      </w:r>
      <w:proofErr w:type="gramEnd"/>
      <w:r>
        <w:rPr>
          <w:rFonts w:ascii="Courier New" w:eastAsia="Courier New" w:hAnsi="Courier New" w:cs="Courier New"/>
          <w:i/>
          <w:sz w:val="20"/>
        </w:rPr>
        <w:t>:44:58</w:t>
      </w:r>
    </w:p>
    <w:p w14:paraId="3739FB99" w14:textId="77777777" w:rsidR="008650E9" w:rsidRDefault="00551A0E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675FAEB" w14:textId="77777777" w:rsidR="008650E9" w:rsidRDefault="00551A0E">
      <w:pPr>
        <w:spacing w:after="5725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https://www.cuzk.cz/.</w:t>
      </w:r>
    </w:p>
    <w:p w14:paraId="3727D726" w14:textId="77777777" w:rsidR="008650E9" w:rsidRDefault="00551A0E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F1158" wp14:editId="11D9346A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53" name="Group 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3" style="width:552.76pt;height:7.87402e-05pt;position:absolute;z-index:3;mso-position-horizontal-relative:text;mso-position-horizontal:absolute;margin-left:0.44pt;mso-position-vertical-relative:text;margin-top:0.10022pt;" coordsize="70200,0">
                <v:shape id="Shape 12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8650E9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E9"/>
    <w:rsid w:val="00551A0E"/>
    <w:rsid w:val="0086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2BE6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2946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249088168011.pdf</dc:title>
  <dc:subject/>
  <dc:creator>Oracle Reports</dc:creator>
  <cp:keywords/>
  <cp:lastModifiedBy>Bendová Pavlína</cp:lastModifiedBy>
  <cp:revision>2</cp:revision>
  <dcterms:created xsi:type="dcterms:W3CDTF">2024-10-23T10:35:00Z</dcterms:created>
  <dcterms:modified xsi:type="dcterms:W3CDTF">2024-10-23T10:35:00Z</dcterms:modified>
</cp:coreProperties>
</file>