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41CE1" w14:textId="77777777" w:rsidR="00B51724" w:rsidRPr="00945CDC" w:rsidRDefault="00B51724" w:rsidP="00B51724">
      <w:pPr>
        <w:jc w:val="center"/>
        <w:rPr>
          <w:b/>
          <w:caps/>
          <w:snapToGrid w:val="0"/>
          <w:szCs w:val="22"/>
        </w:rPr>
      </w:pPr>
      <w:r w:rsidRPr="00917BD8">
        <w:rPr>
          <w:b/>
          <w:caps/>
          <w:snapToGrid w:val="0"/>
          <w:szCs w:val="22"/>
        </w:rPr>
        <w:t>rámcová</w:t>
      </w:r>
      <w:r>
        <w:rPr>
          <w:b/>
          <w:caps/>
          <w:snapToGrid w:val="0"/>
          <w:szCs w:val="22"/>
        </w:rPr>
        <w:t xml:space="preserve"> </w:t>
      </w:r>
      <w:r w:rsidRPr="00945CDC">
        <w:rPr>
          <w:b/>
          <w:caps/>
          <w:snapToGrid w:val="0"/>
          <w:szCs w:val="22"/>
        </w:rPr>
        <w:t>KUPNÍ SMLOUVA na dodávku technických plynů</w:t>
      </w:r>
    </w:p>
    <w:p w14:paraId="6BC4DD88" w14:textId="77777777" w:rsidR="00B51724" w:rsidRPr="00945CDC" w:rsidRDefault="00B51724" w:rsidP="00B51724">
      <w:pPr>
        <w:jc w:val="center"/>
        <w:rPr>
          <w:b/>
          <w:caps/>
          <w:snapToGrid w:val="0"/>
          <w:szCs w:val="22"/>
        </w:rPr>
      </w:pPr>
      <w:r w:rsidRPr="00945CDC">
        <w:rPr>
          <w:b/>
          <w:caps/>
          <w:snapToGrid w:val="0"/>
          <w:szCs w:val="22"/>
        </w:rPr>
        <w:t xml:space="preserve">V LAHVÍCH   </w:t>
      </w:r>
    </w:p>
    <w:p w14:paraId="7A73A150" w14:textId="77777777" w:rsidR="00B51724" w:rsidRPr="00945CDC" w:rsidRDefault="00B51724" w:rsidP="00B51724">
      <w:pPr>
        <w:jc w:val="center"/>
        <w:rPr>
          <w:b/>
          <w:caps/>
          <w:snapToGrid w:val="0"/>
          <w:szCs w:val="22"/>
        </w:rPr>
      </w:pPr>
    </w:p>
    <w:p w14:paraId="41008475" w14:textId="77777777" w:rsidR="00B51724" w:rsidRPr="00945CDC" w:rsidRDefault="00B51724" w:rsidP="00B51724">
      <w:pPr>
        <w:jc w:val="center"/>
        <w:rPr>
          <w:b/>
          <w:caps/>
          <w:snapToGrid w:val="0"/>
          <w:szCs w:val="22"/>
        </w:rPr>
      </w:pPr>
    </w:p>
    <w:p w14:paraId="4BE642DC" w14:textId="77777777" w:rsidR="00B51724" w:rsidRPr="00945CDC" w:rsidRDefault="00B51724" w:rsidP="00B51724">
      <w:pPr>
        <w:jc w:val="both"/>
        <w:rPr>
          <w:b/>
          <w:snapToGrid w:val="0"/>
          <w:szCs w:val="22"/>
        </w:rPr>
      </w:pPr>
    </w:p>
    <w:p w14:paraId="5B9FE144" w14:textId="77777777" w:rsidR="00B51724" w:rsidRPr="00945CDC" w:rsidRDefault="00B51724" w:rsidP="00B51724">
      <w:pPr>
        <w:tabs>
          <w:tab w:val="left" w:pos="709"/>
        </w:tabs>
        <w:jc w:val="both"/>
        <w:rPr>
          <w:b/>
          <w:snapToGrid w:val="0"/>
          <w:szCs w:val="22"/>
        </w:rPr>
      </w:pPr>
      <w:r w:rsidRPr="00945CDC">
        <w:rPr>
          <w:b/>
          <w:snapToGrid w:val="0"/>
          <w:szCs w:val="22"/>
        </w:rPr>
        <w:t>1.</w:t>
      </w:r>
      <w:r w:rsidRPr="00945CDC">
        <w:rPr>
          <w:b/>
          <w:snapToGrid w:val="0"/>
          <w:szCs w:val="22"/>
        </w:rPr>
        <w:tab/>
        <w:t xml:space="preserve">SIAD Czech spol. s r.o. </w:t>
      </w:r>
    </w:p>
    <w:p w14:paraId="1F91C466" w14:textId="77777777" w:rsidR="00B51724" w:rsidRPr="00945CDC" w:rsidRDefault="00B51724" w:rsidP="00B51724">
      <w:pPr>
        <w:jc w:val="both"/>
        <w:rPr>
          <w:snapToGrid w:val="0"/>
          <w:szCs w:val="22"/>
        </w:rPr>
      </w:pPr>
      <w:r w:rsidRPr="00945CDC">
        <w:rPr>
          <w:b/>
          <w:snapToGrid w:val="0"/>
          <w:szCs w:val="22"/>
        </w:rPr>
        <w:tab/>
      </w:r>
      <w:r w:rsidRPr="00945CDC">
        <w:rPr>
          <w:snapToGrid w:val="0"/>
          <w:szCs w:val="22"/>
        </w:rPr>
        <w:t xml:space="preserve">se sídlem </w:t>
      </w:r>
      <w:r>
        <w:rPr>
          <w:snapToGrid w:val="0"/>
          <w:szCs w:val="22"/>
        </w:rPr>
        <w:t>K Hájům 2606/2b, Stodůlky, 155 00  Praha 5</w:t>
      </w:r>
    </w:p>
    <w:p w14:paraId="3628369A" w14:textId="77777777" w:rsidR="00B51724" w:rsidRPr="00945CDC" w:rsidRDefault="00B51724" w:rsidP="00B51724">
      <w:pPr>
        <w:jc w:val="both"/>
        <w:rPr>
          <w:snapToGrid w:val="0"/>
          <w:szCs w:val="22"/>
        </w:rPr>
      </w:pPr>
      <w:r w:rsidRPr="00945CDC">
        <w:rPr>
          <w:snapToGrid w:val="0"/>
          <w:szCs w:val="22"/>
        </w:rPr>
        <w:tab/>
        <w:t xml:space="preserve">IČ: 48117153, DIČ: CZ48117153 </w:t>
      </w:r>
    </w:p>
    <w:p w14:paraId="3FC3789A" w14:textId="77777777" w:rsidR="00B51724" w:rsidRPr="00945CDC" w:rsidRDefault="00B51724" w:rsidP="00B51724">
      <w:pPr>
        <w:jc w:val="both"/>
        <w:rPr>
          <w:snapToGrid w:val="0"/>
          <w:szCs w:val="22"/>
        </w:rPr>
      </w:pPr>
      <w:r w:rsidRPr="00945CDC">
        <w:rPr>
          <w:snapToGrid w:val="0"/>
          <w:szCs w:val="22"/>
        </w:rPr>
        <w:tab/>
        <w:t xml:space="preserve">zapsaná v obchodním rejstříku vedeném Městským soudem v Praze, </w:t>
      </w:r>
    </w:p>
    <w:p w14:paraId="48F690CC" w14:textId="77777777" w:rsidR="00B51724" w:rsidRPr="00945CDC" w:rsidRDefault="00B51724" w:rsidP="00B51724">
      <w:pPr>
        <w:ind w:firstLine="709"/>
        <w:jc w:val="both"/>
        <w:rPr>
          <w:snapToGrid w:val="0"/>
          <w:szCs w:val="22"/>
        </w:rPr>
      </w:pPr>
      <w:r w:rsidRPr="00945CDC">
        <w:rPr>
          <w:snapToGrid w:val="0"/>
          <w:szCs w:val="22"/>
        </w:rPr>
        <w:t>oddíl C, vložka 16942</w:t>
      </w:r>
    </w:p>
    <w:p w14:paraId="361DCEAE" w14:textId="59C563FF" w:rsidR="00B51724" w:rsidRPr="00945CDC" w:rsidRDefault="00B51724" w:rsidP="00B51724">
      <w:pPr>
        <w:rPr>
          <w:b/>
          <w:caps/>
          <w:snapToGrid w:val="0"/>
          <w:szCs w:val="22"/>
        </w:rPr>
      </w:pPr>
      <w:r w:rsidRPr="00945CDC">
        <w:rPr>
          <w:snapToGrid w:val="0"/>
          <w:szCs w:val="22"/>
        </w:rPr>
        <w:t xml:space="preserve">             bankovní spojení:</w:t>
      </w:r>
      <w:r>
        <w:rPr>
          <w:snapToGrid w:val="0"/>
          <w:szCs w:val="22"/>
        </w:rPr>
        <w:t xml:space="preserve"> </w:t>
      </w:r>
      <w:proofErr w:type="spellStart"/>
      <w:r>
        <w:rPr>
          <w:snapToGrid w:val="0"/>
          <w:szCs w:val="22"/>
        </w:rPr>
        <w:t>UniCredit</w:t>
      </w:r>
      <w:proofErr w:type="spellEnd"/>
      <w:r>
        <w:rPr>
          <w:snapToGrid w:val="0"/>
          <w:szCs w:val="22"/>
        </w:rPr>
        <w:t xml:space="preserve"> Bank, číslo účtu: </w:t>
      </w:r>
      <w:proofErr w:type="spellStart"/>
      <w:r w:rsidR="00C95081">
        <w:rPr>
          <w:snapToGrid w:val="0"/>
          <w:szCs w:val="22"/>
        </w:rPr>
        <w:t>xxxxxxxxxxxxxx</w:t>
      </w:r>
      <w:proofErr w:type="spellEnd"/>
    </w:p>
    <w:p w14:paraId="308ECA9E" w14:textId="3B559ADF" w:rsidR="00B51724" w:rsidRPr="00945CDC" w:rsidRDefault="00B51724" w:rsidP="00B51724">
      <w:pPr>
        <w:rPr>
          <w:b/>
          <w:caps/>
          <w:snapToGrid w:val="0"/>
          <w:szCs w:val="22"/>
        </w:rPr>
      </w:pPr>
      <w:r w:rsidRPr="00945CDC">
        <w:rPr>
          <w:snapToGrid w:val="0"/>
          <w:szCs w:val="22"/>
        </w:rPr>
        <w:t xml:space="preserve">             zastoupená</w:t>
      </w:r>
      <w:r>
        <w:rPr>
          <w:snapToGrid w:val="0"/>
          <w:szCs w:val="22"/>
        </w:rPr>
        <w:t xml:space="preserve"> jednatelem </w:t>
      </w:r>
      <w:r w:rsidR="00BD4A95">
        <w:rPr>
          <w:snapToGrid w:val="0"/>
          <w:szCs w:val="22"/>
        </w:rPr>
        <w:t xml:space="preserve">Dr. </w:t>
      </w:r>
      <w:r>
        <w:rPr>
          <w:snapToGrid w:val="0"/>
          <w:szCs w:val="22"/>
        </w:rPr>
        <w:t xml:space="preserve">Alessio </w:t>
      </w:r>
      <w:proofErr w:type="spellStart"/>
      <w:r>
        <w:rPr>
          <w:snapToGrid w:val="0"/>
          <w:szCs w:val="22"/>
        </w:rPr>
        <w:t>Contonem</w:t>
      </w:r>
      <w:proofErr w:type="spellEnd"/>
    </w:p>
    <w:p w14:paraId="70FFEE54" w14:textId="27AE578E" w:rsidR="00B51724" w:rsidRDefault="00B51724" w:rsidP="00B51724">
      <w:pPr>
        <w:jc w:val="both"/>
        <w:rPr>
          <w:snapToGrid w:val="0"/>
          <w:szCs w:val="22"/>
        </w:rPr>
      </w:pPr>
      <w:r w:rsidRPr="00E55192">
        <w:rPr>
          <w:snapToGrid w:val="0"/>
          <w:szCs w:val="22"/>
        </w:rPr>
        <w:tab/>
        <w:t xml:space="preserve">kontaktní osoba: </w:t>
      </w:r>
      <w:proofErr w:type="spellStart"/>
      <w:r w:rsidR="00C95081">
        <w:rPr>
          <w:snapToGrid w:val="0"/>
          <w:szCs w:val="22"/>
        </w:rPr>
        <w:t>xxxxxxxxxxxxxxxxxxxxxxxxxx</w:t>
      </w:r>
      <w:proofErr w:type="spellEnd"/>
    </w:p>
    <w:p w14:paraId="54DE31F3" w14:textId="77777777" w:rsidR="00C95081" w:rsidRPr="00E55192" w:rsidRDefault="00C95081" w:rsidP="00B51724">
      <w:pPr>
        <w:jc w:val="both"/>
        <w:rPr>
          <w:snapToGrid w:val="0"/>
          <w:szCs w:val="22"/>
        </w:rPr>
      </w:pPr>
    </w:p>
    <w:p w14:paraId="2567120A" w14:textId="77777777" w:rsidR="00B51724" w:rsidRPr="00945CDC" w:rsidRDefault="00B51724" w:rsidP="00B51724">
      <w:pPr>
        <w:ind w:firstLine="708"/>
        <w:jc w:val="both"/>
        <w:rPr>
          <w:b/>
          <w:snapToGrid w:val="0"/>
          <w:szCs w:val="22"/>
        </w:rPr>
      </w:pPr>
      <w:r w:rsidRPr="00945CDC">
        <w:rPr>
          <w:snapToGrid w:val="0"/>
          <w:szCs w:val="22"/>
        </w:rPr>
        <w:t xml:space="preserve">dále jen </w:t>
      </w:r>
      <w:r w:rsidRPr="00945CDC">
        <w:rPr>
          <w:b/>
          <w:snapToGrid w:val="0"/>
          <w:szCs w:val="22"/>
        </w:rPr>
        <w:t>„prodávající“</w:t>
      </w:r>
    </w:p>
    <w:p w14:paraId="7E2BD77B" w14:textId="77777777" w:rsidR="00B51724" w:rsidRPr="00945CDC" w:rsidRDefault="00B51724" w:rsidP="00B51724">
      <w:pPr>
        <w:jc w:val="both"/>
        <w:rPr>
          <w:snapToGrid w:val="0"/>
          <w:szCs w:val="22"/>
        </w:rPr>
      </w:pPr>
    </w:p>
    <w:p w14:paraId="72F67F51" w14:textId="77777777" w:rsidR="00B51724" w:rsidRPr="00945CDC" w:rsidRDefault="00B51724" w:rsidP="00B51724">
      <w:pPr>
        <w:jc w:val="both"/>
        <w:rPr>
          <w:snapToGrid w:val="0"/>
          <w:szCs w:val="22"/>
        </w:rPr>
      </w:pPr>
      <w:r w:rsidRPr="00945CDC">
        <w:rPr>
          <w:snapToGrid w:val="0"/>
          <w:szCs w:val="22"/>
        </w:rPr>
        <w:t>a</w:t>
      </w:r>
    </w:p>
    <w:p w14:paraId="757F4D85" w14:textId="77777777" w:rsidR="00B51724" w:rsidRPr="00945CDC" w:rsidRDefault="00B51724" w:rsidP="00B51724">
      <w:pPr>
        <w:jc w:val="both"/>
        <w:rPr>
          <w:snapToGrid w:val="0"/>
          <w:szCs w:val="22"/>
        </w:rPr>
      </w:pPr>
    </w:p>
    <w:p w14:paraId="2FCDD457" w14:textId="77777777" w:rsidR="00B51724" w:rsidRPr="00945CDC" w:rsidRDefault="00B51724" w:rsidP="00B51724">
      <w:pPr>
        <w:rPr>
          <w:b/>
          <w:caps/>
          <w:snapToGrid w:val="0"/>
          <w:szCs w:val="22"/>
        </w:rPr>
      </w:pPr>
      <w:r w:rsidRPr="00945CDC">
        <w:rPr>
          <w:b/>
          <w:snapToGrid w:val="0"/>
          <w:szCs w:val="22"/>
        </w:rPr>
        <w:t>2.</w:t>
      </w:r>
      <w:r>
        <w:rPr>
          <w:b/>
          <w:snapToGrid w:val="0"/>
          <w:szCs w:val="22"/>
        </w:rPr>
        <w:tab/>
        <w:t>Státní veterinární ústav Praha</w:t>
      </w:r>
    </w:p>
    <w:p w14:paraId="0657CC2D" w14:textId="456AEE60" w:rsidR="00B51724" w:rsidRPr="00945CDC" w:rsidRDefault="00B51724" w:rsidP="00B51724">
      <w:pPr>
        <w:rPr>
          <w:b/>
          <w:caps/>
          <w:snapToGrid w:val="0"/>
          <w:szCs w:val="22"/>
        </w:rPr>
      </w:pPr>
      <w:r w:rsidRPr="00945CDC">
        <w:rPr>
          <w:b/>
          <w:caps/>
          <w:snapToGrid w:val="0"/>
          <w:szCs w:val="22"/>
        </w:rPr>
        <w:t xml:space="preserve">             </w:t>
      </w:r>
      <w:r w:rsidRPr="00945CDC">
        <w:rPr>
          <w:snapToGrid w:val="0"/>
          <w:szCs w:val="22"/>
        </w:rPr>
        <w:t>se sídlem</w:t>
      </w:r>
      <w:r>
        <w:rPr>
          <w:snapToGrid w:val="0"/>
          <w:szCs w:val="22"/>
        </w:rPr>
        <w:t xml:space="preserve"> Sídlištní 136/24, 165 03  Praha 6</w:t>
      </w:r>
    </w:p>
    <w:p w14:paraId="71408128" w14:textId="77777777" w:rsidR="00B51724" w:rsidRPr="00917BD8" w:rsidRDefault="00B51724" w:rsidP="00B51724">
      <w:pPr>
        <w:rPr>
          <w:bCs/>
          <w:caps/>
          <w:snapToGrid w:val="0"/>
          <w:szCs w:val="22"/>
        </w:rPr>
      </w:pPr>
      <w:r w:rsidRPr="00945CDC">
        <w:rPr>
          <w:b/>
          <w:caps/>
          <w:snapToGrid w:val="0"/>
          <w:szCs w:val="22"/>
        </w:rPr>
        <w:t xml:space="preserve">   </w:t>
      </w:r>
      <w:r w:rsidRPr="00945CDC">
        <w:rPr>
          <w:b/>
          <w:caps/>
          <w:snapToGrid w:val="0"/>
          <w:szCs w:val="22"/>
        </w:rPr>
        <w:tab/>
      </w:r>
      <w:r w:rsidRPr="00945CDC">
        <w:rPr>
          <w:snapToGrid w:val="0"/>
          <w:szCs w:val="22"/>
        </w:rPr>
        <w:t>IČ:</w:t>
      </w:r>
      <w:r w:rsidRPr="00370D91">
        <w:rPr>
          <w:bCs/>
          <w:caps/>
          <w:snapToGrid w:val="0"/>
          <w:szCs w:val="22"/>
        </w:rPr>
        <w:t xml:space="preserve"> 00019305</w:t>
      </w:r>
      <w:r>
        <w:rPr>
          <w:bCs/>
          <w:caps/>
          <w:snapToGrid w:val="0"/>
          <w:szCs w:val="22"/>
        </w:rPr>
        <w:t xml:space="preserve">, </w:t>
      </w:r>
      <w:r w:rsidRPr="00917BD8">
        <w:rPr>
          <w:bCs/>
          <w:caps/>
          <w:snapToGrid w:val="0"/>
          <w:szCs w:val="22"/>
        </w:rPr>
        <w:t>DIč cz00019305</w:t>
      </w:r>
    </w:p>
    <w:p w14:paraId="52A7DF2E" w14:textId="5F7BB3D2" w:rsidR="00B51724" w:rsidRPr="00917BD8" w:rsidRDefault="00B51724" w:rsidP="00B51724">
      <w:pPr>
        <w:rPr>
          <w:snapToGrid w:val="0"/>
          <w:szCs w:val="22"/>
        </w:rPr>
      </w:pPr>
      <w:r w:rsidRPr="00917BD8">
        <w:rPr>
          <w:bCs/>
          <w:caps/>
          <w:snapToGrid w:val="0"/>
          <w:szCs w:val="22"/>
        </w:rPr>
        <w:tab/>
      </w:r>
      <w:r w:rsidRPr="00917BD8">
        <w:rPr>
          <w:snapToGrid w:val="0"/>
          <w:szCs w:val="22"/>
        </w:rPr>
        <w:t xml:space="preserve">bankovní spojení: ČNB </w:t>
      </w:r>
      <w:proofErr w:type="spellStart"/>
      <w:r w:rsidRPr="00917BD8">
        <w:rPr>
          <w:snapToGrid w:val="0"/>
          <w:szCs w:val="22"/>
        </w:rPr>
        <w:t>č.ú</w:t>
      </w:r>
      <w:proofErr w:type="spellEnd"/>
      <w:r w:rsidRPr="00917BD8">
        <w:rPr>
          <w:snapToGrid w:val="0"/>
          <w:szCs w:val="22"/>
        </w:rPr>
        <w:t xml:space="preserve">: </w:t>
      </w:r>
      <w:proofErr w:type="spellStart"/>
      <w:r w:rsidR="00C95081">
        <w:rPr>
          <w:snapToGrid w:val="0"/>
          <w:szCs w:val="22"/>
        </w:rPr>
        <w:t>xxxxxx</w:t>
      </w:r>
      <w:proofErr w:type="spellEnd"/>
    </w:p>
    <w:p w14:paraId="0D29C719" w14:textId="77777777" w:rsidR="00B51724" w:rsidRPr="00945CDC" w:rsidRDefault="00B51724" w:rsidP="00B51724">
      <w:pPr>
        <w:rPr>
          <w:b/>
          <w:caps/>
          <w:snapToGrid w:val="0"/>
          <w:szCs w:val="22"/>
        </w:rPr>
      </w:pPr>
      <w:r w:rsidRPr="00917BD8">
        <w:rPr>
          <w:snapToGrid w:val="0"/>
          <w:szCs w:val="22"/>
        </w:rPr>
        <w:tab/>
        <w:t>zastoupená MVDr. Kamilem Sedlákem, Ph.D., ředitelem SVÚ Praha</w:t>
      </w:r>
    </w:p>
    <w:p w14:paraId="16C7C654" w14:textId="77777777" w:rsidR="00B51724" w:rsidRPr="00945CDC" w:rsidRDefault="00B51724" w:rsidP="00B51724">
      <w:pPr>
        <w:jc w:val="both"/>
        <w:rPr>
          <w:b/>
          <w:snapToGrid w:val="0"/>
          <w:szCs w:val="22"/>
        </w:rPr>
      </w:pPr>
      <w:r w:rsidRPr="00945CDC">
        <w:rPr>
          <w:snapToGrid w:val="0"/>
          <w:szCs w:val="22"/>
        </w:rPr>
        <w:tab/>
        <w:t xml:space="preserve">dále jen </w:t>
      </w:r>
      <w:r w:rsidRPr="00945CDC">
        <w:rPr>
          <w:b/>
          <w:snapToGrid w:val="0"/>
          <w:szCs w:val="22"/>
        </w:rPr>
        <w:t>„kupující“</w:t>
      </w:r>
    </w:p>
    <w:p w14:paraId="0910397E" w14:textId="77777777" w:rsidR="00B51724" w:rsidRPr="00945CDC" w:rsidRDefault="00B51724" w:rsidP="00B51724">
      <w:pPr>
        <w:jc w:val="both"/>
        <w:rPr>
          <w:b/>
          <w:snapToGrid w:val="0"/>
          <w:szCs w:val="22"/>
        </w:rPr>
      </w:pPr>
    </w:p>
    <w:p w14:paraId="4E7A5A5C" w14:textId="77777777" w:rsidR="00B51724" w:rsidRPr="00945CDC" w:rsidRDefault="00B51724" w:rsidP="00B51724">
      <w:pPr>
        <w:jc w:val="both"/>
        <w:rPr>
          <w:b/>
          <w:snapToGrid w:val="0"/>
          <w:szCs w:val="22"/>
        </w:rPr>
      </w:pPr>
      <w:r w:rsidRPr="00945CDC">
        <w:rPr>
          <w:snapToGrid w:val="0"/>
          <w:szCs w:val="22"/>
        </w:rPr>
        <w:t xml:space="preserve">společně též jen </w:t>
      </w:r>
      <w:r w:rsidRPr="00945CDC">
        <w:rPr>
          <w:b/>
          <w:snapToGrid w:val="0"/>
          <w:szCs w:val="22"/>
        </w:rPr>
        <w:t>„smluvní strany“</w:t>
      </w:r>
    </w:p>
    <w:p w14:paraId="46E94F1E" w14:textId="77777777" w:rsidR="00B51724" w:rsidRPr="00945CDC" w:rsidRDefault="00B51724" w:rsidP="00B51724">
      <w:pPr>
        <w:jc w:val="both"/>
        <w:rPr>
          <w:b/>
          <w:snapToGrid w:val="0"/>
          <w:szCs w:val="22"/>
        </w:rPr>
      </w:pPr>
    </w:p>
    <w:p w14:paraId="7F8D079D" w14:textId="7B537770" w:rsidR="00B51724" w:rsidRPr="00945CDC" w:rsidRDefault="00B51724" w:rsidP="00B51724">
      <w:pPr>
        <w:tabs>
          <w:tab w:val="left" w:pos="708"/>
          <w:tab w:val="center" w:pos="4819"/>
          <w:tab w:val="right" w:pos="9071"/>
        </w:tabs>
        <w:jc w:val="both"/>
        <w:rPr>
          <w:snapToGrid w:val="0"/>
          <w:szCs w:val="22"/>
        </w:rPr>
      </w:pPr>
      <w:r w:rsidRPr="00945CDC">
        <w:rPr>
          <w:snapToGrid w:val="0"/>
          <w:szCs w:val="22"/>
        </w:rPr>
        <w:t xml:space="preserve">uzavřely dnešního dne ve smyslu </w:t>
      </w:r>
      <w:proofErr w:type="spellStart"/>
      <w:r w:rsidRPr="00945CDC">
        <w:rPr>
          <w:snapToGrid w:val="0"/>
          <w:szCs w:val="22"/>
        </w:rPr>
        <w:t>ust</w:t>
      </w:r>
      <w:proofErr w:type="spellEnd"/>
      <w:r w:rsidRPr="00945CDC">
        <w:rPr>
          <w:snapToGrid w:val="0"/>
          <w:szCs w:val="22"/>
        </w:rPr>
        <w:t xml:space="preserve">. § 2079 a násl. občanského zákoníku, č. 89/2012 Sb. (dále také jen „Občanský zákoník“) </w:t>
      </w:r>
      <w:r>
        <w:rPr>
          <w:snapToGrid w:val="0"/>
          <w:szCs w:val="22"/>
        </w:rPr>
        <w:t xml:space="preserve">na základě vyhodnocení VZ č. </w:t>
      </w:r>
      <w:r w:rsidRPr="001758D6">
        <w:rPr>
          <w:snapToGrid w:val="0"/>
          <w:szCs w:val="22"/>
        </w:rPr>
        <w:t>T002/2</w:t>
      </w:r>
      <w:r w:rsidR="00A6064D" w:rsidRPr="001758D6">
        <w:rPr>
          <w:snapToGrid w:val="0"/>
          <w:szCs w:val="22"/>
        </w:rPr>
        <w:t>4</w:t>
      </w:r>
      <w:r w:rsidRPr="001758D6">
        <w:rPr>
          <w:snapToGrid w:val="0"/>
          <w:szCs w:val="22"/>
        </w:rPr>
        <w:t>/V0005</w:t>
      </w:r>
      <w:r w:rsidR="00A6064D" w:rsidRPr="001758D6">
        <w:rPr>
          <w:snapToGrid w:val="0"/>
          <w:szCs w:val="22"/>
        </w:rPr>
        <w:t>9352</w:t>
      </w:r>
      <w:r w:rsidRPr="001758D6">
        <w:rPr>
          <w:snapToGrid w:val="0"/>
          <w:szCs w:val="22"/>
        </w:rPr>
        <w:t xml:space="preserve"> následující</w:t>
      </w:r>
    </w:p>
    <w:p w14:paraId="606A0A71" w14:textId="77777777" w:rsidR="00B51724" w:rsidRDefault="00B51724" w:rsidP="00B51724">
      <w:pPr>
        <w:jc w:val="both"/>
        <w:rPr>
          <w:snapToGrid w:val="0"/>
          <w:szCs w:val="22"/>
        </w:rPr>
      </w:pPr>
    </w:p>
    <w:p w14:paraId="5F1F8D5B" w14:textId="77777777" w:rsidR="00B51724" w:rsidRPr="00945CDC" w:rsidRDefault="00B51724" w:rsidP="00B51724">
      <w:pPr>
        <w:jc w:val="both"/>
        <w:rPr>
          <w:snapToGrid w:val="0"/>
          <w:szCs w:val="22"/>
        </w:rPr>
      </w:pPr>
    </w:p>
    <w:p w14:paraId="587EC302" w14:textId="77777777" w:rsidR="00B51724" w:rsidRPr="00945CDC" w:rsidRDefault="00B51724" w:rsidP="00B51724">
      <w:pPr>
        <w:jc w:val="center"/>
        <w:rPr>
          <w:b/>
          <w:snapToGrid w:val="0"/>
          <w:szCs w:val="22"/>
        </w:rPr>
      </w:pPr>
      <w:r w:rsidRPr="00945CDC">
        <w:rPr>
          <w:b/>
          <w:snapToGrid w:val="0"/>
          <w:szCs w:val="22"/>
        </w:rPr>
        <w:t xml:space="preserve">kupní smlouvu na dodávku technických plynů </w:t>
      </w:r>
    </w:p>
    <w:p w14:paraId="120C1399" w14:textId="77777777" w:rsidR="00B51724" w:rsidRPr="00945CDC" w:rsidRDefault="00B51724" w:rsidP="00B51724">
      <w:pPr>
        <w:jc w:val="center"/>
        <w:rPr>
          <w:snapToGrid w:val="0"/>
          <w:szCs w:val="22"/>
        </w:rPr>
      </w:pPr>
      <w:r w:rsidRPr="00945CDC">
        <w:rPr>
          <w:b/>
          <w:snapToGrid w:val="0"/>
          <w:szCs w:val="22"/>
        </w:rPr>
        <w:t>v lahvích:</w:t>
      </w:r>
    </w:p>
    <w:p w14:paraId="74588F53" w14:textId="77777777" w:rsidR="00B51724" w:rsidRDefault="00B51724" w:rsidP="00B51724">
      <w:pPr>
        <w:jc w:val="center"/>
        <w:rPr>
          <w:b/>
          <w:snapToGrid w:val="0"/>
          <w:szCs w:val="22"/>
        </w:rPr>
      </w:pPr>
    </w:p>
    <w:p w14:paraId="047F4C95" w14:textId="77777777" w:rsidR="00B51724" w:rsidRPr="00945CDC" w:rsidRDefault="00B51724" w:rsidP="00B51724">
      <w:pPr>
        <w:jc w:val="center"/>
        <w:rPr>
          <w:b/>
          <w:snapToGrid w:val="0"/>
          <w:szCs w:val="22"/>
        </w:rPr>
      </w:pPr>
    </w:p>
    <w:p w14:paraId="22A9931F" w14:textId="77777777" w:rsidR="00B51724" w:rsidRPr="00945CDC" w:rsidRDefault="00B51724" w:rsidP="00B51724">
      <w:pPr>
        <w:jc w:val="center"/>
        <w:rPr>
          <w:b/>
          <w:snapToGrid w:val="0"/>
          <w:szCs w:val="22"/>
        </w:rPr>
      </w:pPr>
      <w:r w:rsidRPr="00945CDC">
        <w:rPr>
          <w:b/>
          <w:snapToGrid w:val="0"/>
          <w:szCs w:val="22"/>
        </w:rPr>
        <w:t>Článek 1</w:t>
      </w:r>
    </w:p>
    <w:p w14:paraId="5E7DDF6E" w14:textId="77777777" w:rsidR="00B51724" w:rsidRPr="00945CDC" w:rsidRDefault="00B51724" w:rsidP="00B51724">
      <w:pPr>
        <w:jc w:val="center"/>
        <w:rPr>
          <w:b/>
          <w:snapToGrid w:val="0"/>
          <w:szCs w:val="22"/>
        </w:rPr>
      </w:pPr>
      <w:r w:rsidRPr="00945CDC">
        <w:rPr>
          <w:b/>
          <w:snapToGrid w:val="0"/>
          <w:szCs w:val="22"/>
        </w:rPr>
        <w:t>Předmět smlouvy</w:t>
      </w:r>
    </w:p>
    <w:p w14:paraId="1DF170A1" w14:textId="77777777" w:rsidR="00B51724" w:rsidRPr="00945CDC" w:rsidRDefault="00B51724" w:rsidP="00B51724">
      <w:pPr>
        <w:jc w:val="both"/>
        <w:rPr>
          <w:snapToGrid w:val="0"/>
          <w:szCs w:val="22"/>
        </w:rPr>
      </w:pPr>
    </w:p>
    <w:p w14:paraId="527A9905" w14:textId="77777777" w:rsidR="00B51724" w:rsidRPr="00945CDC" w:rsidRDefault="00B51724" w:rsidP="00B51724">
      <w:pPr>
        <w:numPr>
          <w:ilvl w:val="1"/>
          <w:numId w:val="0"/>
        </w:numPr>
        <w:tabs>
          <w:tab w:val="num" w:pos="567"/>
        </w:tabs>
        <w:ind w:left="567" w:hanging="567"/>
        <w:jc w:val="both"/>
        <w:rPr>
          <w:snapToGrid w:val="0"/>
          <w:lang w:val="x-none" w:eastAsia="x-none"/>
        </w:rPr>
      </w:pPr>
      <w:r w:rsidRPr="00945CDC">
        <w:rPr>
          <w:snapToGrid w:val="0"/>
          <w:lang w:eastAsia="x-none"/>
        </w:rPr>
        <w:t>1.1</w:t>
      </w:r>
      <w:r w:rsidRPr="00945CDC">
        <w:rPr>
          <w:snapToGrid w:val="0"/>
          <w:lang w:eastAsia="x-none"/>
        </w:rPr>
        <w:tab/>
      </w:r>
      <w:r w:rsidRPr="00945CDC">
        <w:rPr>
          <w:snapToGrid w:val="0"/>
          <w:lang w:val="x-none" w:eastAsia="x-none"/>
        </w:rPr>
        <w:t>Prodávající je výrobcem a dodavatelem zkapalněných technických plynů, které odběratelům dodává za účelem využívání a spotřeby těchto plynů a současně jim smluvně pronajímá i potřebná technická zařízení ve svém vlastnictví</w:t>
      </w:r>
      <w:r w:rsidRPr="00945CDC">
        <w:rPr>
          <w:snapToGrid w:val="0"/>
          <w:lang w:eastAsia="x-none"/>
        </w:rPr>
        <w:t>,</w:t>
      </w:r>
      <w:r w:rsidRPr="00945CDC">
        <w:rPr>
          <w:snapToGrid w:val="0"/>
          <w:lang w:val="x-none" w:eastAsia="x-none"/>
        </w:rPr>
        <w:t xml:space="preserve"> jako jsou plynové lahve a svazky těchto lahví (dále jen „lahve“). </w:t>
      </w:r>
    </w:p>
    <w:p w14:paraId="444D2810" w14:textId="77777777" w:rsidR="00B51724" w:rsidRPr="00896D98" w:rsidRDefault="00B51724" w:rsidP="00B51724">
      <w:pPr>
        <w:numPr>
          <w:ilvl w:val="1"/>
          <w:numId w:val="0"/>
        </w:numPr>
        <w:tabs>
          <w:tab w:val="num" w:pos="567"/>
        </w:tabs>
        <w:ind w:left="567" w:hanging="567"/>
        <w:jc w:val="both"/>
        <w:rPr>
          <w:snapToGrid w:val="0"/>
          <w:lang w:eastAsia="x-none"/>
        </w:rPr>
      </w:pPr>
      <w:r w:rsidRPr="00945CDC">
        <w:rPr>
          <w:lang w:eastAsia="x-none"/>
        </w:rPr>
        <w:t>1.2</w:t>
      </w:r>
      <w:r w:rsidRPr="00945CDC">
        <w:rPr>
          <w:lang w:eastAsia="x-none"/>
        </w:rPr>
        <w:tab/>
      </w:r>
      <w:r w:rsidRPr="00945CDC">
        <w:rPr>
          <w:lang w:val="x-none" w:eastAsia="x-none"/>
        </w:rPr>
        <w:t xml:space="preserve">Předmětem této smlouvy je úprava vzájemných práv a povinností smluvních stran při </w:t>
      </w:r>
      <w:r w:rsidRPr="00945CDC">
        <w:rPr>
          <w:lang w:eastAsia="x-none"/>
        </w:rPr>
        <w:t xml:space="preserve">koupi technických plynů v lahvích, a to na straně jedné </w:t>
      </w:r>
      <w:r w:rsidRPr="00945CDC">
        <w:rPr>
          <w:lang w:val="x-none" w:eastAsia="x-none"/>
        </w:rPr>
        <w:t>plnění závazku prodávajícího kupujícímu dodat a následně pravidelně vyměňovat jím pronajaté prázdné lahve za lahve naplněné technickými plyny uvedenými v </w:t>
      </w:r>
      <w:r w:rsidRPr="00945CDC">
        <w:rPr>
          <w:b/>
          <w:lang w:val="x-none" w:eastAsia="x-none"/>
        </w:rPr>
        <w:t xml:space="preserve">Příloze č. </w:t>
      </w:r>
      <w:r w:rsidRPr="00945CDC">
        <w:rPr>
          <w:b/>
          <w:lang w:eastAsia="x-none"/>
        </w:rPr>
        <w:t>1</w:t>
      </w:r>
      <w:r w:rsidRPr="00945CDC">
        <w:rPr>
          <w:b/>
          <w:lang w:val="x-none" w:eastAsia="x-none"/>
        </w:rPr>
        <w:t xml:space="preserve"> </w:t>
      </w:r>
      <w:r w:rsidRPr="00945CDC">
        <w:rPr>
          <w:lang w:val="x-none" w:eastAsia="x-none"/>
        </w:rPr>
        <w:t xml:space="preserve">této smlouvy (dále také jen „zboží“) a </w:t>
      </w:r>
      <w:r w:rsidRPr="00945CDC">
        <w:rPr>
          <w:lang w:eastAsia="x-none"/>
        </w:rPr>
        <w:t xml:space="preserve">na straně druhé </w:t>
      </w:r>
      <w:r w:rsidRPr="00945CDC">
        <w:rPr>
          <w:lang w:val="x-none" w:eastAsia="x-none"/>
        </w:rPr>
        <w:t>závazku kupujícího zboží od prodávajícího po sjedn</w:t>
      </w:r>
      <w:r>
        <w:rPr>
          <w:lang w:val="x-none" w:eastAsia="x-none"/>
        </w:rPr>
        <w:t>anou dobu odebírat a kupovat do</w:t>
      </w:r>
      <w:r>
        <w:rPr>
          <w:lang w:eastAsia="x-none"/>
        </w:rPr>
        <w:t> </w:t>
      </w:r>
      <w:r w:rsidRPr="00945CDC">
        <w:rPr>
          <w:lang w:val="x-none" w:eastAsia="x-none"/>
        </w:rPr>
        <w:t xml:space="preserve">svého vlastnictví a zaplatit za toto zboží sjednanou kupní cenu, jakož i nájemné na pronájem lahví dle Přílohy č. </w:t>
      </w:r>
      <w:r w:rsidRPr="00945CDC">
        <w:rPr>
          <w:lang w:eastAsia="x-none"/>
        </w:rPr>
        <w:t>1</w:t>
      </w:r>
      <w:r w:rsidRPr="00945CDC">
        <w:rPr>
          <w:lang w:val="x-none" w:eastAsia="x-none"/>
        </w:rPr>
        <w:t xml:space="preserve"> této smlouvy. </w:t>
      </w:r>
    </w:p>
    <w:p w14:paraId="5F06C015" w14:textId="77777777" w:rsidR="00B51724" w:rsidRPr="00945CDC" w:rsidRDefault="00B51724" w:rsidP="00B51724">
      <w:pPr>
        <w:numPr>
          <w:ilvl w:val="1"/>
          <w:numId w:val="0"/>
        </w:numPr>
        <w:tabs>
          <w:tab w:val="num" w:pos="567"/>
        </w:tabs>
        <w:ind w:left="567" w:hanging="567"/>
        <w:jc w:val="both"/>
        <w:rPr>
          <w:lang w:val="x-none" w:eastAsia="x-none"/>
        </w:rPr>
      </w:pPr>
      <w:r w:rsidRPr="00945CDC">
        <w:rPr>
          <w:lang w:eastAsia="x-none"/>
        </w:rPr>
        <w:t>1.3</w:t>
      </w:r>
      <w:r w:rsidRPr="00945CDC">
        <w:rPr>
          <w:lang w:eastAsia="x-none"/>
        </w:rPr>
        <w:tab/>
      </w:r>
      <w:r w:rsidRPr="00945CDC">
        <w:rPr>
          <w:lang w:val="x-none" w:eastAsia="x-none"/>
        </w:rPr>
        <w:t xml:space="preserve">Prodávající touto smlouvou prodává zboží do výlučného vlastnictví kupujícího a kupující zboží do svého výlučného vlastnictví kupuje. Prodej zboží dle této smlouvy je založen na dodání výchozího základního množství zkapalněného technického plynu v lahvích a na jeho následném doplňování formou výměny prázdné lahve za plnou.     </w:t>
      </w:r>
    </w:p>
    <w:p w14:paraId="2103D067" w14:textId="77777777" w:rsidR="00B51724" w:rsidRPr="00945CDC" w:rsidRDefault="00B51724" w:rsidP="00B51724">
      <w:pPr>
        <w:numPr>
          <w:ilvl w:val="1"/>
          <w:numId w:val="0"/>
        </w:numPr>
        <w:tabs>
          <w:tab w:val="num" w:pos="567"/>
        </w:tabs>
        <w:ind w:left="567" w:hanging="567"/>
        <w:jc w:val="both"/>
        <w:rPr>
          <w:lang w:val="x-none" w:eastAsia="x-none"/>
        </w:rPr>
      </w:pPr>
      <w:r w:rsidRPr="00945CDC">
        <w:rPr>
          <w:lang w:eastAsia="x-none"/>
        </w:rPr>
        <w:t>1.4</w:t>
      </w:r>
      <w:r w:rsidRPr="00945CDC">
        <w:rPr>
          <w:lang w:eastAsia="x-none"/>
        </w:rPr>
        <w:tab/>
      </w:r>
      <w:r w:rsidRPr="00945CDC">
        <w:rPr>
          <w:lang w:val="x-none" w:eastAsia="x-none"/>
        </w:rPr>
        <w:t xml:space="preserve">Kupující se zavazuje </w:t>
      </w:r>
      <w:r>
        <w:rPr>
          <w:lang w:eastAsia="x-none"/>
        </w:rPr>
        <w:t>objednané</w:t>
      </w:r>
      <w:r w:rsidRPr="00945CDC">
        <w:rPr>
          <w:lang w:val="x-none" w:eastAsia="x-none"/>
        </w:rPr>
        <w:t xml:space="preserve"> zboží převzít formou dle článku 2 této smlouvy a zaplatit za něj prodávajícímu kupní cenu, sjednanou v článku 4 této smlouvy.</w:t>
      </w:r>
    </w:p>
    <w:p w14:paraId="2A5ED30A" w14:textId="77777777" w:rsidR="00B51724" w:rsidRPr="00945CDC" w:rsidRDefault="00B51724" w:rsidP="00B51724">
      <w:pPr>
        <w:numPr>
          <w:ilvl w:val="1"/>
          <w:numId w:val="0"/>
        </w:numPr>
        <w:tabs>
          <w:tab w:val="num" w:pos="567"/>
        </w:tabs>
        <w:ind w:left="567" w:hanging="567"/>
        <w:jc w:val="both"/>
        <w:rPr>
          <w:lang w:eastAsia="x-none"/>
        </w:rPr>
      </w:pPr>
      <w:r w:rsidRPr="00945CDC">
        <w:rPr>
          <w:lang w:eastAsia="x-none"/>
        </w:rPr>
        <w:t>1.5</w:t>
      </w:r>
      <w:r w:rsidRPr="00945CDC">
        <w:rPr>
          <w:lang w:eastAsia="x-none"/>
        </w:rPr>
        <w:tab/>
      </w:r>
      <w:r w:rsidRPr="00945CDC">
        <w:rPr>
          <w:lang w:val="x-none" w:eastAsia="x-none"/>
        </w:rPr>
        <w:t xml:space="preserve">Příloha č. </w:t>
      </w:r>
      <w:r w:rsidRPr="00945CDC">
        <w:rPr>
          <w:lang w:eastAsia="x-none"/>
        </w:rPr>
        <w:t>1</w:t>
      </w:r>
      <w:r w:rsidRPr="00945CDC">
        <w:rPr>
          <w:lang w:val="x-none" w:eastAsia="x-none"/>
        </w:rPr>
        <w:t xml:space="preserve">, která tvoří nedílnou součást této smlouvy, stanoví </w:t>
      </w:r>
      <w:r w:rsidRPr="00945CDC">
        <w:rPr>
          <w:lang w:eastAsia="x-none"/>
        </w:rPr>
        <w:t xml:space="preserve">konkrétní </w:t>
      </w:r>
      <w:r w:rsidRPr="00945CDC">
        <w:rPr>
          <w:lang w:val="x-none" w:eastAsia="x-none"/>
        </w:rPr>
        <w:t>specifikaci zboží, souvisejících služeb a ostatních výkonů</w:t>
      </w:r>
      <w:r w:rsidRPr="00B16098">
        <w:rPr>
          <w:lang w:val="x-none" w:eastAsia="x-none"/>
        </w:rPr>
        <w:t xml:space="preserve"> </w:t>
      </w:r>
      <w:r w:rsidRPr="00945CDC">
        <w:rPr>
          <w:lang w:val="x-none" w:eastAsia="x-none"/>
        </w:rPr>
        <w:t>a některé další smluvní podmínky.</w:t>
      </w:r>
    </w:p>
    <w:p w14:paraId="12D2F563" w14:textId="77777777" w:rsidR="00B51724" w:rsidRPr="00DC7877" w:rsidRDefault="00B51724" w:rsidP="00B51724">
      <w:pPr>
        <w:ind w:left="567" w:hanging="567"/>
        <w:jc w:val="both"/>
        <w:rPr>
          <w:szCs w:val="22"/>
        </w:rPr>
      </w:pPr>
      <w:r w:rsidRPr="00945CDC">
        <w:lastRenderedPageBreak/>
        <w:t>1.6</w:t>
      </w:r>
      <w:r w:rsidRPr="00945CDC">
        <w:tab/>
        <w:t>Smluvní vztahy vzniklé na základě této smlouvy a v souvislosti s ní se dále řídí Všeobecnými obchodními podmínkami společnosti SIAD Czech spol. s r.o. (dále také jen „VOP“), pokud tato smlouva</w:t>
      </w:r>
      <w:r>
        <w:t>,</w:t>
      </w:r>
      <w:r w:rsidRPr="00945CDC">
        <w:t xml:space="preserve"> anebo zvláštní smluvní ujednání stran nestanoví jinak. VOP tvoří jako </w:t>
      </w:r>
      <w:r w:rsidRPr="00945CDC">
        <w:rPr>
          <w:b/>
        </w:rPr>
        <w:t>Příloha č. 2</w:t>
      </w:r>
      <w:r w:rsidRPr="00945CDC">
        <w:t xml:space="preserve"> nedílnou součást této </w:t>
      </w:r>
      <w:r w:rsidRPr="00DC7877">
        <w:rPr>
          <w:szCs w:val="22"/>
        </w:rPr>
        <w:t xml:space="preserve">smlouvy. Dojde-li k rozporu mezi </w:t>
      </w:r>
      <w:r>
        <w:rPr>
          <w:szCs w:val="22"/>
        </w:rPr>
        <w:t>VOP</w:t>
      </w:r>
      <w:r w:rsidRPr="00DC7877">
        <w:rPr>
          <w:szCs w:val="22"/>
        </w:rPr>
        <w:t xml:space="preserve"> a touto smlouvou, použijí se ustanovení této smlouvy přednostně.</w:t>
      </w:r>
    </w:p>
    <w:p w14:paraId="421C86C5" w14:textId="77777777" w:rsidR="00B51724" w:rsidRPr="00945CDC" w:rsidRDefault="00B51724" w:rsidP="00B51724">
      <w:pPr>
        <w:jc w:val="both"/>
      </w:pPr>
    </w:p>
    <w:p w14:paraId="5B6B090F" w14:textId="77777777" w:rsidR="00B51724" w:rsidRPr="00945CDC" w:rsidRDefault="00B51724" w:rsidP="00B51724">
      <w:pPr>
        <w:jc w:val="center"/>
        <w:rPr>
          <w:b/>
        </w:rPr>
      </w:pPr>
      <w:r w:rsidRPr="00945CDC">
        <w:rPr>
          <w:b/>
        </w:rPr>
        <w:t>Článek 2</w:t>
      </w:r>
    </w:p>
    <w:p w14:paraId="344767F4" w14:textId="77777777" w:rsidR="00B51724" w:rsidRPr="00945CDC" w:rsidRDefault="00B51724" w:rsidP="00B51724">
      <w:pPr>
        <w:jc w:val="center"/>
        <w:rPr>
          <w:b/>
        </w:rPr>
      </w:pPr>
      <w:r w:rsidRPr="00945CDC">
        <w:rPr>
          <w:b/>
        </w:rPr>
        <w:t xml:space="preserve">Dodávka zboží </w:t>
      </w:r>
    </w:p>
    <w:p w14:paraId="326BDDDF" w14:textId="77777777" w:rsidR="00B51724" w:rsidRPr="00945CDC" w:rsidRDefault="00B51724" w:rsidP="00B51724">
      <w:pPr>
        <w:jc w:val="center"/>
        <w:rPr>
          <w:b/>
        </w:rPr>
      </w:pPr>
    </w:p>
    <w:p w14:paraId="6F2B92DE" w14:textId="77777777" w:rsidR="00B51724" w:rsidRPr="00945CDC" w:rsidRDefault="00B51724" w:rsidP="00B51724">
      <w:pPr>
        <w:ind w:left="567" w:hanging="567"/>
        <w:jc w:val="both"/>
      </w:pPr>
      <w:r w:rsidRPr="00945CDC">
        <w:t>2.1</w:t>
      </w:r>
      <w:r w:rsidRPr="00945CDC">
        <w:tab/>
        <w:t xml:space="preserve">Dodávka zboží formou výměny prázdné lahve za plné je realizována na základě samostatné objednávky kupujícího. Objednávka může být učiněna jak v písemné formě (včetně elektronických prostředků), tak i v nepísemné formě (telefonicky).  </w:t>
      </w:r>
    </w:p>
    <w:p w14:paraId="75AE4D33" w14:textId="77777777" w:rsidR="00B51724" w:rsidRPr="00945CDC" w:rsidRDefault="00B51724" w:rsidP="00B51724">
      <w:pPr>
        <w:ind w:left="567" w:hanging="567"/>
        <w:jc w:val="both"/>
      </w:pPr>
      <w:r w:rsidRPr="00945CDC">
        <w:t>2.2</w:t>
      </w:r>
      <w:r w:rsidRPr="00945CDC">
        <w:tab/>
      </w:r>
      <w:r w:rsidRPr="006240F2">
        <w:t xml:space="preserve">Kupující je povinen neprodleně oznámit prodávajícímu podstatné změny ve spotřebě zboží, když za podstatnou změnu se považuje stav, kdy spotřeba plynu ze strany kupujícího se zvýší nebo sníží v období tří (3) měsíců o více než 50 % spotřeby za období předchozích tří (3) měsíců.  </w:t>
      </w:r>
    </w:p>
    <w:p w14:paraId="3AD495CA" w14:textId="205A30BF" w:rsidR="00B51724" w:rsidRPr="00945CDC" w:rsidRDefault="00B51724" w:rsidP="00B51724">
      <w:pPr>
        <w:ind w:left="567" w:hanging="567"/>
        <w:jc w:val="both"/>
      </w:pPr>
      <w:r w:rsidRPr="00945CDC">
        <w:t xml:space="preserve">2.3  </w:t>
      </w:r>
      <w:r w:rsidR="00A6064D">
        <w:t xml:space="preserve"> </w:t>
      </w:r>
      <w:r w:rsidR="0038467E">
        <w:t xml:space="preserve"> </w:t>
      </w:r>
      <w:r w:rsidR="00A6064D">
        <w:tab/>
      </w:r>
      <w:r w:rsidRPr="00945CDC">
        <w:t xml:space="preserve">Kupující se zavazuje nejpozději do 10 dnů po ukončení platnosti této smlouvy vrátit všechny </w:t>
      </w:r>
      <w:r w:rsidRPr="00E701F6">
        <w:t>pronajaté lahve prodávajícímu. Poruší-li kupující tuto svou povinnost, je povinen uhradit prodávajícímu smluvní pokutu ve výši 12.000,- Kč za každou včas nevrácenou lahev.</w:t>
      </w:r>
      <w:r w:rsidRPr="00945CDC">
        <w:t xml:space="preserve">   </w:t>
      </w:r>
    </w:p>
    <w:p w14:paraId="08832E65" w14:textId="77777777" w:rsidR="00B51724" w:rsidRPr="00945CDC" w:rsidRDefault="00B51724" w:rsidP="00B51724">
      <w:pPr>
        <w:ind w:left="567" w:hanging="567"/>
        <w:jc w:val="both"/>
      </w:pPr>
      <w:r w:rsidRPr="00945CDC">
        <w:t>2.4</w:t>
      </w:r>
      <w:r w:rsidRPr="00945CDC">
        <w:tab/>
        <w:t xml:space="preserve">Při dodávce/dodávkách zboží bude mezi smluvními stranami vycházeno rovněž z dosavadních obchodních zvyklostí ve smyslu </w:t>
      </w:r>
      <w:proofErr w:type="spellStart"/>
      <w:r w:rsidRPr="00945CDC">
        <w:t>ust</w:t>
      </w:r>
      <w:proofErr w:type="spellEnd"/>
      <w:r w:rsidRPr="00945CDC">
        <w:t xml:space="preserve">. § 558 odst. 2 Občanského zákoníku. </w:t>
      </w:r>
    </w:p>
    <w:p w14:paraId="2B977B29" w14:textId="77777777" w:rsidR="00B51724" w:rsidRPr="00945CDC" w:rsidRDefault="00B51724" w:rsidP="00B51724">
      <w:pPr>
        <w:ind w:left="567" w:hanging="567"/>
        <w:jc w:val="both"/>
      </w:pPr>
    </w:p>
    <w:p w14:paraId="6D5C9CA6" w14:textId="77777777" w:rsidR="00B51724" w:rsidRPr="00945CDC" w:rsidRDefault="00B51724" w:rsidP="00B51724">
      <w:pPr>
        <w:jc w:val="center"/>
        <w:rPr>
          <w:b/>
          <w:szCs w:val="22"/>
        </w:rPr>
      </w:pPr>
      <w:r w:rsidRPr="00945CDC">
        <w:t xml:space="preserve">  </w:t>
      </w:r>
      <w:r w:rsidRPr="00945CDC">
        <w:rPr>
          <w:b/>
          <w:szCs w:val="22"/>
        </w:rPr>
        <w:t>Článek 3</w:t>
      </w:r>
    </w:p>
    <w:p w14:paraId="14F27475" w14:textId="77777777" w:rsidR="00B51724" w:rsidRPr="00945CDC" w:rsidRDefault="00B51724" w:rsidP="00B51724">
      <w:pPr>
        <w:jc w:val="center"/>
        <w:rPr>
          <w:b/>
          <w:szCs w:val="22"/>
        </w:rPr>
      </w:pPr>
      <w:r w:rsidRPr="00945CDC">
        <w:rPr>
          <w:b/>
          <w:szCs w:val="22"/>
        </w:rPr>
        <w:t>Dodací podmínky</w:t>
      </w:r>
    </w:p>
    <w:p w14:paraId="346A7290" w14:textId="77777777" w:rsidR="00B51724" w:rsidRPr="00945CDC" w:rsidRDefault="00B51724" w:rsidP="00B51724">
      <w:pPr>
        <w:rPr>
          <w:b/>
          <w:szCs w:val="22"/>
        </w:rPr>
      </w:pPr>
    </w:p>
    <w:p w14:paraId="72B9D1C8" w14:textId="77777777" w:rsidR="00B51724" w:rsidRPr="00945CDC" w:rsidRDefault="00B51724" w:rsidP="00B51724">
      <w:pPr>
        <w:tabs>
          <w:tab w:val="left" w:pos="708"/>
        </w:tabs>
        <w:ind w:left="567" w:hanging="567"/>
        <w:jc w:val="both"/>
        <w:rPr>
          <w:lang w:eastAsia="x-none"/>
        </w:rPr>
      </w:pPr>
      <w:r w:rsidRPr="00945CDC">
        <w:rPr>
          <w:lang w:val="x-none" w:eastAsia="x-none"/>
        </w:rPr>
        <w:t>3.1</w:t>
      </w:r>
      <w:r w:rsidRPr="00945CDC">
        <w:rPr>
          <w:lang w:val="x-none" w:eastAsia="x-none"/>
        </w:rPr>
        <w:tab/>
        <w:t>Prodávající se zavazuje dodat zboží do sídla</w:t>
      </w:r>
      <w:r w:rsidRPr="00945CDC">
        <w:rPr>
          <w:lang w:eastAsia="x-none"/>
        </w:rPr>
        <w:t xml:space="preserve"> </w:t>
      </w:r>
      <w:r w:rsidRPr="00945CDC">
        <w:rPr>
          <w:lang w:val="x-none" w:eastAsia="x-none"/>
        </w:rPr>
        <w:t>/provozovn</w:t>
      </w:r>
      <w:r>
        <w:rPr>
          <w:lang w:val="x-none" w:eastAsia="x-none"/>
        </w:rPr>
        <w:t>y kupujícího a zde vyměňovat na</w:t>
      </w:r>
      <w:r>
        <w:rPr>
          <w:lang w:eastAsia="x-none"/>
        </w:rPr>
        <w:t> </w:t>
      </w:r>
      <w:r w:rsidRPr="00945CDC">
        <w:rPr>
          <w:lang w:val="x-none" w:eastAsia="x-none"/>
        </w:rPr>
        <w:t>základě objednávky kupující prázdné lahve za plné.</w:t>
      </w:r>
      <w:r w:rsidRPr="00945CDC">
        <w:rPr>
          <w:lang w:eastAsia="x-none"/>
        </w:rPr>
        <w:t xml:space="preserve"> O této výměně bude vždy pořízen písemný zápis (předávací protokol).</w:t>
      </w:r>
      <w:r w:rsidRPr="00945CDC">
        <w:rPr>
          <w:lang w:val="x-none" w:eastAsia="x-none"/>
        </w:rPr>
        <w:t xml:space="preserve">   </w:t>
      </w:r>
    </w:p>
    <w:p w14:paraId="5DB1CCD5" w14:textId="77777777" w:rsidR="00B51724" w:rsidRPr="00945CDC" w:rsidRDefault="00B51724" w:rsidP="00B51724">
      <w:pPr>
        <w:tabs>
          <w:tab w:val="left" w:pos="708"/>
        </w:tabs>
        <w:ind w:left="567" w:hanging="567"/>
        <w:jc w:val="both"/>
        <w:rPr>
          <w:lang w:eastAsia="x-none"/>
        </w:rPr>
      </w:pPr>
      <w:r w:rsidRPr="00945CDC">
        <w:rPr>
          <w:lang w:val="x-none" w:eastAsia="x-none"/>
        </w:rPr>
        <w:t>3.2</w:t>
      </w:r>
      <w:r w:rsidRPr="00945CDC">
        <w:rPr>
          <w:lang w:val="x-none" w:eastAsia="x-none"/>
        </w:rPr>
        <w:tab/>
        <w:t>Nebezpečí škody na zboží přechází z prodávajícího na kupujícího okamžikem převzetí zboží kupujícím.</w:t>
      </w:r>
    </w:p>
    <w:p w14:paraId="090BE5DE" w14:textId="77777777" w:rsidR="00B51724" w:rsidRPr="00945CDC" w:rsidRDefault="00B51724" w:rsidP="00B51724">
      <w:pPr>
        <w:tabs>
          <w:tab w:val="left" w:pos="708"/>
        </w:tabs>
        <w:ind w:left="567" w:hanging="567"/>
        <w:jc w:val="both"/>
        <w:rPr>
          <w:lang w:val="x-none" w:eastAsia="x-none"/>
        </w:rPr>
      </w:pPr>
      <w:r w:rsidRPr="00945CDC">
        <w:rPr>
          <w:lang w:eastAsia="x-none"/>
        </w:rPr>
        <w:t>3.3</w:t>
      </w:r>
      <w:r w:rsidRPr="00945CDC">
        <w:rPr>
          <w:lang w:eastAsia="x-none"/>
        </w:rPr>
        <w:tab/>
        <w:t>Pokud prodávající dodá větší množství zboží, než bylo ujedná</w:t>
      </w:r>
      <w:r>
        <w:rPr>
          <w:lang w:eastAsia="x-none"/>
        </w:rPr>
        <w:t>no, je kupní smlouva uzavřena i </w:t>
      </w:r>
      <w:r w:rsidRPr="00945CDC">
        <w:rPr>
          <w:lang w:eastAsia="x-none"/>
        </w:rPr>
        <w:t xml:space="preserve">nad původně sjednané množství, ledaže je kupující bez zbytečného odkladu odmítne.   </w:t>
      </w:r>
      <w:r w:rsidRPr="00945CDC">
        <w:rPr>
          <w:lang w:val="x-none" w:eastAsia="x-none"/>
        </w:rPr>
        <w:t xml:space="preserve"> </w:t>
      </w:r>
    </w:p>
    <w:p w14:paraId="287E2B00" w14:textId="77777777" w:rsidR="00B51724" w:rsidRPr="00945CDC" w:rsidRDefault="00B51724" w:rsidP="00B51724">
      <w:pPr>
        <w:rPr>
          <w:szCs w:val="22"/>
        </w:rPr>
      </w:pPr>
    </w:p>
    <w:p w14:paraId="0B445F11" w14:textId="77777777" w:rsidR="00B51724" w:rsidRPr="00945CDC" w:rsidRDefault="00B51724" w:rsidP="00B51724">
      <w:pPr>
        <w:ind w:left="567"/>
        <w:jc w:val="center"/>
        <w:rPr>
          <w:b/>
        </w:rPr>
      </w:pPr>
      <w:r w:rsidRPr="00945CDC">
        <w:rPr>
          <w:b/>
        </w:rPr>
        <w:t>Článek 4</w:t>
      </w:r>
    </w:p>
    <w:p w14:paraId="58FFCE44" w14:textId="77777777" w:rsidR="00B51724" w:rsidRPr="00945CDC" w:rsidRDefault="00B51724" w:rsidP="00B51724">
      <w:pPr>
        <w:jc w:val="center"/>
        <w:rPr>
          <w:b/>
          <w:szCs w:val="22"/>
        </w:rPr>
      </w:pPr>
      <w:r w:rsidRPr="00945CDC">
        <w:rPr>
          <w:b/>
          <w:szCs w:val="22"/>
        </w:rPr>
        <w:t xml:space="preserve">Ceny a platební podmínky </w:t>
      </w:r>
    </w:p>
    <w:p w14:paraId="6898DE4B" w14:textId="77777777" w:rsidR="00B51724" w:rsidRPr="00945CDC" w:rsidRDefault="00B51724" w:rsidP="00B51724">
      <w:pPr>
        <w:rPr>
          <w:b/>
          <w:szCs w:val="22"/>
        </w:rPr>
      </w:pPr>
    </w:p>
    <w:p w14:paraId="4B94CA0C" w14:textId="77777777" w:rsidR="00B51724" w:rsidRPr="00945CDC" w:rsidRDefault="00B51724" w:rsidP="00B51724">
      <w:pPr>
        <w:tabs>
          <w:tab w:val="left" w:pos="708"/>
        </w:tabs>
        <w:ind w:left="567" w:hanging="567"/>
        <w:jc w:val="both"/>
        <w:rPr>
          <w:snapToGrid w:val="0"/>
          <w:lang w:eastAsia="x-none"/>
        </w:rPr>
      </w:pPr>
      <w:r w:rsidRPr="00945CDC">
        <w:rPr>
          <w:lang w:val="x-none" w:eastAsia="x-none"/>
        </w:rPr>
        <w:t>4.1</w:t>
      </w:r>
      <w:r w:rsidRPr="00945CDC">
        <w:rPr>
          <w:lang w:val="x-none" w:eastAsia="x-none"/>
        </w:rPr>
        <w:tab/>
        <w:t xml:space="preserve">Smluvní strany se dohodly na sjednání kupní ceny za zboží ve výši uvedené v Příloze č. </w:t>
      </w:r>
      <w:r w:rsidRPr="00945CDC">
        <w:rPr>
          <w:lang w:eastAsia="x-none"/>
        </w:rPr>
        <w:t>1</w:t>
      </w:r>
      <w:r w:rsidRPr="00945CDC">
        <w:rPr>
          <w:lang w:val="x-none" w:eastAsia="x-none"/>
        </w:rPr>
        <w:t xml:space="preserve">. Takto sjednaná jednotková cena je cenou </w:t>
      </w:r>
      <w:r w:rsidRPr="00945CDC">
        <w:rPr>
          <w:snapToGrid w:val="0"/>
          <w:lang w:val="x-none" w:eastAsia="x-none"/>
        </w:rPr>
        <w:t>bez daně z přidané hodnoty (</w:t>
      </w:r>
      <w:r w:rsidRPr="00945CDC">
        <w:rPr>
          <w:lang w:val="x-none" w:eastAsia="x-none"/>
        </w:rPr>
        <w:t>DPH) a</w:t>
      </w:r>
      <w:r w:rsidRPr="00945CDC">
        <w:rPr>
          <w:snapToGrid w:val="0"/>
          <w:lang w:val="x-none" w:eastAsia="x-none"/>
        </w:rPr>
        <w:t xml:space="preserve"> již zahrnuje </w:t>
      </w:r>
      <w:r>
        <w:rPr>
          <w:snapToGrid w:val="0"/>
          <w:lang w:eastAsia="x-none"/>
        </w:rPr>
        <w:t xml:space="preserve">veškeré další poplatky a </w:t>
      </w:r>
      <w:r w:rsidRPr="00945CDC">
        <w:rPr>
          <w:snapToGrid w:val="0"/>
          <w:lang w:val="x-none" w:eastAsia="x-none"/>
        </w:rPr>
        <w:t>náklady</w:t>
      </w:r>
      <w:r>
        <w:rPr>
          <w:snapToGrid w:val="0"/>
          <w:lang w:eastAsia="x-none"/>
        </w:rPr>
        <w:t xml:space="preserve">, jako je pronájem tlakové lahve, mýtné, ADR poplatek, eko poplatek, dopravu a </w:t>
      </w:r>
      <w:r w:rsidRPr="00945CDC">
        <w:rPr>
          <w:snapToGrid w:val="0"/>
          <w:lang w:val="x-none" w:eastAsia="x-none"/>
        </w:rPr>
        <w:t xml:space="preserve">pojištění zboží během přepravy. </w:t>
      </w:r>
    </w:p>
    <w:p w14:paraId="2618104B" w14:textId="77777777" w:rsidR="00B51724" w:rsidRPr="00EC0688" w:rsidRDefault="00B51724" w:rsidP="00B51724">
      <w:pPr>
        <w:tabs>
          <w:tab w:val="left" w:pos="708"/>
        </w:tabs>
        <w:ind w:left="567" w:hanging="567"/>
        <w:jc w:val="both"/>
        <w:rPr>
          <w:snapToGrid w:val="0"/>
          <w:lang w:val="x-none" w:eastAsia="x-none"/>
        </w:rPr>
      </w:pPr>
      <w:r w:rsidRPr="00945CDC">
        <w:rPr>
          <w:snapToGrid w:val="0"/>
          <w:lang w:val="x-none" w:eastAsia="x-none"/>
        </w:rPr>
        <w:t>4.2</w:t>
      </w:r>
      <w:r w:rsidRPr="00945CDC">
        <w:rPr>
          <w:snapToGrid w:val="0"/>
          <w:lang w:val="x-none" w:eastAsia="x-none"/>
        </w:rPr>
        <w:tab/>
      </w:r>
      <w:r w:rsidRPr="00662FEE">
        <w:rPr>
          <w:szCs w:val="22"/>
        </w:rPr>
        <w:t>Změna ceny je přípustná pouze o inflační vlivy (tj. průměrná roční míra inflace zveřejněná Českým statistickým úřadem za předchozí kalendářní rok), a to pouze v procentuální výši nepřesahující tyto změny a formou dodatku ke Smlouvě</w:t>
      </w:r>
      <w:r w:rsidRPr="00662FEE">
        <w:rPr>
          <w:bCs/>
          <w:szCs w:val="22"/>
        </w:rPr>
        <w:t>.</w:t>
      </w:r>
    </w:p>
    <w:p w14:paraId="0435D03C" w14:textId="18E2C1CE" w:rsidR="00B51724" w:rsidRPr="00945CDC" w:rsidRDefault="00B51724" w:rsidP="00B51724">
      <w:pPr>
        <w:tabs>
          <w:tab w:val="left" w:pos="708"/>
        </w:tabs>
        <w:ind w:left="567" w:hanging="567"/>
        <w:jc w:val="both"/>
        <w:rPr>
          <w:snapToGrid w:val="0"/>
          <w:lang w:eastAsia="x-none"/>
        </w:rPr>
      </w:pPr>
      <w:r w:rsidRPr="00945CDC">
        <w:rPr>
          <w:snapToGrid w:val="0"/>
          <w:lang w:val="x-none" w:eastAsia="x-none"/>
        </w:rPr>
        <w:t>4.3</w:t>
      </w:r>
      <w:r w:rsidRPr="00945CDC">
        <w:rPr>
          <w:snapToGrid w:val="0"/>
          <w:lang w:val="x-none" w:eastAsia="x-none"/>
        </w:rPr>
        <w:tab/>
        <w:t xml:space="preserve">Cena dle odst. 4.1 a 4.2 </w:t>
      </w:r>
      <w:r w:rsidRPr="00945CDC">
        <w:rPr>
          <w:lang w:val="x-none" w:eastAsia="x-none"/>
        </w:rPr>
        <w:t xml:space="preserve">bude kupujícímu vyúčtována </w:t>
      </w:r>
      <w:r>
        <w:rPr>
          <w:lang w:eastAsia="x-none"/>
        </w:rPr>
        <w:t xml:space="preserve">průběžně v daném měsíci po jednotlivých odběrech, </w:t>
      </w:r>
      <w:r w:rsidRPr="00945CDC">
        <w:rPr>
          <w:lang w:val="x-none" w:eastAsia="x-none"/>
        </w:rPr>
        <w:t xml:space="preserve">a to daňovým dokladem (fakturou) prodávajícího se všemi náležitostmi daňového </w:t>
      </w:r>
      <w:r w:rsidRPr="00E701F6">
        <w:rPr>
          <w:lang w:val="x-none" w:eastAsia="x-none"/>
        </w:rPr>
        <w:t xml:space="preserve">dokladu a se  splatností </w:t>
      </w:r>
      <w:proofErr w:type="spellStart"/>
      <w:r w:rsidR="0038467E">
        <w:rPr>
          <w:lang w:val="x-none" w:eastAsia="x-none"/>
        </w:rPr>
        <w:t>dvacetjedna</w:t>
      </w:r>
      <w:proofErr w:type="spellEnd"/>
      <w:r w:rsidRPr="00E701F6">
        <w:rPr>
          <w:lang w:val="x-none" w:eastAsia="x-none"/>
        </w:rPr>
        <w:t xml:space="preserve"> (</w:t>
      </w:r>
      <w:r w:rsidR="0038467E">
        <w:rPr>
          <w:lang w:val="x-none" w:eastAsia="x-none"/>
        </w:rPr>
        <w:t>21</w:t>
      </w:r>
      <w:r w:rsidRPr="00E701F6">
        <w:rPr>
          <w:lang w:val="x-none" w:eastAsia="x-none"/>
        </w:rPr>
        <w:t xml:space="preserve">) dnů ode dne vystavení faktury. </w:t>
      </w:r>
      <w:r w:rsidRPr="00E701F6">
        <w:rPr>
          <w:snapToGrid w:val="0"/>
          <w:lang w:val="x-none" w:eastAsia="x-none"/>
        </w:rPr>
        <w:t>Za den zaplacení se</w:t>
      </w:r>
      <w:r w:rsidRPr="00E701F6">
        <w:rPr>
          <w:snapToGrid w:val="0"/>
          <w:lang w:eastAsia="x-none"/>
        </w:rPr>
        <w:t> </w:t>
      </w:r>
      <w:r w:rsidRPr="00E701F6">
        <w:rPr>
          <w:snapToGrid w:val="0"/>
          <w:lang w:val="x-none" w:eastAsia="x-none"/>
        </w:rPr>
        <w:t>považuje</w:t>
      </w:r>
      <w:r w:rsidRPr="00945CDC">
        <w:rPr>
          <w:snapToGrid w:val="0"/>
          <w:lang w:val="x-none" w:eastAsia="x-none"/>
        </w:rPr>
        <w:t xml:space="preserve"> den připsání sjednaných částek na bankovní účet prodávajícího.</w:t>
      </w:r>
    </w:p>
    <w:p w14:paraId="1F82501C" w14:textId="77777777" w:rsidR="00B51724" w:rsidRPr="00945CDC" w:rsidRDefault="00B51724" w:rsidP="00B51724">
      <w:pPr>
        <w:tabs>
          <w:tab w:val="left" w:pos="708"/>
        </w:tabs>
        <w:ind w:left="567" w:hanging="567"/>
        <w:jc w:val="both"/>
        <w:rPr>
          <w:snapToGrid w:val="0"/>
          <w:lang w:val="x-none" w:eastAsia="x-none"/>
        </w:rPr>
      </w:pPr>
      <w:r w:rsidRPr="00945CDC">
        <w:rPr>
          <w:snapToGrid w:val="0"/>
          <w:lang w:val="x-none" w:eastAsia="x-none"/>
        </w:rPr>
        <w:t>4.4</w:t>
      </w:r>
      <w:r w:rsidRPr="00945CDC">
        <w:rPr>
          <w:snapToGrid w:val="0"/>
          <w:lang w:val="x-none" w:eastAsia="x-none"/>
        </w:rPr>
        <w:tab/>
        <w:t xml:space="preserve">V případě prodlení kupujícího se zaplacením kupní ceny a/nebo služeb a ostatních výkonů a/nebo nájmu za pronájem lahví, je kupující povinen zaplatit vedle </w:t>
      </w:r>
      <w:r>
        <w:rPr>
          <w:snapToGrid w:val="0"/>
          <w:lang w:val="x-none" w:eastAsia="x-none"/>
        </w:rPr>
        <w:t>jistiny i její příslušenství ve</w:t>
      </w:r>
      <w:r>
        <w:rPr>
          <w:snapToGrid w:val="0"/>
          <w:lang w:eastAsia="x-none"/>
        </w:rPr>
        <w:t> </w:t>
      </w:r>
      <w:r w:rsidRPr="00945CDC">
        <w:rPr>
          <w:snapToGrid w:val="0"/>
          <w:lang w:val="x-none" w:eastAsia="x-none"/>
        </w:rPr>
        <w:t>formě úroku z prodlení ve výši 0,05 % z dlužné částky za každý započatý den prodlení.</w:t>
      </w:r>
    </w:p>
    <w:p w14:paraId="6548127E" w14:textId="77777777" w:rsidR="00B51724" w:rsidRPr="00945CDC" w:rsidRDefault="00B51724" w:rsidP="00B51724">
      <w:pPr>
        <w:jc w:val="both"/>
        <w:rPr>
          <w:snapToGrid w:val="0"/>
          <w:szCs w:val="22"/>
        </w:rPr>
      </w:pPr>
    </w:p>
    <w:p w14:paraId="18FA6130" w14:textId="77777777" w:rsidR="00B51724" w:rsidRPr="00945CDC" w:rsidRDefault="00B51724" w:rsidP="00B51724">
      <w:pPr>
        <w:jc w:val="center"/>
        <w:rPr>
          <w:b/>
          <w:snapToGrid w:val="0"/>
          <w:szCs w:val="22"/>
        </w:rPr>
      </w:pPr>
      <w:r w:rsidRPr="00945CDC">
        <w:rPr>
          <w:b/>
          <w:snapToGrid w:val="0"/>
          <w:szCs w:val="22"/>
        </w:rPr>
        <w:t>Článek 5</w:t>
      </w:r>
    </w:p>
    <w:p w14:paraId="586F3A1D" w14:textId="77777777" w:rsidR="00B51724" w:rsidRPr="00945CDC" w:rsidRDefault="00B51724" w:rsidP="00B51724">
      <w:pPr>
        <w:jc w:val="center"/>
        <w:rPr>
          <w:b/>
          <w:snapToGrid w:val="0"/>
          <w:szCs w:val="22"/>
        </w:rPr>
      </w:pPr>
      <w:r w:rsidRPr="00945CDC">
        <w:rPr>
          <w:b/>
          <w:snapToGrid w:val="0"/>
          <w:szCs w:val="22"/>
        </w:rPr>
        <w:t>Doba trvání smlouvy</w:t>
      </w:r>
    </w:p>
    <w:p w14:paraId="3E1555E8" w14:textId="77777777" w:rsidR="00B51724" w:rsidRPr="001B5DB8" w:rsidRDefault="00B51724" w:rsidP="00B51724">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
        <w:t xml:space="preserve"> </w:t>
      </w:r>
    </w:p>
    <w:p w14:paraId="538D8A49" w14:textId="63D37799" w:rsidR="00B51724" w:rsidRDefault="00B51724" w:rsidP="00B51724">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jc w:val="both"/>
      </w:pPr>
      <w:r>
        <w:rPr>
          <w:szCs w:val="22"/>
        </w:rPr>
        <w:t xml:space="preserve">5.1   </w:t>
      </w:r>
      <w:r>
        <w:rPr>
          <w:szCs w:val="22"/>
        </w:rPr>
        <w:tab/>
      </w:r>
      <w:r w:rsidRPr="00945CDC">
        <w:rPr>
          <w:szCs w:val="22"/>
        </w:rPr>
        <w:t xml:space="preserve">Tato smlouva </w:t>
      </w:r>
      <w:r w:rsidRPr="00917BD8">
        <w:rPr>
          <w:szCs w:val="22"/>
        </w:rPr>
        <w:t xml:space="preserve">nabývá </w:t>
      </w:r>
      <w:r>
        <w:rPr>
          <w:szCs w:val="22"/>
        </w:rPr>
        <w:t>platnosti dnem podpisu oběma smluvními stranami a</w:t>
      </w:r>
      <w:r w:rsidRPr="00736D76">
        <w:rPr>
          <w:rFonts w:cs="Arial"/>
        </w:rPr>
        <w:t xml:space="preserve"> účinnosti dnem</w:t>
      </w:r>
      <w:r>
        <w:rPr>
          <w:rFonts w:cs="Arial"/>
        </w:rPr>
        <w:t xml:space="preserve"> </w:t>
      </w:r>
      <w:r w:rsidRPr="00F07770">
        <w:t xml:space="preserve">uveřejnění </w:t>
      </w:r>
      <w:r w:rsidRPr="00277165">
        <w:t xml:space="preserve">této </w:t>
      </w:r>
      <w:r w:rsidR="00A6064D">
        <w:t>s</w:t>
      </w:r>
      <w:r>
        <w:t>mlouvy v </w:t>
      </w:r>
      <w:r w:rsidRPr="00277165">
        <w:t>registru smluv</w:t>
      </w:r>
      <w:r>
        <w:t xml:space="preserve">. </w:t>
      </w:r>
      <w:r w:rsidRPr="00B44FFD">
        <w:t xml:space="preserve">Smluvní strany se dohodly, že uveřejnění Smlouvy prostřednictvím registru smluv v souladu se zákonem o registru smluv zajistí </w:t>
      </w:r>
      <w:r>
        <w:t>kupující.</w:t>
      </w:r>
    </w:p>
    <w:p w14:paraId="77FEE6A9" w14:textId="3CC55F31" w:rsidR="00B51724" w:rsidRPr="00945CDC" w:rsidRDefault="00B51724" w:rsidP="00B51724">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jc w:val="both"/>
        <w:rPr>
          <w:szCs w:val="22"/>
        </w:rPr>
      </w:pPr>
      <w:r>
        <w:rPr>
          <w:szCs w:val="22"/>
        </w:rPr>
        <w:lastRenderedPageBreak/>
        <w:t>5.2</w:t>
      </w:r>
      <w:r>
        <w:rPr>
          <w:szCs w:val="22"/>
        </w:rPr>
        <w:tab/>
        <w:t xml:space="preserve">Tato </w:t>
      </w:r>
      <w:r w:rsidRPr="00945CDC">
        <w:rPr>
          <w:szCs w:val="22"/>
        </w:rPr>
        <w:t xml:space="preserve">smlouva je uzavřena na dobu určitou, </w:t>
      </w:r>
      <w:r w:rsidRPr="00917BD8">
        <w:rPr>
          <w:szCs w:val="22"/>
        </w:rPr>
        <w:t xml:space="preserve">a to </w:t>
      </w:r>
      <w:r>
        <w:rPr>
          <w:szCs w:val="22"/>
        </w:rPr>
        <w:t xml:space="preserve">na </w:t>
      </w:r>
      <w:r w:rsidR="0038467E">
        <w:rPr>
          <w:szCs w:val="22"/>
        </w:rPr>
        <w:t>období dvou let</w:t>
      </w:r>
      <w:r>
        <w:rPr>
          <w:szCs w:val="22"/>
        </w:rPr>
        <w:t xml:space="preserve"> ode dne účinnosti</w:t>
      </w:r>
      <w:r w:rsidRPr="00917BD8">
        <w:rPr>
          <w:szCs w:val="22"/>
        </w:rPr>
        <w:t xml:space="preserve"> s</w:t>
      </w:r>
      <w:r w:rsidR="0038467E">
        <w:rPr>
          <w:szCs w:val="22"/>
        </w:rPr>
        <w:t> </w:t>
      </w:r>
      <w:r w:rsidRPr="00917BD8">
        <w:rPr>
          <w:szCs w:val="22"/>
        </w:rPr>
        <w:t>maximálním</w:t>
      </w:r>
      <w:r w:rsidR="0038467E">
        <w:rPr>
          <w:szCs w:val="22"/>
        </w:rPr>
        <w:t xml:space="preserve"> </w:t>
      </w:r>
      <w:r w:rsidR="00A6064D">
        <w:rPr>
          <w:szCs w:val="22"/>
        </w:rPr>
        <w:t>finančním</w:t>
      </w:r>
      <w:r w:rsidRPr="00917BD8">
        <w:rPr>
          <w:szCs w:val="22"/>
        </w:rPr>
        <w:t xml:space="preserve"> plněním celkem do </w:t>
      </w:r>
      <w:r>
        <w:rPr>
          <w:szCs w:val="22"/>
        </w:rPr>
        <w:t>1.</w:t>
      </w:r>
      <w:r w:rsidR="0038467E">
        <w:rPr>
          <w:szCs w:val="22"/>
        </w:rPr>
        <w:t>999.000</w:t>
      </w:r>
      <w:r w:rsidRPr="00917BD8">
        <w:rPr>
          <w:szCs w:val="22"/>
        </w:rPr>
        <w:t>,- Kč bez DPH.</w:t>
      </w:r>
    </w:p>
    <w:p w14:paraId="08E3E0ED" w14:textId="3F0CDFC9" w:rsidR="00B51724" w:rsidRPr="00945CDC" w:rsidRDefault="00B51724" w:rsidP="00B51724">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jc w:val="both"/>
        <w:rPr>
          <w:szCs w:val="22"/>
        </w:rPr>
      </w:pPr>
      <w:r>
        <w:rPr>
          <w:szCs w:val="22"/>
        </w:rPr>
        <w:t xml:space="preserve">5.3   </w:t>
      </w:r>
      <w:r w:rsidR="00A6064D">
        <w:rPr>
          <w:szCs w:val="22"/>
        </w:rPr>
        <w:tab/>
      </w:r>
      <w:r>
        <w:rPr>
          <w:szCs w:val="22"/>
        </w:rPr>
        <w:t>Tuto smlouvu lze před uplynutím její platnosti ukončit písemnou dohodou nebo písemnou výpovědí kterékoli smluvní strany i bez uvedení důvodu. Výpovědní doba činí dva měsíce a počíná plynout prvním dnem měsíce následujícího po doručení výpovědi druhé smluvní straně.</w:t>
      </w:r>
    </w:p>
    <w:p w14:paraId="29389D92" w14:textId="77777777" w:rsidR="00B51724" w:rsidRPr="00945CDC" w:rsidRDefault="00B51724" w:rsidP="00B51724">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jc w:val="both"/>
        <w:rPr>
          <w:szCs w:val="22"/>
        </w:rPr>
      </w:pPr>
      <w:r w:rsidRPr="00945CDC">
        <w:rPr>
          <w:szCs w:val="22"/>
        </w:rPr>
        <w:t>5.4</w:t>
      </w:r>
      <w:r w:rsidRPr="00945CDC">
        <w:rPr>
          <w:szCs w:val="22"/>
        </w:rPr>
        <w:tab/>
        <w:t xml:space="preserve">Před uplynutím sjednané doby trvání této smlouvy je každá </w:t>
      </w:r>
      <w:r>
        <w:rPr>
          <w:szCs w:val="22"/>
        </w:rPr>
        <w:t>ze smluvních stran oprávněna od </w:t>
      </w:r>
      <w:r w:rsidRPr="00945CDC">
        <w:rPr>
          <w:szCs w:val="22"/>
        </w:rPr>
        <w:t xml:space="preserve">smlouvy odstoupit, pokud by byla smlouva druhou stranou porušena podstatným způsobem. Pro účely této smlouvy se přitom stanoví, že prodávající je </w:t>
      </w:r>
      <w:r>
        <w:rPr>
          <w:szCs w:val="22"/>
        </w:rPr>
        <w:t>oprávněn od smlouvy odstoupit v </w:t>
      </w:r>
      <w:r w:rsidRPr="00945CDC">
        <w:rPr>
          <w:szCs w:val="22"/>
        </w:rPr>
        <w:t>případě, pokud by byl kupující s prodlením úhrady jakéhokoli svého závazku dle této smlouvy, jež by přesahovalo patnáct (15) dnů od splatnosti, a ku</w:t>
      </w:r>
      <w:r>
        <w:rPr>
          <w:szCs w:val="22"/>
        </w:rPr>
        <w:t>pující je oprávněn odstoupit od </w:t>
      </w:r>
      <w:r w:rsidRPr="00945CDC">
        <w:rPr>
          <w:szCs w:val="22"/>
        </w:rPr>
        <w:t>smlouvy v případě, pokud by prodávající byl s plněním svého závazku k dodávce plynu v prodlení delším než patnáct (15) dnů. Důvod pro odstoupení od smlouvy na straně kupujícího však není dán tehdy, jestliže by přerušení dodávky plynu ze strany prodávajícího bylo důsledkem předchozího prodlení kupujícího se zaplacením ceny zboží a/nebo služeb a ostatních výkonů. Účinky odstoupení od smlouvy nastávají dne</w:t>
      </w:r>
      <w:r>
        <w:rPr>
          <w:szCs w:val="22"/>
        </w:rPr>
        <w:t>m doručení písemného oznámení o </w:t>
      </w:r>
      <w:r w:rsidRPr="00945CDC">
        <w:rPr>
          <w:szCs w:val="22"/>
        </w:rPr>
        <w:t xml:space="preserve">odstoupení od smlouvy druhé straně.  </w:t>
      </w:r>
    </w:p>
    <w:p w14:paraId="7C01A9BA" w14:textId="77777777" w:rsidR="00B51724" w:rsidRPr="00945CDC" w:rsidRDefault="00B51724" w:rsidP="00B51724">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jc w:val="both"/>
        <w:rPr>
          <w:szCs w:val="22"/>
        </w:rPr>
      </w:pPr>
      <w:r w:rsidRPr="00945CDC">
        <w:rPr>
          <w:szCs w:val="22"/>
        </w:rPr>
        <w:t>5.</w:t>
      </w:r>
      <w:r>
        <w:rPr>
          <w:szCs w:val="22"/>
        </w:rPr>
        <w:t>5</w:t>
      </w:r>
      <w:r w:rsidRPr="00945CDC">
        <w:rPr>
          <w:szCs w:val="22"/>
        </w:rPr>
        <w:tab/>
        <w:t xml:space="preserve">Tato smlouva zaniká, pokud je u jedné ze smluvních stran insolvenčním soudem zjištěn (osvědčen) úpadek a na majetek prohlášen konkurs a a/nebo pokud je soudem zamítnut insolvenční návrh pro nedostatek majetku dlužníka.  </w:t>
      </w:r>
    </w:p>
    <w:p w14:paraId="66D92D8B" w14:textId="77777777" w:rsidR="00B51724" w:rsidRPr="00945CDC" w:rsidRDefault="00B51724" w:rsidP="00B51724">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rPr>
          <w:szCs w:val="22"/>
        </w:rPr>
      </w:pPr>
      <w:r w:rsidRPr="00945CDC">
        <w:rPr>
          <w:szCs w:val="22"/>
        </w:rPr>
        <w:t xml:space="preserve">      </w:t>
      </w:r>
    </w:p>
    <w:p w14:paraId="34B519C5" w14:textId="77777777" w:rsidR="00B51724" w:rsidRDefault="00B51724" w:rsidP="00B51724">
      <w:pPr>
        <w:jc w:val="center"/>
        <w:rPr>
          <w:b/>
          <w:szCs w:val="22"/>
        </w:rPr>
      </w:pPr>
      <w:r>
        <w:rPr>
          <w:b/>
          <w:szCs w:val="22"/>
        </w:rPr>
        <w:t>Článek 6</w:t>
      </w:r>
    </w:p>
    <w:p w14:paraId="22AA601A" w14:textId="77777777" w:rsidR="00B51724" w:rsidRDefault="00B51724" w:rsidP="00B51724">
      <w:pPr>
        <w:jc w:val="center"/>
        <w:rPr>
          <w:b/>
          <w:szCs w:val="22"/>
        </w:rPr>
      </w:pPr>
      <w:r>
        <w:rPr>
          <w:b/>
          <w:szCs w:val="22"/>
        </w:rPr>
        <w:t>Elektronická komunikace</w:t>
      </w:r>
    </w:p>
    <w:p w14:paraId="7D358E7F" w14:textId="77777777" w:rsidR="00B51724" w:rsidRDefault="00B51724" w:rsidP="00B51724">
      <w:pPr>
        <w:jc w:val="both"/>
        <w:rPr>
          <w:b/>
          <w:szCs w:val="22"/>
        </w:rPr>
      </w:pPr>
    </w:p>
    <w:p w14:paraId="0AA8A22A" w14:textId="053476AD" w:rsidR="00B51724" w:rsidRDefault="00B51724" w:rsidP="00A6064D">
      <w:pPr>
        <w:ind w:left="567" w:hanging="567"/>
        <w:jc w:val="both"/>
        <w:rPr>
          <w:szCs w:val="22"/>
        </w:rPr>
      </w:pPr>
      <w:r w:rsidRPr="0015186A">
        <w:rPr>
          <w:szCs w:val="22"/>
        </w:rPr>
        <w:t>6.1</w:t>
      </w:r>
      <w:r w:rsidRPr="0015186A">
        <w:rPr>
          <w:szCs w:val="22"/>
        </w:rPr>
        <w:tab/>
        <w:t>Kupující souhlasí se zasíláním faktur za zboží a poskytované služby prodávajícím, oznámení a jiné korespondence v elektronické podobě prostřednictvím e-mailové komunikace, a to na</w:t>
      </w:r>
      <w:r>
        <w:rPr>
          <w:szCs w:val="22"/>
        </w:rPr>
        <w:t xml:space="preserve"> e-mailovou adresu: </w:t>
      </w:r>
      <w:proofErr w:type="spellStart"/>
      <w:r w:rsidR="00C95081">
        <w:rPr>
          <w:szCs w:val="22"/>
        </w:rPr>
        <w:t>xxxxxxx</w:t>
      </w:r>
      <w:proofErr w:type="spellEnd"/>
      <w:r w:rsidR="00C95081">
        <w:rPr>
          <w:szCs w:val="22"/>
        </w:rPr>
        <w:t xml:space="preserve">  </w:t>
      </w:r>
      <w:r w:rsidRPr="0015186A">
        <w:rPr>
          <w:szCs w:val="22"/>
        </w:rPr>
        <w:t>Zároveň souhlasí s použitím veškerých údajů, které byly doposud mezi smluvními stranami sděleny, ve webové aplikaci prodávajícího, sloužící k fakturaci na prodejních místech prodávajícího.</w:t>
      </w:r>
    </w:p>
    <w:p w14:paraId="0261DAD6" w14:textId="77777777" w:rsidR="00B51724" w:rsidRDefault="00B51724" w:rsidP="00B51724">
      <w:pPr>
        <w:ind w:left="567" w:hanging="567"/>
        <w:jc w:val="center"/>
        <w:rPr>
          <w:b/>
        </w:rPr>
      </w:pPr>
    </w:p>
    <w:p w14:paraId="7F14F258" w14:textId="77777777" w:rsidR="00B51724" w:rsidRDefault="00B51724" w:rsidP="00B51724">
      <w:pPr>
        <w:ind w:left="567" w:hanging="567"/>
        <w:jc w:val="center"/>
        <w:rPr>
          <w:b/>
        </w:rPr>
      </w:pPr>
    </w:p>
    <w:p w14:paraId="61A2196C" w14:textId="77777777" w:rsidR="00B51724" w:rsidRPr="00945CDC" w:rsidRDefault="00B51724" w:rsidP="00B51724">
      <w:pPr>
        <w:ind w:left="567" w:hanging="567"/>
        <w:jc w:val="center"/>
        <w:rPr>
          <w:b/>
        </w:rPr>
      </w:pPr>
      <w:r>
        <w:rPr>
          <w:b/>
        </w:rPr>
        <w:t>Článek 7</w:t>
      </w:r>
    </w:p>
    <w:p w14:paraId="22B633F4" w14:textId="77777777" w:rsidR="00B51724" w:rsidRPr="00945CDC" w:rsidRDefault="00B51724" w:rsidP="00B51724">
      <w:pPr>
        <w:jc w:val="center"/>
        <w:rPr>
          <w:b/>
          <w:szCs w:val="22"/>
        </w:rPr>
      </w:pPr>
      <w:r w:rsidRPr="00945CDC">
        <w:rPr>
          <w:b/>
          <w:szCs w:val="22"/>
        </w:rPr>
        <w:t>Závěrečná ustanovení</w:t>
      </w:r>
    </w:p>
    <w:p w14:paraId="42F3EAD0" w14:textId="77777777" w:rsidR="00B51724" w:rsidRPr="00945CDC" w:rsidRDefault="00B51724" w:rsidP="00B51724">
      <w:pPr>
        <w:tabs>
          <w:tab w:val="left" w:pos="708"/>
          <w:tab w:val="center" w:pos="4819"/>
          <w:tab w:val="right" w:pos="9071"/>
        </w:tabs>
        <w:spacing w:line="360" w:lineRule="auto"/>
        <w:jc w:val="both"/>
        <w:rPr>
          <w:szCs w:val="22"/>
        </w:rPr>
      </w:pPr>
    </w:p>
    <w:p w14:paraId="2283F8DE" w14:textId="77777777" w:rsidR="00B51724" w:rsidRPr="00945CDC" w:rsidRDefault="00B51724" w:rsidP="00B51724">
      <w:pPr>
        <w:tabs>
          <w:tab w:val="left" w:pos="708"/>
        </w:tabs>
        <w:ind w:left="567" w:hanging="567"/>
        <w:jc w:val="both"/>
        <w:rPr>
          <w:lang w:val="x-none" w:eastAsia="x-none"/>
        </w:rPr>
      </w:pPr>
      <w:r>
        <w:rPr>
          <w:lang w:eastAsia="x-none"/>
        </w:rPr>
        <w:t>7</w:t>
      </w:r>
      <w:r w:rsidRPr="00945CDC">
        <w:rPr>
          <w:lang w:val="x-none" w:eastAsia="x-none"/>
        </w:rPr>
        <w:t>.1</w:t>
      </w:r>
      <w:r w:rsidRPr="00945CDC">
        <w:rPr>
          <w:lang w:val="x-none" w:eastAsia="x-none"/>
        </w:rPr>
        <w:tab/>
        <w:t>V případě, že je nebo se stane některé z ustanovení této smlouvy neplatné, neúčinné nebo nevykonatelné, nebude tím dotčena platnost, účinnost a vykonatelnost ostatních smluvních ujednání. Smluvní strany jsou si povinny poskytnout si vzájemnou součinnost pro to, aby neplatné, neúčinné nebo nevykonatelné ustanovení bylo nahrazeno takovým ustanovením platným, účinným a vykonatelným, které v nejvyšší možné míře zachovává ekonomický účel zamýšlený neplatným, neúčinným nebo nevykonatelným u</w:t>
      </w:r>
      <w:r>
        <w:rPr>
          <w:lang w:val="x-none" w:eastAsia="x-none"/>
        </w:rPr>
        <w:t>stanovením. To samé platí i pro</w:t>
      </w:r>
      <w:r>
        <w:rPr>
          <w:lang w:eastAsia="x-none"/>
        </w:rPr>
        <w:t> </w:t>
      </w:r>
      <w:r w:rsidRPr="00945CDC">
        <w:rPr>
          <w:lang w:val="x-none" w:eastAsia="x-none"/>
        </w:rPr>
        <w:t>případ smluvní mezery.</w:t>
      </w:r>
    </w:p>
    <w:p w14:paraId="3BEF252E" w14:textId="77777777" w:rsidR="00B51724" w:rsidRPr="00945CDC" w:rsidRDefault="00B51724" w:rsidP="00B51724">
      <w:pPr>
        <w:tabs>
          <w:tab w:val="left" w:pos="708"/>
        </w:tabs>
        <w:ind w:left="567" w:hanging="567"/>
        <w:jc w:val="both"/>
        <w:rPr>
          <w:lang w:val="x-none" w:eastAsia="x-none"/>
        </w:rPr>
      </w:pPr>
      <w:r>
        <w:rPr>
          <w:lang w:eastAsia="x-none"/>
        </w:rPr>
        <w:t>7</w:t>
      </w:r>
      <w:r w:rsidRPr="00945CDC">
        <w:rPr>
          <w:lang w:val="x-none" w:eastAsia="x-none"/>
        </w:rPr>
        <w:t>.2</w:t>
      </w:r>
      <w:r w:rsidRPr="00945CDC">
        <w:rPr>
          <w:lang w:val="x-none" w:eastAsia="x-none"/>
        </w:rPr>
        <w:tab/>
        <w:t xml:space="preserve">Změny nebo doplnění této smlouvy vyžadují formu písemného dodatku, podepsaného oběma smluvními stranami. </w:t>
      </w:r>
    </w:p>
    <w:p w14:paraId="607228F4" w14:textId="77777777" w:rsidR="00B51724" w:rsidRPr="00945CDC" w:rsidRDefault="00B51724" w:rsidP="00B51724">
      <w:pPr>
        <w:tabs>
          <w:tab w:val="left" w:pos="708"/>
        </w:tabs>
        <w:ind w:left="567" w:hanging="567"/>
        <w:jc w:val="both"/>
        <w:rPr>
          <w:lang w:eastAsia="x-none"/>
        </w:rPr>
      </w:pPr>
      <w:r>
        <w:rPr>
          <w:lang w:eastAsia="x-none"/>
        </w:rPr>
        <w:t>7</w:t>
      </w:r>
      <w:r w:rsidRPr="00945CDC">
        <w:rPr>
          <w:lang w:val="x-none" w:eastAsia="x-none"/>
        </w:rPr>
        <w:t>.3</w:t>
      </w:r>
      <w:r w:rsidRPr="00945CDC">
        <w:rPr>
          <w:lang w:val="x-none" w:eastAsia="x-none"/>
        </w:rPr>
        <w:tab/>
        <w:t xml:space="preserve">Tato smlouva a právní vztahy z ní vyplývající se řídí právním řádem České republiky, a to zejména </w:t>
      </w:r>
      <w:r w:rsidRPr="00945CDC">
        <w:rPr>
          <w:lang w:eastAsia="x-none"/>
        </w:rPr>
        <w:t>občanským zákoníkem, č. 89/2012 Sb.  Smluvní stran</w:t>
      </w:r>
      <w:r>
        <w:rPr>
          <w:lang w:eastAsia="x-none"/>
        </w:rPr>
        <w:t>y se přitom výslovně dohodly na </w:t>
      </w:r>
      <w:r w:rsidRPr="00945CDC">
        <w:rPr>
          <w:lang w:eastAsia="x-none"/>
        </w:rPr>
        <w:t xml:space="preserve">vyloučení ustanovení § 1740 odst. 3, § 1751 odst. 2 a § 2085 Občanského zákoníku.  </w:t>
      </w:r>
    </w:p>
    <w:p w14:paraId="169A1147" w14:textId="77777777" w:rsidR="00B51724" w:rsidRPr="00945CDC" w:rsidRDefault="00B51724" w:rsidP="00B51724">
      <w:pPr>
        <w:tabs>
          <w:tab w:val="left" w:pos="708"/>
        </w:tabs>
        <w:ind w:left="567" w:hanging="567"/>
        <w:jc w:val="both"/>
        <w:rPr>
          <w:lang w:val="x-none" w:eastAsia="x-none"/>
        </w:rPr>
      </w:pPr>
      <w:r>
        <w:rPr>
          <w:lang w:eastAsia="x-none"/>
        </w:rPr>
        <w:t>7</w:t>
      </w:r>
      <w:r w:rsidRPr="00945CDC">
        <w:rPr>
          <w:lang w:val="x-none" w:eastAsia="x-none"/>
        </w:rPr>
        <w:t>.4</w:t>
      </w:r>
      <w:r w:rsidRPr="00945CDC">
        <w:rPr>
          <w:lang w:val="x-none" w:eastAsia="x-none"/>
        </w:rPr>
        <w:tab/>
        <w:t>Všechny spory, které by mohly vzniknout z této smlouvy nebo v souvislosti s ní, budou s vyloučením pravomoci obecných soudů rozhodovány s konečnou platností v rozhodčím řízení u Rozhodčího soudu při Hospodářské komoře ČR a Agrární komoře ČR v Praze podle jeho Řádu a Pravidel třemi rozhodci ustanovenými podle tohoto Řádu. Strany se zavazují splnit všechny povinnosti uložené jim v rozhodčím nálezu ve lhůtách v něm uvedených.</w:t>
      </w:r>
    </w:p>
    <w:p w14:paraId="2F959534" w14:textId="77777777" w:rsidR="00B51724" w:rsidRPr="00945CDC" w:rsidRDefault="00B51724" w:rsidP="00B51724">
      <w:pPr>
        <w:tabs>
          <w:tab w:val="left" w:pos="708"/>
        </w:tabs>
        <w:ind w:left="567" w:hanging="567"/>
        <w:jc w:val="both"/>
        <w:rPr>
          <w:lang w:eastAsia="x-none"/>
        </w:rPr>
      </w:pPr>
      <w:r>
        <w:rPr>
          <w:lang w:eastAsia="x-none"/>
        </w:rPr>
        <w:t>7</w:t>
      </w:r>
      <w:r w:rsidRPr="00945CDC">
        <w:rPr>
          <w:lang w:val="x-none" w:eastAsia="x-none"/>
        </w:rPr>
        <w:t>.5</w:t>
      </w:r>
      <w:r w:rsidRPr="00945CDC">
        <w:rPr>
          <w:lang w:val="x-none" w:eastAsia="x-none"/>
        </w:rPr>
        <w:tab/>
        <w:t>Žádný z účastníků není oprávněn jakoukoli formou informovat nepovolané třetí osoby o obsahu práv a povinností vyplývajících pro každého z nich z této smlouvy, nebude-li v této otázce mezi nimi výslovně ujednáno jinak. Prokazatelné porušení této povinnosti zakládá dotčenému účastníkovi právo domáhat se náhrady tímto jednáním vzniklé.</w:t>
      </w:r>
      <w:r w:rsidRPr="00945CDC">
        <w:rPr>
          <w:lang w:eastAsia="x-none"/>
        </w:rPr>
        <w:t xml:space="preserve"> Toto ustanovení se nevztahuje na interní vztahy v rámci nadnárodní skupiny (koncernu) SIAD.</w:t>
      </w:r>
    </w:p>
    <w:p w14:paraId="1889BF83" w14:textId="77777777" w:rsidR="00B51724" w:rsidRPr="00945CDC" w:rsidRDefault="00B51724" w:rsidP="00B51724">
      <w:pPr>
        <w:tabs>
          <w:tab w:val="left" w:pos="708"/>
        </w:tabs>
        <w:ind w:left="567" w:hanging="567"/>
        <w:jc w:val="both"/>
        <w:rPr>
          <w:lang w:val="x-none" w:eastAsia="x-none"/>
        </w:rPr>
      </w:pPr>
      <w:r>
        <w:rPr>
          <w:lang w:eastAsia="x-none"/>
        </w:rPr>
        <w:t>7</w:t>
      </w:r>
      <w:r w:rsidRPr="00945CDC">
        <w:rPr>
          <w:lang w:val="x-none" w:eastAsia="x-none"/>
        </w:rPr>
        <w:t>.6</w:t>
      </w:r>
      <w:r w:rsidRPr="00945CDC">
        <w:rPr>
          <w:lang w:val="x-none" w:eastAsia="x-none"/>
        </w:rPr>
        <w:tab/>
        <w:t>Práva a povinnosti z této smlouvy přecházejí i na případné právní nástupce smluvních stran.</w:t>
      </w:r>
    </w:p>
    <w:p w14:paraId="7784D356" w14:textId="77777777" w:rsidR="00B51724" w:rsidRPr="00945CDC" w:rsidRDefault="00B51724" w:rsidP="00B51724">
      <w:pPr>
        <w:tabs>
          <w:tab w:val="left" w:pos="708"/>
        </w:tabs>
        <w:ind w:left="567" w:hanging="567"/>
        <w:jc w:val="both"/>
        <w:rPr>
          <w:lang w:val="x-none" w:eastAsia="x-none"/>
        </w:rPr>
      </w:pPr>
      <w:r>
        <w:rPr>
          <w:lang w:eastAsia="x-none"/>
        </w:rPr>
        <w:lastRenderedPageBreak/>
        <w:t>7</w:t>
      </w:r>
      <w:r w:rsidRPr="00945CDC">
        <w:rPr>
          <w:lang w:val="x-none" w:eastAsia="x-none"/>
        </w:rPr>
        <w:t>.8</w:t>
      </w:r>
      <w:r w:rsidRPr="00945CDC">
        <w:rPr>
          <w:lang w:val="x-none" w:eastAsia="x-none"/>
        </w:rPr>
        <w:tab/>
        <w:t>Nedílnou součást této smlouvy tvoří následující přílohy:</w:t>
      </w:r>
    </w:p>
    <w:p w14:paraId="3DAC86C6" w14:textId="77777777" w:rsidR="00B51724" w:rsidRPr="00945CDC" w:rsidRDefault="00B51724" w:rsidP="00B51724">
      <w:pPr>
        <w:tabs>
          <w:tab w:val="left" w:pos="708"/>
        </w:tabs>
        <w:ind w:left="567" w:hanging="567"/>
        <w:jc w:val="both"/>
        <w:rPr>
          <w:lang w:eastAsia="x-none"/>
        </w:rPr>
      </w:pPr>
      <w:r w:rsidRPr="00945CDC">
        <w:rPr>
          <w:lang w:eastAsia="x-none"/>
        </w:rPr>
        <w:tab/>
      </w:r>
      <w:r w:rsidRPr="00945CDC">
        <w:rPr>
          <w:lang w:val="x-none" w:eastAsia="x-none"/>
        </w:rPr>
        <w:t xml:space="preserve">Příloha č. </w:t>
      </w:r>
      <w:r w:rsidRPr="00945CDC">
        <w:rPr>
          <w:lang w:eastAsia="x-none"/>
        </w:rPr>
        <w:t>1</w:t>
      </w:r>
      <w:r w:rsidRPr="00945CDC">
        <w:rPr>
          <w:lang w:val="x-none" w:eastAsia="x-none"/>
        </w:rPr>
        <w:t xml:space="preserve"> – Specifikace zboží, služeb a ostatních výkonů </w:t>
      </w:r>
    </w:p>
    <w:p w14:paraId="1EBB2F93" w14:textId="77777777" w:rsidR="00B51724" w:rsidRPr="00945CDC" w:rsidRDefault="00B51724" w:rsidP="00B51724">
      <w:pPr>
        <w:tabs>
          <w:tab w:val="left" w:pos="708"/>
        </w:tabs>
        <w:ind w:left="567" w:hanging="567"/>
        <w:jc w:val="both"/>
        <w:rPr>
          <w:lang w:eastAsia="x-none"/>
        </w:rPr>
      </w:pPr>
      <w:r w:rsidRPr="00945CDC">
        <w:rPr>
          <w:lang w:eastAsia="x-none"/>
        </w:rPr>
        <w:tab/>
      </w:r>
      <w:r w:rsidRPr="00945CDC">
        <w:rPr>
          <w:lang w:val="x-none" w:eastAsia="x-none"/>
        </w:rPr>
        <w:t xml:space="preserve">Příloha č. 2 – Všeobecné obchodní podmínky společnosti SIAD Czech spol. s r.o. </w:t>
      </w:r>
    </w:p>
    <w:p w14:paraId="0E1CE57C" w14:textId="77777777" w:rsidR="00B51724" w:rsidRPr="00945CDC" w:rsidRDefault="00B51724" w:rsidP="00B51724">
      <w:pPr>
        <w:spacing w:line="360" w:lineRule="auto"/>
        <w:jc w:val="both"/>
        <w:rPr>
          <w:lang w:eastAsia="x-none"/>
        </w:rPr>
      </w:pPr>
    </w:p>
    <w:p w14:paraId="059C79AD" w14:textId="77777777" w:rsidR="00B51724" w:rsidRPr="00945CDC" w:rsidRDefault="00B51724" w:rsidP="00B51724">
      <w:pPr>
        <w:jc w:val="both"/>
      </w:pPr>
      <w:r w:rsidRPr="00945CDC">
        <w:t>Smluvní strany prohlašují, že tato smlouva tak, jak byla sepsána, odpovídá jejich svobodné a pravé vůli a na důkaz toho připojují své podpisy.</w:t>
      </w:r>
    </w:p>
    <w:p w14:paraId="5EF49B17" w14:textId="77777777" w:rsidR="00B51724" w:rsidRPr="00945CDC" w:rsidRDefault="00B51724" w:rsidP="00B51724">
      <w:pPr>
        <w:spacing w:line="360" w:lineRule="auto"/>
        <w:jc w:val="both"/>
      </w:pPr>
    </w:p>
    <w:p w14:paraId="68EEB8DD" w14:textId="77777777" w:rsidR="00B51724" w:rsidRDefault="00B51724" w:rsidP="00B51724">
      <w:pPr>
        <w:snapToGrid w:val="0"/>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51724" w14:paraId="285763E0" w14:textId="77777777" w:rsidTr="00840A05">
        <w:tc>
          <w:tcPr>
            <w:tcW w:w="4531" w:type="dxa"/>
          </w:tcPr>
          <w:p w14:paraId="2936EBA0" w14:textId="77777777" w:rsidR="00B51724" w:rsidRDefault="00B51724" w:rsidP="00840A05">
            <w:pPr>
              <w:snapToGrid w:val="0"/>
              <w:rPr>
                <w:szCs w:val="22"/>
              </w:rPr>
            </w:pPr>
            <w:r w:rsidRPr="00945CDC">
              <w:rPr>
                <w:szCs w:val="22"/>
              </w:rPr>
              <w:t>V</w:t>
            </w:r>
            <w:r>
              <w:rPr>
                <w:szCs w:val="22"/>
              </w:rPr>
              <w:t xml:space="preserve"> Praze dne </w:t>
            </w:r>
            <w:r w:rsidRPr="002C74F6">
              <w:rPr>
                <w:i/>
                <w:iCs/>
                <w:sz w:val="16"/>
                <w:szCs w:val="16"/>
              </w:rPr>
              <w:t>dle elektronického podpisu</w:t>
            </w:r>
          </w:p>
        </w:tc>
        <w:tc>
          <w:tcPr>
            <w:tcW w:w="4531" w:type="dxa"/>
          </w:tcPr>
          <w:p w14:paraId="3AFA1DD6" w14:textId="66622AAF" w:rsidR="00B51724" w:rsidRDefault="00B51724" w:rsidP="001758D6">
            <w:pPr>
              <w:snapToGrid w:val="0"/>
              <w:ind w:left="466" w:firstLine="142"/>
              <w:rPr>
                <w:szCs w:val="22"/>
              </w:rPr>
            </w:pPr>
            <w:r w:rsidRPr="00945CDC">
              <w:rPr>
                <w:szCs w:val="22"/>
              </w:rPr>
              <w:t xml:space="preserve">V </w:t>
            </w:r>
            <w:r>
              <w:rPr>
                <w:szCs w:val="22"/>
              </w:rPr>
              <w:t>Praze</w:t>
            </w:r>
            <w:r w:rsidRPr="00945CDC">
              <w:rPr>
                <w:szCs w:val="22"/>
              </w:rPr>
              <w:t xml:space="preserve"> </w:t>
            </w:r>
            <w:r w:rsidRPr="001758D6">
              <w:rPr>
                <w:szCs w:val="22"/>
              </w:rPr>
              <w:t>dne</w:t>
            </w:r>
            <w:r w:rsidR="00A6064D" w:rsidRPr="001758D6">
              <w:rPr>
                <w:i/>
                <w:iCs/>
                <w:sz w:val="16"/>
                <w:szCs w:val="16"/>
              </w:rPr>
              <w:t xml:space="preserve"> dle elektronického podpisu</w:t>
            </w:r>
          </w:p>
        </w:tc>
      </w:tr>
      <w:tr w:rsidR="00B51724" w14:paraId="7BC9D3DC" w14:textId="77777777" w:rsidTr="00840A05">
        <w:tc>
          <w:tcPr>
            <w:tcW w:w="4531" w:type="dxa"/>
          </w:tcPr>
          <w:p w14:paraId="3B9F46A4" w14:textId="77777777" w:rsidR="00B51724" w:rsidRDefault="00B51724" w:rsidP="00840A05">
            <w:pPr>
              <w:snapToGrid w:val="0"/>
              <w:jc w:val="center"/>
              <w:rPr>
                <w:szCs w:val="22"/>
              </w:rPr>
            </w:pPr>
          </w:p>
          <w:p w14:paraId="6865D93E" w14:textId="77777777" w:rsidR="00B51724" w:rsidRDefault="00B51724" w:rsidP="00840A05">
            <w:pPr>
              <w:snapToGrid w:val="0"/>
              <w:jc w:val="center"/>
              <w:rPr>
                <w:szCs w:val="22"/>
              </w:rPr>
            </w:pPr>
          </w:p>
          <w:p w14:paraId="264C0D4C" w14:textId="77777777" w:rsidR="00B51724" w:rsidRDefault="00B51724" w:rsidP="00840A05">
            <w:pPr>
              <w:snapToGrid w:val="0"/>
              <w:jc w:val="center"/>
              <w:rPr>
                <w:szCs w:val="22"/>
              </w:rPr>
            </w:pPr>
          </w:p>
          <w:p w14:paraId="4EA6D40E" w14:textId="77777777" w:rsidR="00B51724" w:rsidRDefault="00B51724" w:rsidP="00840A05">
            <w:pPr>
              <w:snapToGrid w:val="0"/>
              <w:jc w:val="center"/>
              <w:rPr>
                <w:szCs w:val="22"/>
              </w:rPr>
            </w:pPr>
          </w:p>
          <w:p w14:paraId="712206CF" w14:textId="77777777" w:rsidR="00B51724" w:rsidRDefault="00B51724" w:rsidP="00840A05">
            <w:pPr>
              <w:snapToGrid w:val="0"/>
              <w:jc w:val="center"/>
              <w:rPr>
                <w:szCs w:val="22"/>
              </w:rPr>
            </w:pPr>
          </w:p>
          <w:p w14:paraId="416C185A" w14:textId="77777777" w:rsidR="00B51724" w:rsidRDefault="00B51724" w:rsidP="00840A05">
            <w:pPr>
              <w:snapToGrid w:val="0"/>
              <w:jc w:val="center"/>
              <w:rPr>
                <w:szCs w:val="22"/>
              </w:rPr>
            </w:pPr>
            <w:r w:rsidRPr="00945CDC">
              <w:rPr>
                <w:szCs w:val="22"/>
              </w:rPr>
              <w:t>______________________________</w:t>
            </w:r>
          </w:p>
        </w:tc>
        <w:tc>
          <w:tcPr>
            <w:tcW w:w="4531" w:type="dxa"/>
          </w:tcPr>
          <w:p w14:paraId="6AEF16ED" w14:textId="77777777" w:rsidR="00B51724" w:rsidRDefault="00B51724" w:rsidP="00840A05">
            <w:pPr>
              <w:snapToGrid w:val="0"/>
              <w:jc w:val="center"/>
              <w:rPr>
                <w:szCs w:val="22"/>
              </w:rPr>
            </w:pPr>
          </w:p>
          <w:p w14:paraId="714F60F4" w14:textId="77777777" w:rsidR="00B51724" w:rsidRDefault="00B51724" w:rsidP="00840A05">
            <w:pPr>
              <w:snapToGrid w:val="0"/>
              <w:jc w:val="center"/>
              <w:rPr>
                <w:szCs w:val="22"/>
              </w:rPr>
            </w:pPr>
          </w:p>
          <w:p w14:paraId="0D476F59" w14:textId="77777777" w:rsidR="00B51724" w:rsidRDefault="00B51724" w:rsidP="00840A05">
            <w:pPr>
              <w:snapToGrid w:val="0"/>
              <w:jc w:val="center"/>
              <w:rPr>
                <w:szCs w:val="22"/>
              </w:rPr>
            </w:pPr>
          </w:p>
          <w:p w14:paraId="088762CE" w14:textId="77777777" w:rsidR="00B51724" w:rsidRDefault="00B51724" w:rsidP="00840A05">
            <w:pPr>
              <w:snapToGrid w:val="0"/>
              <w:jc w:val="center"/>
              <w:rPr>
                <w:szCs w:val="22"/>
              </w:rPr>
            </w:pPr>
          </w:p>
          <w:p w14:paraId="4CE63886" w14:textId="77777777" w:rsidR="00B51724" w:rsidRDefault="00B51724" w:rsidP="00840A05">
            <w:pPr>
              <w:snapToGrid w:val="0"/>
              <w:jc w:val="center"/>
              <w:rPr>
                <w:szCs w:val="22"/>
              </w:rPr>
            </w:pPr>
          </w:p>
          <w:p w14:paraId="371355A8" w14:textId="77777777" w:rsidR="00B51724" w:rsidRDefault="00B51724" w:rsidP="00840A05">
            <w:pPr>
              <w:snapToGrid w:val="0"/>
              <w:jc w:val="center"/>
              <w:rPr>
                <w:szCs w:val="22"/>
              </w:rPr>
            </w:pPr>
            <w:r w:rsidRPr="00945CDC">
              <w:rPr>
                <w:szCs w:val="22"/>
              </w:rPr>
              <w:t>______________________________</w:t>
            </w:r>
          </w:p>
        </w:tc>
      </w:tr>
      <w:tr w:rsidR="00B51724" w14:paraId="1E7D34B1" w14:textId="77777777" w:rsidTr="00840A05">
        <w:tc>
          <w:tcPr>
            <w:tcW w:w="4531" w:type="dxa"/>
          </w:tcPr>
          <w:p w14:paraId="08D1AA38" w14:textId="77777777" w:rsidR="00B51724" w:rsidRDefault="00B51724" w:rsidP="00840A05">
            <w:pPr>
              <w:snapToGrid w:val="0"/>
              <w:jc w:val="center"/>
              <w:rPr>
                <w:szCs w:val="22"/>
              </w:rPr>
            </w:pPr>
            <w:r w:rsidRPr="00945CDC">
              <w:rPr>
                <w:b/>
                <w:szCs w:val="22"/>
              </w:rPr>
              <w:t>SIAD Czech spol. s r.o.</w:t>
            </w:r>
          </w:p>
        </w:tc>
        <w:tc>
          <w:tcPr>
            <w:tcW w:w="4531" w:type="dxa"/>
          </w:tcPr>
          <w:p w14:paraId="6E7BCD3B" w14:textId="77777777" w:rsidR="00B51724" w:rsidRDefault="00B51724" w:rsidP="00840A05">
            <w:pPr>
              <w:jc w:val="center"/>
              <w:rPr>
                <w:szCs w:val="22"/>
              </w:rPr>
            </w:pPr>
            <w:r>
              <w:rPr>
                <w:b/>
                <w:szCs w:val="22"/>
              </w:rPr>
              <w:t>Státní veterinární ústav Praha</w:t>
            </w:r>
          </w:p>
        </w:tc>
      </w:tr>
    </w:tbl>
    <w:p w14:paraId="445B1F46" w14:textId="77777777" w:rsidR="00B51724" w:rsidRDefault="00B51724" w:rsidP="00B51724">
      <w:pPr>
        <w:snapToGrid w:val="0"/>
        <w:rPr>
          <w:szCs w:val="22"/>
        </w:rPr>
      </w:pPr>
    </w:p>
    <w:p w14:paraId="76CBAA60" w14:textId="77777777" w:rsidR="00B51724" w:rsidRDefault="00B51724" w:rsidP="00B51724">
      <w:pPr>
        <w:snapToGrid w:val="0"/>
        <w:rPr>
          <w:szCs w:val="22"/>
        </w:rPr>
      </w:pPr>
    </w:p>
    <w:p w14:paraId="7E541EEE" w14:textId="77777777" w:rsidR="00B51724" w:rsidRDefault="00B51724" w:rsidP="00B51724">
      <w:pPr>
        <w:snapToGrid w:val="0"/>
        <w:rPr>
          <w:szCs w:val="22"/>
        </w:rPr>
      </w:pPr>
    </w:p>
    <w:p w14:paraId="7C338C9D" w14:textId="77777777" w:rsidR="00B51724" w:rsidRDefault="00B51724" w:rsidP="00B51724">
      <w:pPr>
        <w:snapToGrid w:val="0"/>
        <w:rPr>
          <w:szCs w:val="22"/>
        </w:rPr>
      </w:pPr>
    </w:p>
    <w:p w14:paraId="60A6627D" w14:textId="77777777" w:rsidR="00B51724" w:rsidRDefault="00B51724" w:rsidP="00B51724">
      <w:pPr>
        <w:snapToGrid w:val="0"/>
        <w:rPr>
          <w:szCs w:val="22"/>
        </w:rPr>
        <w:sectPr w:rsidR="00B51724" w:rsidSect="00B51724">
          <w:footerReference w:type="default" r:id="rId6"/>
          <w:footerReference w:type="first" r:id="rId7"/>
          <w:pgSz w:w="11906" w:h="16838"/>
          <w:pgMar w:top="1418" w:right="1134" w:bottom="1418" w:left="851" w:header="708" w:footer="708" w:gutter="0"/>
          <w:pgNumType w:start="1"/>
          <w:cols w:space="708"/>
          <w:docGrid w:linePitch="299"/>
        </w:sectPr>
      </w:pPr>
    </w:p>
    <w:p w14:paraId="6A1D2E33" w14:textId="77777777" w:rsidR="00B51724" w:rsidRPr="004318DD" w:rsidRDefault="00B51724" w:rsidP="00B51724">
      <w:pPr>
        <w:snapToGrid w:val="0"/>
        <w:rPr>
          <w:szCs w:val="22"/>
        </w:rPr>
      </w:pPr>
      <w:r w:rsidRPr="004318DD">
        <w:rPr>
          <w:szCs w:val="22"/>
        </w:rPr>
        <w:lastRenderedPageBreak/>
        <w:t xml:space="preserve">Příloha č. 1 </w:t>
      </w:r>
      <w:r w:rsidRPr="004318DD">
        <w:rPr>
          <w:szCs w:val="22"/>
          <w:lang w:val="x-none" w:eastAsia="x-none"/>
        </w:rPr>
        <w:t>– Specifikace zboží, služeb a ostatních výkonů</w:t>
      </w:r>
    </w:p>
    <w:p w14:paraId="7C823DBB" w14:textId="77777777" w:rsidR="00B51724" w:rsidRPr="006A3927" w:rsidRDefault="00B51724" w:rsidP="00B51724">
      <w:pPr>
        <w:snapToGrid w:val="0"/>
        <w:rPr>
          <w:sz w:val="16"/>
          <w:szCs w:val="16"/>
        </w:rPr>
      </w:pPr>
    </w:p>
    <w:p w14:paraId="2B871BA8" w14:textId="77777777" w:rsidR="00B51724" w:rsidRPr="00E70FAD" w:rsidRDefault="00B51724" w:rsidP="00B51724">
      <w:pPr>
        <w:snapToGrid w:val="0"/>
        <w:rPr>
          <w:sz w:val="16"/>
          <w:szCs w:val="16"/>
        </w:rPr>
      </w:pPr>
    </w:p>
    <w:tbl>
      <w:tblPr>
        <w:tblW w:w="8637" w:type="dxa"/>
        <w:tblCellMar>
          <w:left w:w="70" w:type="dxa"/>
          <w:right w:w="70" w:type="dxa"/>
        </w:tblCellMar>
        <w:tblLook w:val="04A0" w:firstRow="1" w:lastRow="0" w:firstColumn="1" w:lastColumn="0" w:noHBand="0" w:noVBand="1"/>
      </w:tblPr>
      <w:tblGrid>
        <w:gridCol w:w="5802"/>
        <w:gridCol w:w="2835"/>
      </w:tblGrid>
      <w:tr w:rsidR="00B51724" w:rsidRPr="00E70FAD" w14:paraId="5F42749A" w14:textId="77777777" w:rsidTr="00840A05">
        <w:trPr>
          <w:trHeight w:val="777"/>
        </w:trPr>
        <w:tc>
          <w:tcPr>
            <w:tcW w:w="5802"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793CC515" w14:textId="77777777" w:rsidR="00B51724" w:rsidRPr="00622E63" w:rsidRDefault="00B51724" w:rsidP="00840A05">
            <w:pPr>
              <w:rPr>
                <w:color w:val="000000"/>
                <w:szCs w:val="22"/>
              </w:rPr>
            </w:pPr>
            <w:r w:rsidRPr="00622E63">
              <w:rPr>
                <w:color w:val="000000"/>
                <w:szCs w:val="22"/>
              </w:rPr>
              <w:t>Druh technického plynu</w:t>
            </w:r>
            <w:r w:rsidRPr="00E70FAD">
              <w:rPr>
                <w:color w:val="000000"/>
                <w:szCs w:val="22"/>
              </w:rPr>
              <w:t xml:space="preserve"> v</w:t>
            </w:r>
            <w:r w:rsidRPr="00622E63">
              <w:rPr>
                <w:color w:val="000000"/>
                <w:szCs w:val="22"/>
              </w:rPr>
              <w:t xml:space="preserve"> tlakové nádobě (v litrech či kg)</w:t>
            </w:r>
          </w:p>
        </w:tc>
        <w:tc>
          <w:tcPr>
            <w:tcW w:w="2835" w:type="dxa"/>
            <w:tcBorders>
              <w:top w:val="single" w:sz="8" w:space="0" w:color="auto"/>
              <w:left w:val="single" w:sz="8" w:space="0" w:color="auto"/>
              <w:bottom w:val="nil"/>
              <w:right w:val="single" w:sz="8" w:space="0" w:color="auto"/>
            </w:tcBorders>
            <w:shd w:val="clear" w:color="000000" w:fill="D9D9D9"/>
            <w:vAlign w:val="center"/>
            <w:hideMark/>
          </w:tcPr>
          <w:p w14:paraId="2B61BAA7" w14:textId="77777777" w:rsidR="00B51724" w:rsidRPr="00622E63" w:rsidRDefault="00B51724" w:rsidP="00840A05">
            <w:pPr>
              <w:jc w:val="center"/>
              <w:rPr>
                <w:color w:val="000000"/>
                <w:szCs w:val="22"/>
              </w:rPr>
            </w:pPr>
            <w:r w:rsidRPr="00E70FAD">
              <w:rPr>
                <w:color w:val="000000"/>
                <w:szCs w:val="22"/>
              </w:rPr>
              <w:t>Jednotková cena bez DPH</w:t>
            </w:r>
          </w:p>
        </w:tc>
      </w:tr>
      <w:tr w:rsidR="00707EFB" w:rsidRPr="00A94399" w14:paraId="716DCDD0" w14:textId="77777777" w:rsidTr="00A94399">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center"/>
            <w:hideMark/>
          </w:tcPr>
          <w:p w14:paraId="13803348" w14:textId="767E7E46" w:rsidR="00707EFB" w:rsidRPr="00A94399" w:rsidRDefault="00707EFB" w:rsidP="00707EFB">
            <w:pPr>
              <w:rPr>
                <w:color w:val="000000"/>
                <w:szCs w:val="22"/>
              </w:rPr>
            </w:pPr>
            <w:proofErr w:type="spellStart"/>
            <w:r w:rsidRPr="00A94399">
              <w:rPr>
                <w:color w:val="000000"/>
                <w:szCs w:val="22"/>
              </w:rPr>
              <w:t>EuroCyl</w:t>
            </w:r>
            <w:proofErr w:type="spellEnd"/>
            <w:r w:rsidRPr="00A94399">
              <w:rPr>
                <w:color w:val="000000"/>
                <w:szCs w:val="22"/>
              </w:rPr>
              <w:t xml:space="preserve"> 230L/24 argon</w:t>
            </w:r>
          </w:p>
        </w:tc>
        <w:tc>
          <w:tcPr>
            <w:tcW w:w="2835" w:type="dxa"/>
            <w:tcBorders>
              <w:top w:val="single" w:sz="8" w:space="0" w:color="auto"/>
              <w:left w:val="single" w:sz="8" w:space="0" w:color="auto"/>
              <w:bottom w:val="single" w:sz="4" w:space="0" w:color="auto"/>
              <w:right w:val="single" w:sz="8" w:space="0" w:color="auto"/>
            </w:tcBorders>
            <w:shd w:val="clear" w:color="auto" w:fill="auto"/>
            <w:noWrap/>
            <w:vAlign w:val="bottom"/>
          </w:tcPr>
          <w:p w14:paraId="383C03E2" w14:textId="79F64F4F" w:rsidR="00707EFB" w:rsidRPr="00A94399" w:rsidRDefault="00707EFB" w:rsidP="00707EFB">
            <w:pPr>
              <w:jc w:val="right"/>
              <w:rPr>
                <w:color w:val="000000"/>
                <w:szCs w:val="22"/>
              </w:rPr>
            </w:pPr>
            <w:r>
              <w:rPr>
                <w:rFonts w:ascii="Calibri" w:hAnsi="Calibri" w:cs="Calibri"/>
                <w:color w:val="000000"/>
                <w:szCs w:val="22"/>
              </w:rPr>
              <w:t xml:space="preserve">                     </w:t>
            </w:r>
            <w:proofErr w:type="spellStart"/>
            <w:r w:rsidR="00C95081">
              <w:rPr>
                <w:rFonts w:ascii="Calibri" w:hAnsi="Calibri" w:cs="Calibri"/>
                <w:color w:val="000000"/>
                <w:szCs w:val="22"/>
              </w:rPr>
              <w:t>xxx</w:t>
            </w:r>
            <w:proofErr w:type="spellEnd"/>
            <w:r>
              <w:rPr>
                <w:rFonts w:ascii="Calibri" w:hAnsi="Calibri" w:cs="Calibri"/>
                <w:color w:val="000000"/>
                <w:szCs w:val="22"/>
              </w:rPr>
              <w:t xml:space="preserve"> Kč </w:t>
            </w:r>
          </w:p>
        </w:tc>
      </w:tr>
      <w:tr w:rsidR="00707EFB" w:rsidRPr="00A94399" w14:paraId="022BBB24" w14:textId="77777777" w:rsidTr="00A94399">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center"/>
            <w:hideMark/>
          </w:tcPr>
          <w:p w14:paraId="1C7DA72A" w14:textId="5C3F3EDB" w:rsidR="00707EFB" w:rsidRPr="00A94399" w:rsidRDefault="00707EFB" w:rsidP="00707EFB">
            <w:pPr>
              <w:rPr>
                <w:color w:val="000000"/>
                <w:szCs w:val="22"/>
              </w:rPr>
            </w:pPr>
            <w:r w:rsidRPr="00A94399">
              <w:rPr>
                <w:color w:val="000000"/>
                <w:szCs w:val="22"/>
              </w:rPr>
              <w:t>CO2 2.5 tech. (27/20kg)</w:t>
            </w:r>
          </w:p>
        </w:tc>
        <w:tc>
          <w:tcPr>
            <w:tcW w:w="2835" w:type="dxa"/>
            <w:tcBorders>
              <w:top w:val="nil"/>
              <w:left w:val="single" w:sz="8" w:space="0" w:color="auto"/>
              <w:bottom w:val="single" w:sz="4" w:space="0" w:color="auto"/>
              <w:right w:val="single" w:sz="8" w:space="0" w:color="auto"/>
            </w:tcBorders>
            <w:shd w:val="clear" w:color="auto" w:fill="auto"/>
            <w:noWrap/>
            <w:vAlign w:val="bottom"/>
          </w:tcPr>
          <w:p w14:paraId="1B82C0D0" w14:textId="296B4DB2" w:rsidR="00707EFB" w:rsidRPr="00A94399" w:rsidRDefault="00707EFB" w:rsidP="00707EFB">
            <w:pPr>
              <w:jc w:val="right"/>
              <w:rPr>
                <w:color w:val="000000"/>
                <w:szCs w:val="22"/>
              </w:rPr>
            </w:pPr>
            <w:r>
              <w:rPr>
                <w:rFonts w:ascii="Calibri" w:hAnsi="Calibri" w:cs="Calibri"/>
                <w:color w:val="000000"/>
                <w:szCs w:val="22"/>
              </w:rPr>
              <w:t xml:space="preserve">                       </w:t>
            </w:r>
            <w:proofErr w:type="spellStart"/>
            <w:r w:rsidR="00C95081">
              <w:rPr>
                <w:rFonts w:ascii="Calibri" w:hAnsi="Calibri" w:cs="Calibri"/>
                <w:color w:val="000000"/>
                <w:szCs w:val="22"/>
              </w:rPr>
              <w:t>xxx</w:t>
            </w:r>
            <w:proofErr w:type="spellEnd"/>
            <w:r>
              <w:rPr>
                <w:rFonts w:ascii="Calibri" w:hAnsi="Calibri" w:cs="Calibri"/>
                <w:color w:val="000000"/>
                <w:szCs w:val="22"/>
              </w:rPr>
              <w:t xml:space="preserve"> Kč </w:t>
            </w:r>
          </w:p>
        </w:tc>
      </w:tr>
      <w:tr w:rsidR="00707EFB" w:rsidRPr="00A94399" w14:paraId="574EB9D6" w14:textId="77777777" w:rsidTr="00A94399">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center"/>
            <w:hideMark/>
          </w:tcPr>
          <w:p w14:paraId="62B703CE" w14:textId="27626F9A" w:rsidR="00707EFB" w:rsidRPr="00A94399" w:rsidRDefault="00707EFB" w:rsidP="00707EFB">
            <w:pPr>
              <w:rPr>
                <w:color w:val="000000"/>
                <w:szCs w:val="22"/>
              </w:rPr>
            </w:pPr>
            <w:r w:rsidRPr="00A94399">
              <w:rPr>
                <w:color w:val="000000"/>
                <w:szCs w:val="22"/>
              </w:rPr>
              <w:t xml:space="preserve">CO2 2.5 </w:t>
            </w:r>
            <w:proofErr w:type="spellStart"/>
            <w:r w:rsidRPr="00A94399">
              <w:rPr>
                <w:color w:val="000000"/>
                <w:szCs w:val="22"/>
              </w:rPr>
              <w:t>potr</w:t>
            </w:r>
            <w:proofErr w:type="spellEnd"/>
            <w:r w:rsidRPr="00A94399">
              <w:rPr>
                <w:color w:val="000000"/>
                <w:szCs w:val="22"/>
              </w:rPr>
              <w:t>. (27/20kg)</w:t>
            </w:r>
          </w:p>
        </w:tc>
        <w:tc>
          <w:tcPr>
            <w:tcW w:w="2835" w:type="dxa"/>
            <w:tcBorders>
              <w:top w:val="nil"/>
              <w:left w:val="single" w:sz="8" w:space="0" w:color="auto"/>
              <w:bottom w:val="single" w:sz="4" w:space="0" w:color="auto"/>
              <w:right w:val="single" w:sz="8" w:space="0" w:color="auto"/>
            </w:tcBorders>
            <w:shd w:val="clear" w:color="auto" w:fill="auto"/>
            <w:noWrap/>
            <w:vAlign w:val="bottom"/>
          </w:tcPr>
          <w:p w14:paraId="2219EABB" w14:textId="022475BB" w:rsidR="00707EFB" w:rsidRPr="00A94399" w:rsidRDefault="00C95081" w:rsidP="00707EFB">
            <w:pPr>
              <w:jc w:val="right"/>
              <w:rPr>
                <w:color w:val="000000"/>
                <w:szCs w:val="22"/>
              </w:rPr>
            </w:pPr>
            <w:proofErr w:type="spellStart"/>
            <w:r>
              <w:rPr>
                <w:rFonts w:ascii="Calibri" w:hAnsi="Calibri" w:cs="Calibri"/>
                <w:color w:val="000000"/>
                <w:szCs w:val="22"/>
              </w:rPr>
              <w:t>xxx</w:t>
            </w:r>
            <w:proofErr w:type="spellEnd"/>
            <w:r w:rsidR="00707EFB">
              <w:rPr>
                <w:rFonts w:ascii="Calibri" w:hAnsi="Calibri" w:cs="Calibri"/>
                <w:color w:val="000000"/>
                <w:szCs w:val="22"/>
              </w:rPr>
              <w:t xml:space="preserve"> Kč </w:t>
            </w:r>
          </w:p>
        </w:tc>
      </w:tr>
      <w:tr w:rsidR="00707EFB" w:rsidRPr="00A94399" w14:paraId="2B695866" w14:textId="77777777" w:rsidTr="00A94399">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center"/>
            <w:hideMark/>
          </w:tcPr>
          <w:p w14:paraId="023C1F89" w14:textId="31FEE618" w:rsidR="00707EFB" w:rsidRPr="00A94399" w:rsidRDefault="00707EFB" w:rsidP="00707EFB">
            <w:pPr>
              <w:rPr>
                <w:color w:val="000000"/>
                <w:szCs w:val="22"/>
              </w:rPr>
            </w:pPr>
            <w:r w:rsidRPr="00A94399">
              <w:rPr>
                <w:color w:val="000000"/>
                <w:szCs w:val="22"/>
              </w:rPr>
              <w:t xml:space="preserve">CO2 2.5 </w:t>
            </w:r>
            <w:proofErr w:type="spellStart"/>
            <w:r w:rsidRPr="00A94399">
              <w:rPr>
                <w:color w:val="000000"/>
                <w:szCs w:val="22"/>
              </w:rPr>
              <w:t>potr</w:t>
            </w:r>
            <w:proofErr w:type="spellEnd"/>
            <w:r w:rsidRPr="00A94399">
              <w:rPr>
                <w:color w:val="000000"/>
                <w:szCs w:val="22"/>
              </w:rPr>
              <w:t>. (40/30kg)</w:t>
            </w:r>
          </w:p>
        </w:tc>
        <w:tc>
          <w:tcPr>
            <w:tcW w:w="2835" w:type="dxa"/>
            <w:tcBorders>
              <w:top w:val="nil"/>
              <w:left w:val="single" w:sz="8" w:space="0" w:color="auto"/>
              <w:bottom w:val="single" w:sz="4" w:space="0" w:color="auto"/>
              <w:right w:val="single" w:sz="8" w:space="0" w:color="auto"/>
            </w:tcBorders>
            <w:shd w:val="clear" w:color="auto" w:fill="auto"/>
            <w:noWrap/>
            <w:vAlign w:val="bottom"/>
          </w:tcPr>
          <w:p w14:paraId="5792879C" w14:textId="4EFB5CBD" w:rsidR="00707EFB" w:rsidRPr="00A94399" w:rsidRDefault="00C95081" w:rsidP="00707EFB">
            <w:pPr>
              <w:jc w:val="right"/>
              <w:rPr>
                <w:color w:val="000000"/>
                <w:szCs w:val="22"/>
              </w:rPr>
            </w:pPr>
            <w:proofErr w:type="spellStart"/>
            <w:r>
              <w:rPr>
                <w:rFonts w:ascii="Calibri" w:hAnsi="Calibri" w:cs="Calibri"/>
                <w:color w:val="000000"/>
                <w:szCs w:val="22"/>
              </w:rPr>
              <w:t>xxx</w:t>
            </w:r>
            <w:proofErr w:type="spellEnd"/>
            <w:r w:rsidR="00707EFB">
              <w:rPr>
                <w:rFonts w:ascii="Calibri" w:hAnsi="Calibri" w:cs="Calibri"/>
                <w:color w:val="000000"/>
                <w:szCs w:val="22"/>
              </w:rPr>
              <w:t xml:space="preserve"> Kč </w:t>
            </w:r>
          </w:p>
        </w:tc>
      </w:tr>
      <w:tr w:rsidR="00707EFB" w:rsidRPr="00A94399" w14:paraId="5A12DEB0" w14:textId="77777777" w:rsidTr="00A94399">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center"/>
            <w:hideMark/>
          </w:tcPr>
          <w:p w14:paraId="0370FAAE" w14:textId="6CF9840B" w:rsidR="00707EFB" w:rsidRPr="00A94399" w:rsidRDefault="00707EFB" w:rsidP="00707EFB">
            <w:pPr>
              <w:rPr>
                <w:color w:val="000000"/>
                <w:szCs w:val="22"/>
              </w:rPr>
            </w:pPr>
            <w:r w:rsidRPr="00A94399">
              <w:rPr>
                <w:color w:val="000000"/>
                <w:szCs w:val="22"/>
              </w:rPr>
              <w:t xml:space="preserve">CO2 2.5 </w:t>
            </w:r>
            <w:proofErr w:type="spellStart"/>
            <w:r w:rsidRPr="00A94399">
              <w:rPr>
                <w:color w:val="000000"/>
                <w:szCs w:val="22"/>
              </w:rPr>
              <w:t>potr</w:t>
            </w:r>
            <w:proofErr w:type="spellEnd"/>
            <w:r w:rsidRPr="00A94399">
              <w:rPr>
                <w:color w:val="000000"/>
                <w:szCs w:val="22"/>
              </w:rPr>
              <w:t>. (40/30kg) DP</w:t>
            </w:r>
          </w:p>
        </w:tc>
        <w:tc>
          <w:tcPr>
            <w:tcW w:w="2835" w:type="dxa"/>
            <w:tcBorders>
              <w:top w:val="nil"/>
              <w:left w:val="single" w:sz="8" w:space="0" w:color="auto"/>
              <w:bottom w:val="single" w:sz="4" w:space="0" w:color="auto"/>
              <w:right w:val="single" w:sz="8" w:space="0" w:color="auto"/>
            </w:tcBorders>
            <w:shd w:val="clear" w:color="auto" w:fill="auto"/>
            <w:noWrap/>
            <w:vAlign w:val="bottom"/>
          </w:tcPr>
          <w:p w14:paraId="204D8C7A" w14:textId="68F88660" w:rsidR="00707EFB" w:rsidRPr="00A94399" w:rsidRDefault="00C95081" w:rsidP="00707EFB">
            <w:pPr>
              <w:jc w:val="right"/>
              <w:rPr>
                <w:color w:val="000000"/>
                <w:szCs w:val="22"/>
              </w:rPr>
            </w:pPr>
            <w:proofErr w:type="spellStart"/>
            <w:r>
              <w:rPr>
                <w:rFonts w:ascii="Calibri" w:hAnsi="Calibri" w:cs="Calibri"/>
                <w:color w:val="000000"/>
                <w:szCs w:val="22"/>
              </w:rPr>
              <w:t>xxx</w:t>
            </w:r>
            <w:proofErr w:type="spellEnd"/>
            <w:r w:rsidR="00707EFB">
              <w:rPr>
                <w:rFonts w:ascii="Calibri" w:hAnsi="Calibri" w:cs="Calibri"/>
                <w:color w:val="000000"/>
                <w:szCs w:val="22"/>
              </w:rPr>
              <w:t xml:space="preserve"> Kč </w:t>
            </w:r>
          </w:p>
        </w:tc>
      </w:tr>
      <w:tr w:rsidR="00707EFB" w:rsidRPr="00A94399" w14:paraId="6DB3A53D" w14:textId="77777777" w:rsidTr="00A94399">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center"/>
            <w:hideMark/>
          </w:tcPr>
          <w:p w14:paraId="20F5F2E3" w14:textId="5DAE00A7" w:rsidR="00707EFB" w:rsidRPr="00A94399" w:rsidRDefault="00707EFB" w:rsidP="00707EFB">
            <w:pPr>
              <w:rPr>
                <w:color w:val="000000"/>
                <w:szCs w:val="22"/>
              </w:rPr>
            </w:pPr>
            <w:r w:rsidRPr="00A94399">
              <w:rPr>
                <w:color w:val="000000"/>
                <w:szCs w:val="22"/>
              </w:rPr>
              <w:t>Argon 4.6 tech. (50L/200)</w:t>
            </w:r>
          </w:p>
        </w:tc>
        <w:tc>
          <w:tcPr>
            <w:tcW w:w="2835" w:type="dxa"/>
            <w:tcBorders>
              <w:top w:val="nil"/>
              <w:left w:val="single" w:sz="8" w:space="0" w:color="auto"/>
              <w:bottom w:val="single" w:sz="4" w:space="0" w:color="auto"/>
              <w:right w:val="single" w:sz="8" w:space="0" w:color="auto"/>
            </w:tcBorders>
            <w:shd w:val="clear" w:color="auto" w:fill="auto"/>
            <w:noWrap/>
            <w:vAlign w:val="bottom"/>
          </w:tcPr>
          <w:p w14:paraId="1673A5FD" w14:textId="392A5088" w:rsidR="00707EFB" w:rsidRPr="00A94399" w:rsidRDefault="00C95081" w:rsidP="00707EFB">
            <w:pPr>
              <w:jc w:val="right"/>
              <w:rPr>
                <w:color w:val="000000"/>
                <w:szCs w:val="22"/>
              </w:rPr>
            </w:pPr>
            <w:proofErr w:type="spellStart"/>
            <w:r>
              <w:rPr>
                <w:rFonts w:ascii="Calibri" w:hAnsi="Calibri" w:cs="Calibri"/>
                <w:color w:val="000000"/>
                <w:szCs w:val="22"/>
              </w:rPr>
              <w:t>xxx</w:t>
            </w:r>
            <w:proofErr w:type="spellEnd"/>
            <w:r w:rsidR="00707EFB">
              <w:rPr>
                <w:rFonts w:ascii="Calibri" w:hAnsi="Calibri" w:cs="Calibri"/>
                <w:color w:val="000000"/>
                <w:szCs w:val="22"/>
              </w:rPr>
              <w:t xml:space="preserve"> Kč </w:t>
            </w:r>
          </w:p>
        </w:tc>
      </w:tr>
      <w:tr w:rsidR="00707EFB" w:rsidRPr="00A94399" w14:paraId="2F73C940" w14:textId="77777777" w:rsidTr="00A94399">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center"/>
            <w:hideMark/>
          </w:tcPr>
          <w:p w14:paraId="1FD6F632" w14:textId="1BD7805B" w:rsidR="00707EFB" w:rsidRPr="00A94399" w:rsidRDefault="00707EFB" w:rsidP="00707EFB">
            <w:pPr>
              <w:rPr>
                <w:color w:val="000000"/>
                <w:szCs w:val="22"/>
              </w:rPr>
            </w:pPr>
            <w:r w:rsidRPr="00A94399">
              <w:rPr>
                <w:color w:val="000000"/>
                <w:szCs w:val="22"/>
              </w:rPr>
              <w:t>Helium 5.5 ECD (50L/200)</w:t>
            </w:r>
          </w:p>
        </w:tc>
        <w:tc>
          <w:tcPr>
            <w:tcW w:w="2835" w:type="dxa"/>
            <w:tcBorders>
              <w:top w:val="nil"/>
              <w:left w:val="single" w:sz="8" w:space="0" w:color="auto"/>
              <w:bottom w:val="single" w:sz="4" w:space="0" w:color="auto"/>
              <w:right w:val="single" w:sz="8" w:space="0" w:color="auto"/>
            </w:tcBorders>
            <w:shd w:val="clear" w:color="auto" w:fill="auto"/>
            <w:noWrap/>
            <w:vAlign w:val="bottom"/>
          </w:tcPr>
          <w:p w14:paraId="14AF9856" w14:textId="7C7C4F6C" w:rsidR="00707EFB" w:rsidRPr="00A94399" w:rsidRDefault="00C95081" w:rsidP="00707EFB">
            <w:pPr>
              <w:jc w:val="right"/>
              <w:rPr>
                <w:color w:val="000000"/>
                <w:szCs w:val="22"/>
              </w:rPr>
            </w:pPr>
            <w:proofErr w:type="spellStart"/>
            <w:r>
              <w:rPr>
                <w:rFonts w:ascii="Calibri" w:hAnsi="Calibri" w:cs="Calibri"/>
                <w:color w:val="000000"/>
                <w:szCs w:val="22"/>
              </w:rPr>
              <w:t>xxx</w:t>
            </w:r>
            <w:proofErr w:type="spellEnd"/>
            <w:r w:rsidR="00707EFB">
              <w:rPr>
                <w:rFonts w:ascii="Calibri" w:hAnsi="Calibri" w:cs="Calibri"/>
                <w:color w:val="000000"/>
                <w:szCs w:val="22"/>
              </w:rPr>
              <w:t xml:space="preserve"> Kč </w:t>
            </w:r>
          </w:p>
        </w:tc>
      </w:tr>
      <w:tr w:rsidR="00707EFB" w:rsidRPr="00A94399" w14:paraId="4DD52664" w14:textId="77777777" w:rsidTr="00A94399">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center"/>
            <w:hideMark/>
          </w:tcPr>
          <w:p w14:paraId="07FC63F6" w14:textId="557171AD" w:rsidR="00707EFB" w:rsidRPr="00A94399" w:rsidRDefault="00707EFB" w:rsidP="00707EFB">
            <w:pPr>
              <w:rPr>
                <w:color w:val="000000"/>
                <w:szCs w:val="22"/>
              </w:rPr>
            </w:pPr>
            <w:r w:rsidRPr="00A94399">
              <w:rPr>
                <w:color w:val="000000"/>
                <w:szCs w:val="22"/>
              </w:rPr>
              <w:t>Helium 6.0 (50L/200)</w:t>
            </w:r>
          </w:p>
        </w:tc>
        <w:tc>
          <w:tcPr>
            <w:tcW w:w="2835" w:type="dxa"/>
            <w:tcBorders>
              <w:top w:val="nil"/>
              <w:left w:val="single" w:sz="8" w:space="0" w:color="auto"/>
              <w:bottom w:val="single" w:sz="4" w:space="0" w:color="auto"/>
              <w:right w:val="single" w:sz="8" w:space="0" w:color="auto"/>
            </w:tcBorders>
            <w:shd w:val="clear" w:color="auto" w:fill="auto"/>
            <w:noWrap/>
            <w:vAlign w:val="bottom"/>
          </w:tcPr>
          <w:p w14:paraId="78938152" w14:textId="4C25DC6A" w:rsidR="00707EFB" w:rsidRPr="00A94399" w:rsidRDefault="00707EFB" w:rsidP="00707EFB">
            <w:pPr>
              <w:jc w:val="right"/>
              <w:rPr>
                <w:color w:val="000000"/>
                <w:szCs w:val="22"/>
              </w:rPr>
            </w:pPr>
            <w:r>
              <w:rPr>
                <w:rFonts w:ascii="Calibri" w:hAnsi="Calibri" w:cs="Calibri"/>
                <w:color w:val="000000"/>
                <w:szCs w:val="22"/>
              </w:rPr>
              <w:t xml:space="preserve">                     </w:t>
            </w:r>
            <w:proofErr w:type="spellStart"/>
            <w:r w:rsidR="00C95081">
              <w:rPr>
                <w:rFonts w:ascii="Calibri" w:hAnsi="Calibri" w:cs="Calibri"/>
                <w:color w:val="000000"/>
                <w:szCs w:val="22"/>
              </w:rPr>
              <w:t>xxx</w:t>
            </w:r>
            <w:proofErr w:type="spellEnd"/>
            <w:r>
              <w:rPr>
                <w:rFonts w:ascii="Calibri" w:hAnsi="Calibri" w:cs="Calibri"/>
                <w:color w:val="000000"/>
                <w:szCs w:val="22"/>
              </w:rPr>
              <w:t xml:space="preserve"> Kč </w:t>
            </w:r>
          </w:p>
        </w:tc>
      </w:tr>
      <w:tr w:rsidR="00707EFB" w:rsidRPr="00A94399" w14:paraId="410B56D4" w14:textId="77777777" w:rsidTr="00A94399">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center"/>
            <w:hideMark/>
          </w:tcPr>
          <w:p w14:paraId="052EB10F" w14:textId="62B1EF7B" w:rsidR="00707EFB" w:rsidRPr="00A94399" w:rsidRDefault="00707EFB" w:rsidP="00707EFB">
            <w:pPr>
              <w:rPr>
                <w:color w:val="000000"/>
                <w:szCs w:val="22"/>
              </w:rPr>
            </w:pPr>
            <w:r w:rsidRPr="00A94399">
              <w:rPr>
                <w:color w:val="000000"/>
                <w:szCs w:val="22"/>
              </w:rPr>
              <w:t>Acetylen 2.6 (50/10kg)</w:t>
            </w:r>
          </w:p>
        </w:tc>
        <w:tc>
          <w:tcPr>
            <w:tcW w:w="2835" w:type="dxa"/>
            <w:tcBorders>
              <w:top w:val="nil"/>
              <w:left w:val="single" w:sz="8" w:space="0" w:color="auto"/>
              <w:bottom w:val="single" w:sz="4" w:space="0" w:color="auto"/>
              <w:right w:val="single" w:sz="8" w:space="0" w:color="auto"/>
            </w:tcBorders>
            <w:shd w:val="clear" w:color="auto" w:fill="auto"/>
            <w:noWrap/>
            <w:vAlign w:val="bottom"/>
          </w:tcPr>
          <w:p w14:paraId="6B4B410C" w14:textId="4B8A1FF9" w:rsidR="00707EFB" w:rsidRPr="00A94399" w:rsidRDefault="00707EFB" w:rsidP="00707EFB">
            <w:pPr>
              <w:jc w:val="right"/>
              <w:rPr>
                <w:color w:val="000000"/>
                <w:szCs w:val="22"/>
              </w:rPr>
            </w:pPr>
            <w:r>
              <w:rPr>
                <w:rFonts w:ascii="Calibri" w:hAnsi="Calibri" w:cs="Calibri"/>
                <w:color w:val="000000"/>
                <w:szCs w:val="22"/>
              </w:rPr>
              <w:t xml:space="preserve">                       </w:t>
            </w:r>
            <w:proofErr w:type="spellStart"/>
            <w:r w:rsidR="00C95081">
              <w:rPr>
                <w:rFonts w:ascii="Calibri" w:hAnsi="Calibri" w:cs="Calibri"/>
                <w:color w:val="000000"/>
                <w:szCs w:val="22"/>
              </w:rPr>
              <w:t>xxx</w:t>
            </w:r>
            <w:proofErr w:type="spellEnd"/>
            <w:r>
              <w:rPr>
                <w:rFonts w:ascii="Calibri" w:hAnsi="Calibri" w:cs="Calibri"/>
                <w:color w:val="000000"/>
                <w:szCs w:val="22"/>
              </w:rPr>
              <w:t xml:space="preserve"> Kč </w:t>
            </w:r>
          </w:p>
        </w:tc>
      </w:tr>
      <w:tr w:rsidR="00707EFB" w:rsidRPr="00A94399" w14:paraId="7D4EE29C" w14:textId="77777777" w:rsidTr="00A94399">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center"/>
            <w:hideMark/>
          </w:tcPr>
          <w:p w14:paraId="6B0EEB63" w14:textId="4B187E84" w:rsidR="00707EFB" w:rsidRPr="00A94399" w:rsidRDefault="00707EFB" w:rsidP="00707EFB">
            <w:pPr>
              <w:rPr>
                <w:color w:val="000000"/>
                <w:szCs w:val="22"/>
              </w:rPr>
            </w:pPr>
            <w:r w:rsidRPr="00A94399">
              <w:rPr>
                <w:color w:val="000000"/>
                <w:szCs w:val="22"/>
              </w:rPr>
              <w:t>Argon 5.0 (50L/200)</w:t>
            </w:r>
          </w:p>
        </w:tc>
        <w:tc>
          <w:tcPr>
            <w:tcW w:w="2835" w:type="dxa"/>
            <w:tcBorders>
              <w:top w:val="nil"/>
              <w:left w:val="single" w:sz="8" w:space="0" w:color="auto"/>
              <w:bottom w:val="single" w:sz="4" w:space="0" w:color="auto"/>
              <w:right w:val="single" w:sz="8" w:space="0" w:color="auto"/>
            </w:tcBorders>
            <w:shd w:val="clear" w:color="auto" w:fill="auto"/>
            <w:noWrap/>
            <w:vAlign w:val="bottom"/>
          </w:tcPr>
          <w:p w14:paraId="36693624" w14:textId="00263BB6" w:rsidR="00707EFB" w:rsidRPr="00A94399" w:rsidRDefault="00707EFB" w:rsidP="00707EFB">
            <w:pPr>
              <w:jc w:val="right"/>
              <w:rPr>
                <w:color w:val="000000"/>
                <w:szCs w:val="22"/>
              </w:rPr>
            </w:pPr>
            <w:r>
              <w:rPr>
                <w:rFonts w:ascii="Calibri" w:hAnsi="Calibri" w:cs="Calibri"/>
                <w:color w:val="000000"/>
                <w:szCs w:val="22"/>
              </w:rPr>
              <w:t xml:space="preserve">                     </w:t>
            </w:r>
            <w:proofErr w:type="spellStart"/>
            <w:r w:rsidR="00C95081">
              <w:rPr>
                <w:rFonts w:ascii="Calibri" w:hAnsi="Calibri" w:cs="Calibri"/>
                <w:color w:val="000000"/>
                <w:szCs w:val="22"/>
              </w:rPr>
              <w:t>xxx</w:t>
            </w:r>
            <w:proofErr w:type="spellEnd"/>
            <w:r>
              <w:rPr>
                <w:rFonts w:ascii="Calibri" w:hAnsi="Calibri" w:cs="Calibri"/>
                <w:color w:val="000000"/>
                <w:szCs w:val="22"/>
              </w:rPr>
              <w:t xml:space="preserve"> Kč </w:t>
            </w:r>
          </w:p>
        </w:tc>
      </w:tr>
      <w:tr w:rsidR="00707EFB" w:rsidRPr="00A94399" w14:paraId="79ADB357" w14:textId="77777777" w:rsidTr="00A94399">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center"/>
            <w:hideMark/>
          </w:tcPr>
          <w:p w14:paraId="56586B37" w14:textId="5DB64B30" w:rsidR="00707EFB" w:rsidRPr="00A94399" w:rsidRDefault="00707EFB" w:rsidP="00707EFB">
            <w:pPr>
              <w:rPr>
                <w:color w:val="000000"/>
                <w:szCs w:val="22"/>
              </w:rPr>
            </w:pPr>
            <w:r w:rsidRPr="00A94399">
              <w:rPr>
                <w:color w:val="000000"/>
                <w:szCs w:val="22"/>
              </w:rPr>
              <w:t>Kyslík 5.0 (50L/200)</w:t>
            </w:r>
          </w:p>
        </w:tc>
        <w:tc>
          <w:tcPr>
            <w:tcW w:w="2835" w:type="dxa"/>
            <w:tcBorders>
              <w:top w:val="nil"/>
              <w:left w:val="single" w:sz="8" w:space="0" w:color="auto"/>
              <w:bottom w:val="single" w:sz="4" w:space="0" w:color="auto"/>
              <w:right w:val="single" w:sz="8" w:space="0" w:color="auto"/>
            </w:tcBorders>
            <w:shd w:val="clear" w:color="auto" w:fill="auto"/>
            <w:noWrap/>
            <w:vAlign w:val="bottom"/>
          </w:tcPr>
          <w:p w14:paraId="1915F03A" w14:textId="300F7B82" w:rsidR="00707EFB" w:rsidRPr="00A94399" w:rsidRDefault="00707EFB" w:rsidP="00707EFB">
            <w:pPr>
              <w:jc w:val="right"/>
              <w:rPr>
                <w:color w:val="000000"/>
                <w:szCs w:val="22"/>
              </w:rPr>
            </w:pPr>
            <w:r>
              <w:rPr>
                <w:rFonts w:ascii="Calibri" w:hAnsi="Calibri" w:cs="Calibri"/>
                <w:color w:val="000000"/>
                <w:szCs w:val="22"/>
              </w:rPr>
              <w:t xml:space="preserve">                     </w:t>
            </w:r>
            <w:proofErr w:type="spellStart"/>
            <w:r w:rsidR="00C95081">
              <w:rPr>
                <w:rFonts w:ascii="Calibri" w:hAnsi="Calibri" w:cs="Calibri"/>
                <w:color w:val="000000"/>
                <w:szCs w:val="22"/>
              </w:rPr>
              <w:t>xxx</w:t>
            </w:r>
            <w:proofErr w:type="spellEnd"/>
            <w:r>
              <w:rPr>
                <w:rFonts w:ascii="Calibri" w:hAnsi="Calibri" w:cs="Calibri"/>
                <w:color w:val="000000"/>
                <w:szCs w:val="22"/>
              </w:rPr>
              <w:t xml:space="preserve"> Kč </w:t>
            </w:r>
          </w:p>
        </w:tc>
      </w:tr>
      <w:tr w:rsidR="00707EFB" w:rsidRPr="00A94399" w14:paraId="1D8A258B" w14:textId="77777777" w:rsidTr="00A94399">
        <w:trPr>
          <w:trHeight w:val="300"/>
        </w:trPr>
        <w:tc>
          <w:tcPr>
            <w:tcW w:w="5802" w:type="dxa"/>
            <w:tcBorders>
              <w:top w:val="nil"/>
              <w:left w:val="single" w:sz="8" w:space="0" w:color="auto"/>
              <w:bottom w:val="single" w:sz="4" w:space="0" w:color="auto"/>
              <w:right w:val="single" w:sz="4" w:space="0" w:color="auto"/>
            </w:tcBorders>
            <w:shd w:val="clear" w:color="000000" w:fill="F2F2F2"/>
            <w:noWrap/>
            <w:vAlign w:val="center"/>
            <w:hideMark/>
          </w:tcPr>
          <w:p w14:paraId="17C5FB62" w14:textId="0D97A865" w:rsidR="00707EFB" w:rsidRPr="00A94399" w:rsidRDefault="00707EFB" w:rsidP="00707EFB">
            <w:pPr>
              <w:rPr>
                <w:color w:val="000000"/>
                <w:szCs w:val="22"/>
              </w:rPr>
            </w:pPr>
            <w:r w:rsidRPr="00A94399">
              <w:rPr>
                <w:color w:val="000000"/>
                <w:szCs w:val="22"/>
              </w:rPr>
              <w:t>Vodík 5.5 (50L/200)</w:t>
            </w:r>
          </w:p>
        </w:tc>
        <w:tc>
          <w:tcPr>
            <w:tcW w:w="2835" w:type="dxa"/>
            <w:tcBorders>
              <w:top w:val="nil"/>
              <w:left w:val="single" w:sz="8" w:space="0" w:color="auto"/>
              <w:bottom w:val="single" w:sz="4" w:space="0" w:color="auto"/>
              <w:right w:val="single" w:sz="8" w:space="0" w:color="auto"/>
            </w:tcBorders>
            <w:shd w:val="clear" w:color="auto" w:fill="auto"/>
            <w:noWrap/>
            <w:vAlign w:val="bottom"/>
          </w:tcPr>
          <w:p w14:paraId="21498BEF" w14:textId="7E1669C1" w:rsidR="00707EFB" w:rsidRPr="00A94399" w:rsidRDefault="00707EFB" w:rsidP="00707EFB">
            <w:pPr>
              <w:jc w:val="right"/>
              <w:rPr>
                <w:color w:val="000000"/>
                <w:szCs w:val="22"/>
              </w:rPr>
            </w:pPr>
            <w:r>
              <w:rPr>
                <w:rFonts w:ascii="Calibri" w:hAnsi="Calibri" w:cs="Calibri"/>
                <w:color w:val="000000"/>
                <w:szCs w:val="22"/>
              </w:rPr>
              <w:t xml:space="preserve">                     </w:t>
            </w:r>
            <w:proofErr w:type="spellStart"/>
            <w:r w:rsidR="00C95081">
              <w:rPr>
                <w:rFonts w:ascii="Calibri" w:hAnsi="Calibri" w:cs="Calibri"/>
                <w:color w:val="000000"/>
                <w:szCs w:val="22"/>
              </w:rPr>
              <w:t>xxx</w:t>
            </w:r>
            <w:proofErr w:type="spellEnd"/>
            <w:r>
              <w:rPr>
                <w:rFonts w:ascii="Calibri" w:hAnsi="Calibri" w:cs="Calibri"/>
                <w:color w:val="000000"/>
                <w:szCs w:val="22"/>
              </w:rPr>
              <w:t xml:space="preserve"> Kč </w:t>
            </w:r>
          </w:p>
        </w:tc>
      </w:tr>
      <w:tr w:rsidR="00707EFB" w:rsidRPr="00A94399" w14:paraId="7425A0C4" w14:textId="77777777" w:rsidTr="00A94399">
        <w:trPr>
          <w:trHeight w:val="315"/>
        </w:trPr>
        <w:tc>
          <w:tcPr>
            <w:tcW w:w="5802" w:type="dxa"/>
            <w:tcBorders>
              <w:top w:val="nil"/>
              <w:left w:val="single" w:sz="8" w:space="0" w:color="auto"/>
              <w:bottom w:val="single" w:sz="8" w:space="0" w:color="auto"/>
              <w:right w:val="single" w:sz="4" w:space="0" w:color="auto"/>
            </w:tcBorders>
            <w:shd w:val="clear" w:color="000000" w:fill="F2F2F2"/>
            <w:noWrap/>
            <w:vAlign w:val="center"/>
            <w:hideMark/>
          </w:tcPr>
          <w:p w14:paraId="57CF178B" w14:textId="106830CC" w:rsidR="00707EFB" w:rsidRPr="00A94399" w:rsidRDefault="00707EFB" w:rsidP="00707EFB">
            <w:pPr>
              <w:rPr>
                <w:color w:val="000000"/>
                <w:szCs w:val="22"/>
              </w:rPr>
            </w:pPr>
            <w:r w:rsidRPr="00A94399">
              <w:rPr>
                <w:color w:val="000000"/>
                <w:szCs w:val="22"/>
              </w:rPr>
              <w:t>Oxid dusný med. (10/7,5kg)</w:t>
            </w:r>
          </w:p>
        </w:tc>
        <w:tc>
          <w:tcPr>
            <w:tcW w:w="2835" w:type="dxa"/>
            <w:tcBorders>
              <w:top w:val="nil"/>
              <w:left w:val="single" w:sz="8" w:space="0" w:color="auto"/>
              <w:bottom w:val="single" w:sz="8" w:space="0" w:color="auto"/>
              <w:right w:val="single" w:sz="8" w:space="0" w:color="auto"/>
            </w:tcBorders>
            <w:shd w:val="clear" w:color="auto" w:fill="auto"/>
            <w:noWrap/>
            <w:vAlign w:val="bottom"/>
          </w:tcPr>
          <w:p w14:paraId="3EC7055D" w14:textId="7F68D61B" w:rsidR="00707EFB" w:rsidRPr="00A94399" w:rsidRDefault="00707EFB" w:rsidP="00707EFB">
            <w:pPr>
              <w:jc w:val="right"/>
              <w:rPr>
                <w:color w:val="000000"/>
                <w:szCs w:val="22"/>
              </w:rPr>
            </w:pPr>
            <w:r>
              <w:rPr>
                <w:rFonts w:ascii="Calibri" w:hAnsi="Calibri" w:cs="Calibri"/>
                <w:color w:val="000000"/>
                <w:szCs w:val="22"/>
              </w:rPr>
              <w:t xml:space="preserve">                       </w:t>
            </w:r>
            <w:proofErr w:type="spellStart"/>
            <w:r w:rsidR="00C95081">
              <w:rPr>
                <w:rFonts w:ascii="Calibri" w:hAnsi="Calibri" w:cs="Calibri"/>
                <w:color w:val="000000"/>
                <w:szCs w:val="22"/>
              </w:rPr>
              <w:t>xxx</w:t>
            </w:r>
            <w:proofErr w:type="spellEnd"/>
            <w:r>
              <w:rPr>
                <w:rFonts w:ascii="Calibri" w:hAnsi="Calibri" w:cs="Calibri"/>
                <w:color w:val="000000"/>
                <w:szCs w:val="22"/>
              </w:rPr>
              <w:t xml:space="preserve"> Kč </w:t>
            </w:r>
          </w:p>
        </w:tc>
      </w:tr>
    </w:tbl>
    <w:p w14:paraId="62957331" w14:textId="77777777" w:rsidR="00B51724" w:rsidRPr="00A94399" w:rsidRDefault="00B51724" w:rsidP="00B51724">
      <w:pPr>
        <w:snapToGrid w:val="0"/>
        <w:rPr>
          <w:szCs w:val="22"/>
        </w:rPr>
      </w:pPr>
    </w:p>
    <w:p w14:paraId="46E45765" w14:textId="77777777" w:rsidR="00476F03" w:rsidRDefault="00476F03"/>
    <w:sectPr w:rsidR="00476F03" w:rsidSect="00B51724">
      <w:pgSz w:w="11906" w:h="16838"/>
      <w:pgMar w:top="1418" w:right="1134" w:bottom="1418" w:left="851"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4DA8F" w14:textId="77777777" w:rsidR="003B7066" w:rsidRDefault="003B7066">
      <w:r>
        <w:separator/>
      </w:r>
    </w:p>
  </w:endnote>
  <w:endnote w:type="continuationSeparator" w:id="0">
    <w:p w14:paraId="099902BF" w14:textId="77777777" w:rsidR="003B7066" w:rsidRDefault="003B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0FF89" w14:textId="77777777" w:rsidR="001E7671" w:rsidRPr="000D2015" w:rsidRDefault="00BF76EA" w:rsidP="004E6984">
    <w:pPr>
      <w:pStyle w:val="Zpat"/>
      <w:rPr>
        <w:sz w:val="16"/>
        <w:szCs w:val="16"/>
      </w:rPr>
    </w:pPr>
    <w:r w:rsidRPr="000D2015">
      <w:rPr>
        <w:sz w:val="16"/>
        <w:szCs w:val="16"/>
      </w:rPr>
      <w:t>FORM-QS-04/KS1/02.14</w:t>
    </w:r>
    <w:r>
      <w:rPr>
        <w:sz w:val="16"/>
        <w:szCs w:val="16"/>
      </w:rPr>
      <w:tab/>
    </w:r>
    <w:r>
      <w:rPr>
        <w:sz w:val="16"/>
        <w:szCs w:val="16"/>
      </w:rPr>
      <w:tab/>
    </w:r>
    <w:r w:rsidRPr="000D2015">
      <w:rPr>
        <w:sz w:val="16"/>
        <w:szCs w:val="16"/>
      </w:rPr>
      <w:t xml:space="preserve">Stránka </w:t>
    </w:r>
    <w:r w:rsidRPr="000D2015">
      <w:rPr>
        <w:b/>
        <w:bCs/>
        <w:sz w:val="16"/>
        <w:szCs w:val="16"/>
      </w:rPr>
      <w:fldChar w:fldCharType="begin"/>
    </w:r>
    <w:r w:rsidRPr="000D2015">
      <w:rPr>
        <w:b/>
        <w:bCs/>
        <w:sz w:val="16"/>
        <w:szCs w:val="16"/>
      </w:rPr>
      <w:instrText>PAGE</w:instrText>
    </w:r>
    <w:r w:rsidRPr="000D2015">
      <w:rPr>
        <w:b/>
        <w:bCs/>
        <w:sz w:val="16"/>
        <w:szCs w:val="16"/>
      </w:rPr>
      <w:fldChar w:fldCharType="separate"/>
    </w:r>
    <w:r>
      <w:rPr>
        <w:b/>
        <w:bCs/>
        <w:noProof/>
        <w:sz w:val="16"/>
        <w:szCs w:val="16"/>
      </w:rPr>
      <w:t>2</w:t>
    </w:r>
    <w:r w:rsidRPr="000D2015">
      <w:rPr>
        <w:b/>
        <w:bCs/>
        <w:sz w:val="16"/>
        <w:szCs w:val="16"/>
      </w:rPr>
      <w:fldChar w:fldCharType="end"/>
    </w:r>
    <w:r w:rsidRPr="000D2015">
      <w:rPr>
        <w:sz w:val="16"/>
        <w:szCs w:val="16"/>
      </w:rPr>
      <w:t xml:space="preserve"> z </w:t>
    </w:r>
    <w:r w:rsidRPr="000D2015">
      <w:rPr>
        <w:b/>
        <w:bCs/>
        <w:sz w:val="16"/>
        <w:szCs w:val="16"/>
      </w:rPr>
      <w:fldChar w:fldCharType="begin"/>
    </w:r>
    <w:r w:rsidRPr="000D2015">
      <w:rPr>
        <w:b/>
        <w:bCs/>
        <w:sz w:val="16"/>
        <w:szCs w:val="16"/>
      </w:rPr>
      <w:instrText>NUMPAGES</w:instrText>
    </w:r>
    <w:r w:rsidRPr="000D2015">
      <w:rPr>
        <w:b/>
        <w:bCs/>
        <w:sz w:val="16"/>
        <w:szCs w:val="16"/>
      </w:rPr>
      <w:fldChar w:fldCharType="separate"/>
    </w:r>
    <w:r>
      <w:rPr>
        <w:b/>
        <w:bCs/>
        <w:noProof/>
        <w:sz w:val="16"/>
        <w:szCs w:val="16"/>
      </w:rPr>
      <w:t>5</w:t>
    </w:r>
    <w:r w:rsidRPr="000D2015">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2E794" w14:textId="77777777" w:rsidR="001E7671" w:rsidRPr="000D2015" w:rsidRDefault="00BF76EA" w:rsidP="00676EE3">
    <w:pPr>
      <w:pStyle w:val="Zpat"/>
      <w:rPr>
        <w:sz w:val="16"/>
        <w:szCs w:val="16"/>
      </w:rPr>
    </w:pPr>
    <w:r w:rsidRPr="000D2015">
      <w:rPr>
        <w:sz w:val="16"/>
        <w:szCs w:val="16"/>
      </w:rPr>
      <w:t>FORM-QS-04/KS1/02.14</w:t>
    </w:r>
    <w:r>
      <w:rPr>
        <w:sz w:val="16"/>
        <w:szCs w:val="16"/>
      </w:rPr>
      <w:tab/>
    </w:r>
    <w:r>
      <w:rPr>
        <w:sz w:val="16"/>
        <w:szCs w:val="16"/>
      </w:rPr>
      <w:tab/>
    </w:r>
    <w:r w:rsidRPr="000D2015">
      <w:rPr>
        <w:sz w:val="16"/>
        <w:szCs w:val="16"/>
      </w:rPr>
      <w:t xml:space="preserve">Stránka </w:t>
    </w:r>
    <w:r w:rsidRPr="000D2015">
      <w:rPr>
        <w:b/>
        <w:bCs/>
        <w:sz w:val="16"/>
        <w:szCs w:val="16"/>
      </w:rPr>
      <w:fldChar w:fldCharType="begin"/>
    </w:r>
    <w:r w:rsidRPr="000D2015">
      <w:rPr>
        <w:b/>
        <w:bCs/>
        <w:sz w:val="16"/>
        <w:szCs w:val="16"/>
      </w:rPr>
      <w:instrText>PAGE</w:instrText>
    </w:r>
    <w:r w:rsidRPr="000D2015">
      <w:rPr>
        <w:b/>
        <w:bCs/>
        <w:sz w:val="16"/>
        <w:szCs w:val="16"/>
      </w:rPr>
      <w:fldChar w:fldCharType="separate"/>
    </w:r>
    <w:r>
      <w:rPr>
        <w:b/>
        <w:bCs/>
        <w:noProof/>
        <w:sz w:val="16"/>
        <w:szCs w:val="16"/>
      </w:rPr>
      <w:t>1</w:t>
    </w:r>
    <w:r w:rsidRPr="000D2015">
      <w:rPr>
        <w:b/>
        <w:bCs/>
        <w:sz w:val="16"/>
        <w:szCs w:val="16"/>
      </w:rPr>
      <w:fldChar w:fldCharType="end"/>
    </w:r>
    <w:r w:rsidRPr="000D2015">
      <w:rPr>
        <w:sz w:val="16"/>
        <w:szCs w:val="16"/>
      </w:rPr>
      <w:t xml:space="preserve"> z </w:t>
    </w:r>
    <w:r w:rsidRPr="000D2015">
      <w:rPr>
        <w:b/>
        <w:bCs/>
        <w:sz w:val="16"/>
        <w:szCs w:val="16"/>
      </w:rPr>
      <w:fldChar w:fldCharType="begin"/>
    </w:r>
    <w:r w:rsidRPr="000D2015">
      <w:rPr>
        <w:b/>
        <w:bCs/>
        <w:sz w:val="16"/>
        <w:szCs w:val="16"/>
      </w:rPr>
      <w:instrText>NUMPAGES</w:instrText>
    </w:r>
    <w:r w:rsidRPr="000D2015">
      <w:rPr>
        <w:b/>
        <w:bCs/>
        <w:sz w:val="16"/>
        <w:szCs w:val="16"/>
      </w:rPr>
      <w:fldChar w:fldCharType="separate"/>
    </w:r>
    <w:r>
      <w:rPr>
        <w:b/>
        <w:bCs/>
        <w:noProof/>
        <w:sz w:val="16"/>
        <w:szCs w:val="16"/>
      </w:rPr>
      <w:t>4</w:t>
    </w:r>
    <w:r w:rsidRPr="000D2015">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18B5D" w14:textId="77777777" w:rsidR="003B7066" w:rsidRDefault="003B7066">
      <w:r>
        <w:separator/>
      </w:r>
    </w:p>
  </w:footnote>
  <w:footnote w:type="continuationSeparator" w:id="0">
    <w:p w14:paraId="0C5E7B8F" w14:textId="77777777" w:rsidR="003B7066" w:rsidRDefault="003B7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24"/>
    <w:rsid w:val="00082912"/>
    <w:rsid w:val="001758D6"/>
    <w:rsid w:val="001855F8"/>
    <w:rsid w:val="001A470C"/>
    <w:rsid w:val="001E7671"/>
    <w:rsid w:val="0038467E"/>
    <w:rsid w:val="003B7066"/>
    <w:rsid w:val="0041631C"/>
    <w:rsid w:val="00476F03"/>
    <w:rsid w:val="0048058C"/>
    <w:rsid w:val="00707EFB"/>
    <w:rsid w:val="00987E93"/>
    <w:rsid w:val="00A6064D"/>
    <w:rsid w:val="00A827C9"/>
    <w:rsid w:val="00A83D9F"/>
    <w:rsid w:val="00A94399"/>
    <w:rsid w:val="00B51724"/>
    <w:rsid w:val="00BD4A95"/>
    <w:rsid w:val="00BF76EA"/>
    <w:rsid w:val="00C95081"/>
    <w:rsid w:val="00CF37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4844"/>
  <w15:chartTrackingRefBased/>
  <w15:docId w15:val="{B3CD2EFA-B842-4FAA-968A-2F2787B9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1724"/>
    <w:pPr>
      <w:spacing w:after="0" w:line="240" w:lineRule="auto"/>
    </w:pPr>
    <w:rPr>
      <w:rFonts w:ascii="Times New Roman" w:eastAsia="Times New Roman" w:hAnsi="Times New Roman" w:cs="Times New Roman"/>
      <w:kern w:val="0"/>
      <w:szCs w:val="20"/>
      <w:lang w:val="cs-CZ" w:eastAsia="cs-CZ"/>
      <w14:ligatures w14:val="none"/>
    </w:rPr>
  </w:style>
  <w:style w:type="paragraph" w:styleId="Nadpis1">
    <w:name w:val="heading 1"/>
    <w:basedOn w:val="Normln"/>
    <w:next w:val="Normln"/>
    <w:link w:val="Nadpis1Char"/>
    <w:uiPriority w:val="9"/>
    <w:qFormat/>
    <w:rsid w:val="00B5172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sk-SK" w:eastAsia="en-US"/>
      <w14:ligatures w14:val="standardContextual"/>
    </w:rPr>
  </w:style>
  <w:style w:type="paragraph" w:styleId="Nadpis2">
    <w:name w:val="heading 2"/>
    <w:basedOn w:val="Normln"/>
    <w:next w:val="Normln"/>
    <w:link w:val="Nadpis2Char"/>
    <w:uiPriority w:val="9"/>
    <w:semiHidden/>
    <w:unhideWhenUsed/>
    <w:qFormat/>
    <w:rsid w:val="00B5172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sk-SK" w:eastAsia="en-US"/>
      <w14:ligatures w14:val="standardContextual"/>
    </w:rPr>
  </w:style>
  <w:style w:type="paragraph" w:styleId="Nadpis3">
    <w:name w:val="heading 3"/>
    <w:basedOn w:val="Normln"/>
    <w:next w:val="Normln"/>
    <w:link w:val="Nadpis3Char"/>
    <w:uiPriority w:val="9"/>
    <w:semiHidden/>
    <w:unhideWhenUsed/>
    <w:qFormat/>
    <w:rsid w:val="00B5172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sk-SK" w:eastAsia="en-US"/>
      <w14:ligatures w14:val="standardContextual"/>
    </w:rPr>
  </w:style>
  <w:style w:type="paragraph" w:styleId="Nadpis4">
    <w:name w:val="heading 4"/>
    <w:basedOn w:val="Normln"/>
    <w:next w:val="Normln"/>
    <w:link w:val="Nadpis4Char"/>
    <w:uiPriority w:val="9"/>
    <w:semiHidden/>
    <w:unhideWhenUsed/>
    <w:qFormat/>
    <w:rsid w:val="00B51724"/>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lang w:val="sk-SK" w:eastAsia="en-US"/>
      <w14:ligatures w14:val="standardContextual"/>
    </w:rPr>
  </w:style>
  <w:style w:type="paragraph" w:styleId="Nadpis5">
    <w:name w:val="heading 5"/>
    <w:basedOn w:val="Normln"/>
    <w:next w:val="Normln"/>
    <w:link w:val="Nadpis5Char"/>
    <w:uiPriority w:val="9"/>
    <w:semiHidden/>
    <w:unhideWhenUsed/>
    <w:qFormat/>
    <w:rsid w:val="00B51724"/>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lang w:val="sk-SK" w:eastAsia="en-US"/>
      <w14:ligatures w14:val="standardContextual"/>
    </w:rPr>
  </w:style>
  <w:style w:type="paragraph" w:styleId="Nadpis6">
    <w:name w:val="heading 6"/>
    <w:basedOn w:val="Normln"/>
    <w:next w:val="Normln"/>
    <w:link w:val="Nadpis6Char"/>
    <w:uiPriority w:val="9"/>
    <w:semiHidden/>
    <w:unhideWhenUsed/>
    <w:qFormat/>
    <w:rsid w:val="00B51724"/>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val="sk-SK" w:eastAsia="en-US"/>
      <w14:ligatures w14:val="standardContextual"/>
    </w:rPr>
  </w:style>
  <w:style w:type="paragraph" w:styleId="Nadpis7">
    <w:name w:val="heading 7"/>
    <w:basedOn w:val="Normln"/>
    <w:next w:val="Normln"/>
    <w:link w:val="Nadpis7Char"/>
    <w:uiPriority w:val="9"/>
    <w:semiHidden/>
    <w:unhideWhenUsed/>
    <w:qFormat/>
    <w:rsid w:val="00B51724"/>
    <w:pPr>
      <w:keepNext/>
      <w:keepLines/>
      <w:spacing w:before="40" w:line="259" w:lineRule="auto"/>
      <w:outlineLvl w:val="6"/>
    </w:pPr>
    <w:rPr>
      <w:rFonts w:asciiTheme="minorHAnsi" w:eastAsiaTheme="majorEastAsia" w:hAnsiTheme="minorHAnsi" w:cstheme="majorBidi"/>
      <w:color w:val="595959" w:themeColor="text1" w:themeTint="A6"/>
      <w:kern w:val="2"/>
      <w:szCs w:val="22"/>
      <w:lang w:val="sk-SK" w:eastAsia="en-US"/>
      <w14:ligatures w14:val="standardContextual"/>
    </w:rPr>
  </w:style>
  <w:style w:type="paragraph" w:styleId="Nadpis8">
    <w:name w:val="heading 8"/>
    <w:basedOn w:val="Normln"/>
    <w:next w:val="Normln"/>
    <w:link w:val="Nadpis8Char"/>
    <w:uiPriority w:val="9"/>
    <w:semiHidden/>
    <w:unhideWhenUsed/>
    <w:qFormat/>
    <w:rsid w:val="00B51724"/>
    <w:pPr>
      <w:keepNext/>
      <w:keepLines/>
      <w:spacing w:line="259" w:lineRule="auto"/>
      <w:outlineLvl w:val="7"/>
    </w:pPr>
    <w:rPr>
      <w:rFonts w:asciiTheme="minorHAnsi" w:eastAsiaTheme="majorEastAsia" w:hAnsiTheme="minorHAnsi" w:cstheme="majorBidi"/>
      <w:i/>
      <w:iCs/>
      <w:color w:val="272727" w:themeColor="text1" w:themeTint="D8"/>
      <w:kern w:val="2"/>
      <w:szCs w:val="22"/>
      <w:lang w:val="sk-SK" w:eastAsia="en-US"/>
      <w14:ligatures w14:val="standardContextual"/>
    </w:rPr>
  </w:style>
  <w:style w:type="paragraph" w:styleId="Nadpis9">
    <w:name w:val="heading 9"/>
    <w:basedOn w:val="Normln"/>
    <w:next w:val="Normln"/>
    <w:link w:val="Nadpis9Char"/>
    <w:uiPriority w:val="9"/>
    <w:semiHidden/>
    <w:unhideWhenUsed/>
    <w:qFormat/>
    <w:rsid w:val="00B51724"/>
    <w:pPr>
      <w:keepNext/>
      <w:keepLines/>
      <w:spacing w:line="259" w:lineRule="auto"/>
      <w:outlineLvl w:val="8"/>
    </w:pPr>
    <w:rPr>
      <w:rFonts w:asciiTheme="minorHAnsi" w:eastAsiaTheme="majorEastAsia" w:hAnsiTheme="minorHAnsi" w:cstheme="majorBidi"/>
      <w:color w:val="272727" w:themeColor="text1" w:themeTint="D8"/>
      <w:kern w:val="2"/>
      <w:szCs w:val="22"/>
      <w:lang w:val="sk-SK"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5172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5172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5172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5172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5172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5172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5172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5172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51724"/>
    <w:rPr>
      <w:rFonts w:eastAsiaTheme="majorEastAsia" w:cstheme="majorBidi"/>
      <w:color w:val="272727" w:themeColor="text1" w:themeTint="D8"/>
    </w:rPr>
  </w:style>
  <w:style w:type="paragraph" w:styleId="Nzev">
    <w:name w:val="Title"/>
    <w:basedOn w:val="Normln"/>
    <w:next w:val="Normln"/>
    <w:link w:val="NzevChar"/>
    <w:uiPriority w:val="10"/>
    <w:qFormat/>
    <w:rsid w:val="00B51724"/>
    <w:pPr>
      <w:spacing w:after="80"/>
      <w:contextualSpacing/>
    </w:pPr>
    <w:rPr>
      <w:rFonts w:asciiTheme="majorHAnsi" w:eastAsiaTheme="majorEastAsia" w:hAnsiTheme="majorHAnsi" w:cstheme="majorBidi"/>
      <w:spacing w:val="-10"/>
      <w:kern w:val="28"/>
      <w:sz w:val="56"/>
      <w:szCs w:val="56"/>
      <w:lang w:val="sk-SK" w:eastAsia="en-US"/>
      <w14:ligatures w14:val="standardContextual"/>
    </w:rPr>
  </w:style>
  <w:style w:type="character" w:customStyle="1" w:styleId="NzevChar">
    <w:name w:val="Název Char"/>
    <w:basedOn w:val="Standardnpsmoodstavce"/>
    <w:link w:val="Nzev"/>
    <w:uiPriority w:val="10"/>
    <w:rsid w:val="00B5172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5172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sk-SK" w:eastAsia="en-US"/>
      <w14:ligatures w14:val="standardContextual"/>
    </w:rPr>
  </w:style>
  <w:style w:type="character" w:customStyle="1" w:styleId="PodnadpisChar">
    <w:name w:val="Podnadpis Char"/>
    <w:basedOn w:val="Standardnpsmoodstavce"/>
    <w:link w:val="Podnadpis"/>
    <w:uiPriority w:val="11"/>
    <w:rsid w:val="00B5172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51724"/>
    <w:pPr>
      <w:spacing w:before="160" w:after="160" w:line="259" w:lineRule="auto"/>
      <w:jc w:val="center"/>
    </w:pPr>
    <w:rPr>
      <w:rFonts w:asciiTheme="minorHAnsi" w:eastAsiaTheme="minorHAnsi" w:hAnsiTheme="minorHAnsi" w:cstheme="minorBidi"/>
      <w:i/>
      <w:iCs/>
      <w:color w:val="404040" w:themeColor="text1" w:themeTint="BF"/>
      <w:kern w:val="2"/>
      <w:szCs w:val="22"/>
      <w:lang w:val="sk-SK" w:eastAsia="en-US"/>
      <w14:ligatures w14:val="standardContextual"/>
    </w:rPr>
  </w:style>
  <w:style w:type="character" w:customStyle="1" w:styleId="CittChar">
    <w:name w:val="Citát Char"/>
    <w:basedOn w:val="Standardnpsmoodstavce"/>
    <w:link w:val="Citt"/>
    <w:uiPriority w:val="29"/>
    <w:rsid w:val="00B51724"/>
    <w:rPr>
      <w:i/>
      <w:iCs/>
      <w:color w:val="404040" w:themeColor="text1" w:themeTint="BF"/>
    </w:rPr>
  </w:style>
  <w:style w:type="paragraph" w:styleId="Odstavecseseznamem">
    <w:name w:val="List Paragraph"/>
    <w:basedOn w:val="Normln"/>
    <w:uiPriority w:val="34"/>
    <w:qFormat/>
    <w:rsid w:val="00B51724"/>
    <w:pPr>
      <w:spacing w:after="160" w:line="259" w:lineRule="auto"/>
      <w:ind w:left="720"/>
      <w:contextualSpacing/>
    </w:pPr>
    <w:rPr>
      <w:rFonts w:asciiTheme="minorHAnsi" w:eastAsiaTheme="minorHAnsi" w:hAnsiTheme="minorHAnsi" w:cstheme="minorBidi"/>
      <w:kern w:val="2"/>
      <w:szCs w:val="22"/>
      <w:lang w:val="sk-SK" w:eastAsia="en-US"/>
      <w14:ligatures w14:val="standardContextual"/>
    </w:rPr>
  </w:style>
  <w:style w:type="character" w:styleId="Zdraznnintenzivn">
    <w:name w:val="Intense Emphasis"/>
    <w:basedOn w:val="Standardnpsmoodstavce"/>
    <w:uiPriority w:val="21"/>
    <w:qFormat/>
    <w:rsid w:val="00B51724"/>
    <w:rPr>
      <w:i/>
      <w:iCs/>
      <w:color w:val="0F4761" w:themeColor="accent1" w:themeShade="BF"/>
    </w:rPr>
  </w:style>
  <w:style w:type="paragraph" w:styleId="Vrazncitt">
    <w:name w:val="Intense Quote"/>
    <w:basedOn w:val="Normln"/>
    <w:next w:val="Normln"/>
    <w:link w:val="VrazncittChar"/>
    <w:uiPriority w:val="30"/>
    <w:qFormat/>
    <w:rsid w:val="00B5172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val="sk-SK" w:eastAsia="en-US"/>
      <w14:ligatures w14:val="standardContextual"/>
    </w:rPr>
  </w:style>
  <w:style w:type="character" w:customStyle="1" w:styleId="VrazncittChar">
    <w:name w:val="Výrazný citát Char"/>
    <w:basedOn w:val="Standardnpsmoodstavce"/>
    <w:link w:val="Vrazncitt"/>
    <w:uiPriority w:val="30"/>
    <w:rsid w:val="00B51724"/>
    <w:rPr>
      <w:i/>
      <w:iCs/>
      <w:color w:val="0F4761" w:themeColor="accent1" w:themeShade="BF"/>
    </w:rPr>
  </w:style>
  <w:style w:type="character" w:styleId="Odkazintenzivn">
    <w:name w:val="Intense Reference"/>
    <w:basedOn w:val="Standardnpsmoodstavce"/>
    <w:uiPriority w:val="32"/>
    <w:qFormat/>
    <w:rsid w:val="00B51724"/>
    <w:rPr>
      <w:b/>
      <w:bCs/>
      <w:smallCaps/>
      <w:color w:val="0F4761" w:themeColor="accent1" w:themeShade="BF"/>
      <w:spacing w:val="5"/>
    </w:rPr>
  </w:style>
  <w:style w:type="paragraph" w:styleId="Zpat">
    <w:name w:val="footer"/>
    <w:basedOn w:val="Normln"/>
    <w:link w:val="ZpatChar"/>
    <w:uiPriority w:val="99"/>
    <w:rsid w:val="00B51724"/>
    <w:pPr>
      <w:tabs>
        <w:tab w:val="center" w:pos="4819"/>
        <w:tab w:val="right" w:pos="9071"/>
      </w:tabs>
    </w:pPr>
  </w:style>
  <w:style w:type="character" w:customStyle="1" w:styleId="ZpatChar">
    <w:name w:val="Zápatí Char"/>
    <w:basedOn w:val="Standardnpsmoodstavce"/>
    <w:link w:val="Zpat"/>
    <w:uiPriority w:val="99"/>
    <w:rsid w:val="00B51724"/>
    <w:rPr>
      <w:rFonts w:ascii="Times New Roman" w:eastAsia="Times New Roman" w:hAnsi="Times New Roman" w:cs="Times New Roman"/>
      <w:kern w:val="0"/>
      <w:szCs w:val="20"/>
      <w:lang w:val="cs-CZ" w:eastAsia="cs-CZ"/>
      <w14:ligatures w14:val="none"/>
    </w:rPr>
  </w:style>
  <w:style w:type="table" w:styleId="Mkatabulky">
    <w:name w:val="Table Grid"/>
    <w:basedOn w:val="Normlntabulka"/>
    <w:uiPriority w:val="39"/>
    <w:rsid w:val="00B51724"/>
    <w:pPr>
      <w:spacing w:after="0" w:line="240" w:lineRule="auto"/>
    </w:pPr>
    <w:rPr>
      <w:kern w:val="0"/>
      <w:lang w:val="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51724"/>
    <w:rPr>
      <w:color w:val="467886" w:themeColor="hyperlink"/>
      <w:u w:val="single"/>
    </w:rPr>
  </w:style>
  <w:style w:type="character" w:styleId="Nevyeenzmnka">
    <w:name w:val="Unresolved Mention"/>
    <w:basedOn w:val="Standardnpsmoodstavce"/>
    <w:uiPriority w:val="99"/>
    <w:semiHidden/>
    <w:unhideWhenUsed/>
    <w:rsid w:val="00C95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14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1629</Words>
  <Characters>9617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Vítovjáková</dc:creator>
  <cp:keywords/>
  <dc:description/>
  <cp:lastModifiedBy>Ivana Hrubá</cp:lastModifiedBy>
  <cp:revision>3</cp:revision>
  <cp:lastPrinted>2024-10-18T11:36:00Z</cp:lastPrinted>
  <dcterms:created xsi:type="dcterms:W3CDTF">2024-10-23T08:16:00Z</dcterms:created>
  <dcterms:modified xsi:type="dcterms:W3CDTF">2024-10-23T08:22:00Z</dcterms:modified>
</cp:coreProperties>
</file>