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7AE3" w14:textId="65C09080" w:rsidR="0068143D" w:rsidRDefault="00940AEE">
      <w:pPr>
        <w:tabs>
          <w:tab w:val="center" w:pos="1680"/>
        </w:tabs>
        <w:spacing w:after="131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6CEFB95" wp14:editId="2D439D76">
            <wp:simplePos x="0" y="0"/>
            <wp:positionH relativeFrom="column">
              <wp:posOffset>24386</wp:posOffset>
            </wp:positionH>
            <wp:positionV relativeFrom="paragraph">
              <wp:posOffset>206809</wp:posOffset>
            </wp:positionV>
            <wp:extent cx="1524103" cy="609658"/>
            <wp:effectExtent l="0" t="0" r="0" b="0"/>
            <wp:wrapSquare wrapText="bothSides"/>
            <wp:docPr id="19969" name="Picture 19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" name="Picture 199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103" cy="609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64C6EE6" wp14:editId="0D4723BB">
            <wp:simplePos x="0" y="0"/>
            <wp:positionH relativeFrom="column">
              <wp:posOffset>33530</wp:posOffset>
            </wp:positionH>
            <wp:positionV relativeFrom="paragraph">
              <wp:posOffset>953640</wp:posOffset>
            </wp:positionV>
            <wp:extent cx="1414367" cy="313974"/>
            <wp:effectExtent l="0" t="0" r="0" b="0"/>
            <wp:wrapSquare wrapText="bothSides"/>
            <wp:docPr id="19971" name="Picture 19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" name="Picture 19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4367" cy="31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ab/>
      </w:r>
    </w:p>
    <w:p w14:paraId="370BC0A8" w14:textId="77777777" w:rsidR="0033546A" w:rsidRDefault="0033546A" w:rsidP="009C232F">
      <w:pPr>
        <w:ind w:left="2832" w:right="23" w:firstLine="0"/>
        <w:rPr>
          <w:b/>
          <w:bCs/>
        </w:rPr>
      </w:pPr>
    </w:p>
    <w:p w14:paraId="3F190A80" w14:textId="77777777" w:rsidR="0033546A" w:rsidRDefault="0033546A" w:rsidP="009C232F">
      <w:pPr>
        <w:ind w:left="2832" w:right="23" w:firstLine="0"/>
        <w:rPr>
          <w:b/>
          <w:bCs/>
        </w:rPr>
      </w:pPr>
    </w:p>
    <w:p w14:paraId="42F76863" w14:textId="3EB493DC" w:rsidR="0068143D" w:rsidRPr="00752B62" w:rsidRDefault="00940AEE" w:rsidP="009C232F">
      <w:pPr>
        <w:ind w:left="2832" w:right="23" w:firstLine="0"/>
        <w:rPr>
          <w:b/>
          <w:bCs/>
        </w:rPr>
      </w:pPr>
      <w:r w:rsidRPr="00752B62">
        <w:rPr>
          <w:b/>
          <w:bCs/>
        </w:rPr>
        <w:t>SMLOUVA O PROVEDENÍ A</w:t>
      </w:r>
      <w:r w:rsidR="009C232F" w:rsidRPr="00752B62">
        <w:rPr>
          <w:b/>
          <w:bCs/>
        </w:rPr>
        <w:t xml:space="preserve"> </w:t>
      </w:r>
      <w:r w:rsidRPr="00752B62">
        <w:rPr>
          <w:b/>
          <w:bCs/>
        </w:rPr>
        <w:t>UŽITÍ</w:t>
      </w:r>
      <w:r w:rsidR="009C232F" w:rsidRPr="00752B62">
        <w:rPr>
          <w:b/>
          <w:bCs/>
        </w:rPr>
        <w:t xml:space="preserve"> </w:t>
      </w:r>
      <w:r w:rsidRPr="00752B62">
        <w:rPr>
          <w:b/>
          <w:bCs/>
        </w:rPr>
        <w:t xml:space="preserve">UMĚLECKÉHO </w:t>
      </w:r>
      <w:r w:rsidR="009C232F" w:rsidRPr="00752B62">
        <w:rPr>
          <w:b/>
          <w:bCs/>
        </w:rPr>
        <w:t>V</w:t>
      </w:r>
      <w:r w:rsidRPr="00752B62">
        <w:rPr>
          <w:b/>
          <w:bCs/>
        </w:rPr>
        <w:t>ÝKONU</w:t>
      </w:r>
    </w:p>
    <w:p w14:paraId="286C6A8B" w14:textId="77777777" w:rsidR="0068143D" w:rsidRPr="00752B62" w:rsidRDefault="00940AEE">
      <w:pPr>
        <w:spacing w:after="293" w:line="259" w:lineRule="auto"/>
        <w:ind w:left="485" w:right="2453" w:firstLine="0"/>
        <w:jc w:val="center"/>
        <w:rPr>
          <w:b/>
          <w:bCs/>
        </w:rPr>
      </w:pPr>
      <w:r w:rsidRPr="00752B62">
        <w:rPr>
          <w:b/>
          <w:bCs/>
        </w:rPr>
        <w:t>č. 102/2024/03</w:t>
      </w:r>
    </w:p>
    <w:p w14:paraId="62402266" w14:textId="4BB20E79" w:rsidR="0068143D" w:rsidRDefault="00940AEE">
      <w:pPr>
        <w:spacing w:after="0" w:line="259" w:lineRule="auto"/>
        <w:ind w:left="984" w:right="2453" w:firstLine="0"/>
        <w:jc w:val="left"/>
        <w:rPr>
          <w:b/>
          <w:bCs/>
          <w:sz w:val="30"/>
        </w:rPr>
      </w:pPr>
      <w:r w:rsidRPr="009C232F">
        <w:rPr>
          <w:b/>
          <w:bCs/>
          <w:sz w:val="30"/>
        </w:rPr>
        <w:t xml:space="preserve">V. S. O. P., </w:t>
      </w:r>
      <w:proofErr w:type="spellStart"/>
      <w:r w:rsidRPr="009C232F">
        <w:rPr>
          <w:b/>
          <w:bCs/>
          <w:sz w:val="30"/>
        </w:rPr>
        <w:t>production</w:t>
      </w:r>
      <w:proofErr w:type="spellEnd"/>
      <w:r w:rsidRPr="009C232F">
        <w:rPr>
          <w:b/>
          <w:bCs/>
          <w:sz w:val="30"/>
        </w:rPr>
        <w:t xml:space="preserve"> s.r.o</w:t>
      </w:r>
    </w:p>
    <w:p w14:paraId="08E20AC2" w14:textId="77777777" w:rsidR="006D0462" w:rsidRPr="009C232F" w:rsidRDefault="006D0462">
      <w:pPr>
        <w:spacing w:after="0" w:line="259" w:lineRule="auto"/>
        <w:ind w:left="984" w:right="2453" w:firstLine="0"/>
        <w:jc w:val="left"/>
        <w:rPr>
          <w:b/>
          <w:bCs/>
        </w:rPr>
      </w:pPr>
    </w:p>
    <w:p w14:paraId="4892D7D3" w14:textId="3856F272" w:rsidR="00752B62" w:rsidRDefault="00940AEE">
      <w:pPr>
        <w:spacing w:after="274" w:line="241" w:lineRule="auto"/>
        <w:ind w:left="979" w:right="365" w:firstLine="5"/>
        <w:jc w:val="left"/>
      </w:pPr>
      <w:r>
        <w:t xml:space="preserve">se sídlem Jesenice </w:t>
      </w:r>
      <w:proofErr w:type="spellStart"/>
      <w:r>
        <w:t>Zdiměřice</w:t>
      </w:r>
      <w:proofErr w:type="spellEnd"/>
      <w:r>
        <w:t xml:space="preserve">, Sýkorová 322, okres Praha-západ, </w:t>
      </w:r>
      <w:r w:rsidR="00B91A92">
        <w:t>P</w:t>
      </w:r>
      <w:r>
        <w:t>SČ 252 42</w:t>
      </w:r>
    </w:p>
    <w:p w14:paraId="672C115E" w14:textId="77777777" w:rsidR="00161FD5" w:rsidRDefault="00940AEE">
      <w:pPr>
        <w:spacing w:after="274" w:line="241" w:lineRule="auto"/>
        <w:ind w:left="979" w:right="365" w:firstLine="5"/>
        <w:jc w:val="left"/>
      </w:pPr>
      <w:r>
        <w:t xml:space="preserve"> IČO: 25623303 </w:t>
      </w:r>
    </w:p>
    <w:p w14:paraId="2244B409" w14:textId="4E473868" w:rsidR="00752B62" w:rsidRDefault="00940AEE">
      <w:pPr>
        <w:spacing w:after="274" w:line="241" w:lineRule="auto"/>
        <w:ind w:left="979" w:right="365" w:firstLine="5"/>
        <w:jc w:val="left"/>
      </w:pPr>
      <w:r>
        <w:t xml:space="preserve">DIČ: CZ25623303 zapsaná v obchodním rejstříku vedeného Městským soudem v Pra </w:t>
      </w:r>
      <w:r w:rsidR="00E9714D">
        <w:t>z</w:t>
      </w:r>
      <w:r>
        <w:t xml:space="preserve">e oddíl C, vložka 55684 jednající jednatelkou </w:t>
      </w:r>
    </w:p>
    <w:p w14:paraId="51747CF8" w14:textId="596A48C4" w:rsidR="0068143D" w:rsidRDefault="00940AEE">
      <w:pPr>
        <w:spacing w:after="274" w:line="241" w:lineRule="auto"/>
        <w:ind w:left="979" w:right="365" w:firstLine="5"/>
        <w:jc w:val="left"/>
      </w:pPr>
      <w:r>
        <w:t>paní (dále jen „agentura”)</w:t>
      </w:r>
    </w:p>
    <w:p w14:paraId="7CEB0EBB" w14:textId="77777777" w:rsidR="0068143D" w:rsidRDefault="00940AEE">
      <w:pPr>
        <w:spacing w:after="0" w:line="259" w:lineRule="auto"/>
        <w:ind w:left="994" w:right="2568" w:firstLine="0"/>
        <w:jc w:val="left"/>
      </w:pPr>
      <w:r>
        <w:rPr>
          <w:sz w:val="26"/>
        </w:rPr>
        <w:t>a</w:t>
      </w:r>
    </w:p>
    <w:p w14:paraId="044217CC" w14:textId="77777777" w:rsidR="009C232F" w:rsidRDefault="00940AEE">
      <w:pPr>
        <w:spacing w:after="50"/>
        <w:ind w:left="1003" w:right="2568" w:firstLine="10"/>
      </w:pPr>
      <w:r w:rsidRPr="009C232F">
        <w:rPr>
          <w:b/>
          <w:bCs/>
        </w:rPr>
        <w:t>Muzeum středního Pootaví Strakonice</w:t>
      </w:r>
    </w:p>
    <w:p w14:paraId="60A11790" w14:textId="7697986A" w:rsidR="0068143D" w:rsidRDefault="00940AEE">
      <w:pPr>
        <w:spacing w:after="50"/>
        <w:ind w:left="1003" w:right="2568" w:firstLine="10"/>
      </w:pPr>
      <w:r>
        <w:t>se sídlem Zámek 1, 386 Ol Strakonice IČO: 00072150</w:t>
      </w:r>
    </w:p>
    <w:p w14:paraId="1F11E46E" w14:textId="77777777" w:rsidR="0068143D" w:rsidRDefault="00940AEE">
      <w:pPr>
        <w:spacing w:after="51"/>
        <w:ind w:left="1003" w:right="2568" w:firstLine="0"/>
      </w:pPr>
      <w:r>
        <w:t>DIČ: nejsme plátce DPH</w:t>
      </w:r>
    </w:p>
    <w:p w14:paraId="032993C6" w14:textId="5D767D5D" w:rsidR="00752B62" w:rsidRDefault="00940AEE">
      <w:pPr>
        <w:spacing w:after="684"/>
        <w:ind w:left="1013" w:right="2568" w:hanging="10"/>
      </w:pPr>
      <w:r>
        <w:t xml:space="preserve">Zastoupená : - ředitelka </w:t>
      </w:r>
    </w:p>
    <w:p w14:paraId="0C74FFC5" w14:textId="476EDD38" w:rsidR="0068143D" w:rsidRDefault="00940AEE">
      <w:pPr>
        <w:spacing w:after="684"/>
        <w:ind w:left="1013" w:right="2568" w:hanging="10"/>
      </w:pPr>
      <w:r>
        <w:t>číslo účtu: 930291/0100 (dále jen '{nabyvatel”)</w:t>
      </w:r>
    </w:p>
    <w:p w14:paraId="7F84D7B1" w14:textId="77777777" w:rsidR="0068143D" w:rsidRPr="000B6331" w:rsidRDefault="00940AEE">
      <w:pPr>
        <w:spacing w:after="0" w:line="259" w:lineRule="auto"/>
        <w:ind w:left="1109" w:right="2760" w:hanging="10"/>
        <w:jc w:val="center"/>
        <w:rPr>
          <w:b/>
          <w:bCs/>
        </w:rPr>
      </w:pPr>
      <w:r w:rsidRPr="000B6331">
        <w:rPr>
          <w:b/>
          <w:bCs/>
        </w:rPr>
        <w:t>Článek I.</w:t>
      </w:r>
    </w:p>
    <w:p w14:paraId="2653AB2C" w14:textId="77777777" w:rsidR="0068143D" w:rsidRPr="000B6331" w:rsidRDefault="00940AEE">
      <w:pPr>
        <w:spacing w:after="252" w:line="259" w:lineRule="auto"/>
        <w:ind w:left="1109" w:right="2727" w:hanging="10"/>
        <w:jc w:val="center"/>
        <w:rPr>
          <w:b/>
          <w:bCs/>
        </w:rPr>
      </w:pPr>
      <w:r w:rsidRPr="000B6331">
        <w:rPr>
          <w:b/>
          <w:bCs/>
        </w:rPr>
        <w:t>Předmět smlouvy</w:t>
      </w:r>
    </w:p>
    <w:p w14:paraId="72DA72D9" w14:textId="5951A396" w:rsidR="0068143D" w:rsidRDefault="00940AEE">
      <w:pPr>
        <w:spacing w:after="261"/>
        <w:ind w:left="1017" w:right="23" w:hanging="14"/>
      </w:pPr>
      <w:r>
        <w:t>Výkonný umělec touto smlouvou poskytuje nabyvateli opráv</w:t>
      </w:r>
      <w:r w:rsidR="00752B62">
        <w:t>n</w:t>
      </w:r>
      <w:r>
        <w:t>ění k výkonu práva užít umělecký výkon, kterým je výkon výkonného umělce s</w:t>
      </w:r>
      <w:r w:rsidR="00766CD1">
        <w:t> </w:t>
      </w:r>
      <w:r>
        <w:t>doprovodn</w:t>
      </w:r>
      <w:r w:rsidR="000E6F77">
        <w:t>ým</w:t>
      </w:r>
      <w:r w:rsidR="00766CD1">
        <w:t xml:space="preserve"> </w:t>
      </w:r>
      <w:r>
        <w:t>kytaristou.</w:t>
      </w:r>
    </w:p>
    <w:p w14:paraId="25C4AA15" w14:textId="7A9FDBA6" w:rsidR="007D1422" w:rsidRDefault="00940AEE">
      <w:pPr>
        <w:spacing w:after="211"/>
        <w:ind w:left="1003" w:right="2573" w:firstLine="10"/>
      </w:pPr>
      <w:r>
        <w:t>název akce:</w:t>
      </w:r>
      <w:r w:rsidR="001466F5">
        <w:t xml:space="preserve">       </w:t>
      </w:r>
      <w:r>
        <w:t xml:space="preserve"> Adventní trhy pod Rumpálem</w:t>
      </w:r>
    </w:p>
    <w:p w14:paraId="78FCCC17" w14:textId="1EE5954F" w:rsidR="007D1422" w:rsidRDefault="00940AEE">
      <w:pPr>
        <w:spacing w:after="211"/>
        <w:ind w:left="1003" w:right="2573" w:firstLine="10"/>
      </w:pPr>
      <w:r>
        <w:t xml:space="preserve"> termín akce: </w:t>
      </w:r>
      <w:r w:rsidR="001466F5">
        <w:t xml:space="preserve">    </w:t>
      </w:r>
      <w:r>
        <w:t xml:space="preserve">7. 12. 2024 </w:t>
      </w:r>
    </w:p>
    <w:p w14:paraId="34344BBD" w14:textId="77777777" w:rsidR="007D1422" w:rsidRDefault="00940AEE">
      <w:pPr>
        <w:spacing w:after="211"/>
        <w:ind w:left="1003" w:right="2573" w:firstLine="10"/>
      </w:pPr>
      <w:r>
        <w:t xml:space="preserve">čas vystoupení: 18:00 </w:t>
      </w:r>
    </w:p>
    <w:p w14:paraId="4174F40E" w14:textId="152E81BF" w:rsidR="0068143D" w:rsidRDefault="00940AEE">
      <w:pPr>
        <w:spacing w:after="211"/>
        <w:ind w:left="1003" w:right="2573" w:firstLine="10"/>
      </w:pPr>
      <w:r>
        <w:t>místo konání akce: Il. nádvoří hradu (Zámek 1, 386 Ol Strakonice)</w:t>
      </w:r>
    </w:p>
    <w:p w14:paraId="3EC3956D" w14:textId="77777777" w:rsidR="0068143D" w:rsidRPr="000B6331" w:rsidRDefault="00940AEE">
      <w:pPr>
        <w:spacing w:after="0" w:line="259" w:lineRule="auto"/>
        <w:ind w:left="1109" w:right="2736" w:hanging="10"/>
        <w:jc w:val="center"/>
        <w:rPr>
          <w:b/>
          <w:bCs/>
        </w:rPr>
      </w:pPr>
      <w:r w:rsidRPr="000B6331">
        <w:rPr>
          <w:b/>
          <w:bCs/>
        </w:rPr>
        <w:t>Článek Il.</w:t>
      </w:r>
    </w:p>
    <w:p w14:paraId="7048565A" w14:textId="37ED5780" w:rsidR="0068143D" w:rsidRPr="00AE442E" w:rsidRDefault="00940AEE">
      <w:pPr>
        <w:ind w:left="2650" w:right="23" w:firstLine="0"/>
        <w:rPr>
          <w:b/>
          <w:bCs/>
        </w:rPr>
      </w:pPr>
      <w:r w:rsidRPr="00AE442E">
        <w:rPr>
          <w:b/>
          <w:bCs/>
        </w:rPr>
        <w:t>Odměna výkonného umělce a dalších výkonný</w:t>
      </w:r>
      <w:r w:rsidR="00AE442E">
        <w:rPr>
          <w:b/>
          <w:bCs/>
        </w:rPr>
        <w:t>c</w:t>
      </w:r>
      <w:r w:rsidRPr="00AE442E">
        <w:rPr>
          <w:b/>
          <w:bCs/>
        </w:rPr>
        <w:t>h umělců</w:t>
      </w:r>
    </w:p>
    <w:p w14:paraId="2225C025" w14:textId="4266B981" w:rsidR="0068143D" w:rsidRDefault="00940AEE">
      <w:pPr>
        <w:numPr>
          <w:ilvl w:val="0"/>
          <w:numId w:val="1"/>
        </w:numPr>
        <w:ind w:right="23" w:hanging="336"/>
      </w:pPr>
      <w:r>
        <w:t>Nabyvatel se tímto zavazuje zaplatit agentuře za vytvoření u</w:t>
      </w:r>
      <w:r w:rsidR="003B25B0">
        <w:t>měle</w:t>
      </w:r>
      <w:r>
        <w:t>ckého výkonu umělců — Václava NOIDA Bárty a doprovodného kytaristy a užití p</w:t>
      </w:r>
      <w:r w:rsidR="003B25B0">
        <w:t>rá</w:t>
      </w:r>
      <w:r>
        <w:t>v dle této smlouvy tuto odměnu:</w:t>
      </w:r>
    </w:p>
    <w:p w14:paraId="1D491240" w14:textId="3E7C0EF7" w:rsidR="0068143D" w:rsidRDefault="00940AEE">
      <w:pPr>
        <w:spacing w:after="0"/>
        <w:ind w:left="1685" w:right="23"/>
      </w:pPr>
      <w:r>
        <w:t>a) za vytvoření uměleckého výkonu dle článku l. této smlouv</w:t>
      </w:r>
      <w:r w:rsidR="004F2F8F">
        <w:t>y</w:t>
      </w:r>
      <w:r>
        <w:t xml:space="preserve"> částku 85 000,- Kč + DPH</w:t>
      </w:r>
      <w:r w:rsidR="004F2F8F">
        <w:t xml:space="preserve"> </w:t>
      </w:r>
      <w:r>
        <w:t xml:space="preserve">splatnou do 6. 12. 2024 na základě vystavené faktury. </w:t>
      </w:r>
    </w:p>
    <w:p w14:paraId="23A3EA2E" w14:textId="25B443C9" w:rsidR="0068143D" w:rsidRDefault="00940AEE" w:rsidP="004F2F8F">
      <w:pPr>
        <w:numPr>
          <w:ilvl w:val="0"/>
          <w:numId w:val="1"/>
        </w:numPr>
        <w:ind w:right="23" w:hanging="336"/>
      </w:pPr>
      <w:r>
        <w:lastRenderedPageBreak/>
        <w:t>Výše uvedená odměn</w:t>
      </w:r>
      <w:r w:rsidR="004F2F8F">
        <w:t>a</w:t>
      </w:r>
      <w:r>
        <w:t xml:space="preserve"> bude agentuře zaslána bankovním pře</w:t>
      </w:r>
      <w:r w:rsidR="004F2F8F">
        <w:t>v</w:t>
      </w:r>
      <w:r>
        <w:t>odem na účet</w:t>
      </w:r>
      <w:r w:rsidR="004F2F8F">
        <w:t xml:space="preserve">                          </w:t>
      </w:r>
      <w:r>
        <w:t>.</w:t>
      </w:r>
      <w:r>
        <w:tab/>
      </w:r>
    </w:p>
    <w:p w14:paraId="625BA280" w14:textId="64D0EF5F" w:rsidR="0068143D" w:rsidRPr="000B6331" w:rsidRDefault="00940AEE">
      <w:pPr>
        <w:spacing w:after="0" w:line="259" w:lineRule="auto"/>
        <w:ind w:left="1109" w:right="2703" w:hanging="10"/>
        <w:jc w:val="center"/>
        <w:rPr>
          <w:b/>
          <w:bCs/>
        </w:rPr>
      </w:pPr>
      <w:r w:rsidRPr="000B6331">
        <w:rPr>
          <w:b/>
          <w:bCs/>
        </w:rPr>
        <w:t>Článek III.</w:t>
      </w:r>
    </w:p>
    <w:p w14:paraId="707606C0" w14:textId="77777777" w:rsidR="0068143D" w:rsidRPr="000B6331" w:rsidRDefault="00940AEE">
      <w:pPr>
        <w:spacing w:after="254" w:line="259" w:lineRule="auto"/>
        <w:ind w:left="1109" w:right="2679" w:hanging="10"/>
        <w:jc w:val="center"/>
        <w:rPr>
          <w:b/>
          <w:bCs/>
        </w:rPr>
      </w:pPr>
      <w:r w:rsidRPr="000B6331">
        <w:rPr>
          <w:b/>
          <w:bCs/>
        </w:rPr>
        <w:t>Rozsah oprávnění nabyvatele</w:t>
      </w:r>
    </w:p>
    <w:p w14:paraId="7AEDF66C" w14:textId="45536D36" w:rsidR="0068143D" w:rsidRDefault="00940AEE">
      <w:pPr>
        <w:spacing w:after="0"/>
        <w:ind w:left="1008" w:right="23" w:hanging="5"/>
      </w:pPr>
      <w:r>
        <w:t>Agentura souhlasí s užitím vytvořeného uměl</w:t>
      </w:r>
      <w:r w:rsidR="0092713B">
        <w:t>e</w:t>
      </w:r>
      <w:r>
        <w:t>ckého výkonu, a to j</w:t>
      </w:r>
      <w:r w:rsidR="0092713B">
        <w:t>a</w:t>
      </w:r>
      <w:r>
        <w:t>ko celku, nebo v částech, či složkách a to zejména následujícími způsoby:</w:t>
      </w:r>
    </w:p>
    <w:p w14:paraId="1613850C" w14:textId="77777777" w:rsidR="0068143D" w:rsidRDefault="00940AEE">
      <w:pPr>
        <w:numPr>
          <w:ilvl w:val="0"/>
          <w:numId w:val="2"/>
        </w:numPr>
        <w:ind w:right="23" w:hanging="331"/>
      </w:pPr>
      <w:r>
        <w:t>veřejným provozováním,</w:t>
      </w:r>
    </w:p>
    <w:p w14:paraId="05E3E1EC" w14:textId="005805DA" w:rsidR="0068143D" w:rsidRDefault="00940AEE">
      <w:pPr>
        <w:numPr>
          <w:ilvl w:val="0"/>
          <w:numId w:val="2"/>
        </w:numPr>
        <w:spacing w:after="572"/>
        <w:ind w:right="23" w:hanging="331"/>
      </w:pPr>
      <w:r>
        <w:t xml:space="preserve">pořizováním fotografií pro potřeby nabyvatele a jeho </w:t>
      </w:r>
      <w:r w:rsidR="003E4143">
        <w:t>sp</w:t>
      </w:r>
      <w:r>
        <w:t>olupracovníků v rozsahu stanoveném touto smlouvou. Pro veřejné šíření je nab</w:t>
      </w:r>
      <w:r w:rsidR="003E4143">
        <w:t>ý</w:t>
      </w:r>
      <w:r>
        <w:t>vat I povinen získat souhlas producenta s výjimkou šíření fotografií z akce na facebookov</w:t>
      </w:r>
      <w:r w:rsidR="003E4143">
        <w:t>ý</w:t>
      </w:r>
      <w:r>
        <w:t>ch a firemních stránkách nabyvatele a jeho obchodních partnerů, kteří se zúčastní akce.</w:t>
      </w:r>
    </w:p>
    <w:p w14:paraId="125ED5EE" w14:textId="77777777" w:rsidR="0068143D" w:rsidRPr="000B6331" w:rsidRDefault="00940AEE">
      <w:pPr>
        <w:spacing w:after="0" w:line="259" w:lineRule="auto"/>
        <w:ind w:left="1109" w:right="2664" w:hanging="10"/>
        <w:jc w:val="center"/>
        <w:rPr>
          <w:b/>
          <w:bCs/>
        </w:rPr>
      </w:pPr>
      <w:r w:rsidRPr="000B6331">
        <w:rPr>
          <w:b/>
          <w:bCs/>
        </w:rPr>
        <w:t>Článek IV.</w:t>
      </w:r>
    </w:p>
    <w:p w14:paraId="5B41D1F8" w14:textId="77777777" w:rsidR="0068143D" w:rsidRPr="000B6331" w:rsidRDefault="00940AEE">
      <w:pPr>
        <w:spacing w:after="255" w:line="259" w:lineRule="auto"/>
        <w:ind w:left="1109" w:right="2635" w:hanging="10"/>
        <w:jc w:val="center"/>
        <w:rPr>
          <w:b/>
          <w:bCs/>
        </w:rPr>
      </w:pPr>
      <w:r w:rsidRPr="000B6331">
        <w:rPr>
          <w:b/>
          <w:bCs/>
        </w:rPr>
        <w:t>Další povinnosti nabyvatele</w:t>
      </w:r>
    </w:p>
    <w:p w14:paraId="0720EE04" w14:textId="4A64C5F8" w:rsidR="0068143D" w:rsidRDefault="00940AEE">
      <w:pPr>
        <w:numPr>
          <w:ilvl w:val="0"/>
          <w:numId w:val="3"/>
        </w:numPr>
        <w:spacing w:after="313"/>
        <w:ind w:right="23"/>
      </w:pPr>
      <w:r>
        <w:t>Nabyvatel je povinen zajistit pro realizaci uměleckého výkonu</w:t>
      </w:r>
      <w:r w:rsidR="00525356">
        <w:t xml:space="preserve"> vý</w:t>
      </w:r>
      <w:r>
        <w:t>konných umělců dle čl. l. této smlouvy odpovídající podmínky tak, jak je to možné na nabyvateli oprávněně požadovat vzhledem k technickému zázemí prostor prove</w:t>
      </w:r>
      <w:r w:rsidR="00525356">
        <w:t>d</w:t>
      </w:r>
      <w:r>
        <w:t>ení uměleckého výkonu. Nabyvatel je povinen zajistit organizaci akce, v rámci níž se bude provádět umělecký výkon, zejména zajistit příslušná povolení a přiměřenou pořad</w:t>
      </w:r>
      <w:r w:rsidR="00525356">
        <w:t>a</w:t>
      </w:r>
      <w:r>
        <w:t>telskou službu.</w:t>
      </w:r>
    </w:p>
    <w:p w14:paraId="1557B78B" w14:textId="6862B457" w:rsidR="0068143D" w:rsidRDefault="00940AEE">
      <w:pPr>
        <w:numPr>
          <w:ilvl w:val="0"/>
          <w:numId w:val="3"/>
        </w:numPr>
        <w:spacing w:after="334"/>
        <w:ind w:right="23"/>
      </w:pPr>
      <w:r>
        <w:t>Nabyvatel se zavazuje na vlastní náklady zajistit dodrže</w:t>
      </w:r>
      <w:r w:rsidR="00716243">
        <w:t>n</w:t>
      </w:r>
      <w:r>
        <w:t>í technických podmínek, uměleckého výkonu stanovené producentem a to:</w:t>
      </w:r>
    </w:p>
    <w:p w14:paraId="4C815485" w14:textId="174057C2" w:rsidR="00045D06" w:rsidRDefault="005F6214">
      <w:pPr>
        <w:spacing w:after="263"/>
        <w:ind w:left="1349" w:right="110" w:firstLine="0"/>
      </w:pPr>
      <w:r>
        <w:pict w14:anchorId="744F0A05">
          <v:shape id="Picture 3916" o:spid="_x0000_i1026" type="#_x0000_t75" style="width:3pt;height:1.5pt;visibility:visible;mso-wrap-style:square">
            <v:imagedata r:id="rId9" o:title=""/>
          </v:shape>
        </w:pict>
      </w:r>
      <w:r w:rsidR="00940AEE">
        <w:t xml:space="preserve"> jedná se o vystoupení s doprovodným kytaristou</w:t>
      </w:r>
    </w:p>
    <w:p w14:paraId="1860E2CC" w14:textId="77777777" w:rsidR="00045D06" w:rsidRDefault="00940AEE">
      <w:pPr>
        <w:spacing w:after="263"/>
        <w:ind w:left="1349" w:right="110" w:firstLine="0"/>
        <w:rPr>
          <w:noProof/>
        </w:rPr>
      </w:pPr>
      <w:r>
        <w:t xml:space="preserve"> </w:t>
      </w:r>
      <w:r>
        <w:rPr>
          <w:noProof/>
        </w:rPr>
        <w:drawing>
          <wp:inline distT="0" distB="0" distL="0" distR="0" wp14:anchorId="64419C18" wp14:editId="440E2201">
            <wp:extent cx="45723" cy="15242"/>
            <wp:effectExtent l="0" t="0" r="0" b="0"/>
            <wp:docPr id="3917" name="Picture 3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" name="Picture 39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kvalitní a profesionální ozvučení celé akce </w:t>
      </w:r>
    </w:p>
    <w:p w14:paraId="438FC884" w14:textId="77777777" w:rsidR="00045D06" w:rsidRDefault="00045D06">
      <w:pPr>
        <w:spacing w:after="263"/>
        <w:ind w:left="1349" w:right="110" w:firstLine="0"/>
      </w:pPr>
      <w:r>
        <w:rPr>
          <w:noProof/>
        </w:rPr>
        <w:t>-</w:t>
      </w:r>
      <w:r w:rsidR="00940AEE">
        <w:t xml:space="preserve"> možnost přehrát podklady na USB, bezdrátový mikrofon a </w:t>
      </w:r>
      <w:r w:rsidR="00940AEE">
        <w:rPr>
          <w:noProof/>
        </w:rPr>
        <w:drawing>
          <wp:inline distT="0" distB="0" distL="0" distR="0" wp14:anchorId="2DE6F5CC" wp14:editId="10705D4B">
            <wp:extent cx="42675" cy="18290"/>
            <wp:effectExtent l="0" t="0" r="0" b="0"/>
            <wp:docPr id="3919" name="Picture 3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" name="Picture 39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</w:t>
      </w:r>
    </w:p>
    <w:p w14:paraId="705EB71B" w14:textId="77777777" w:rsidR="00045D06" w:rsidRDefault="00045D06">
      <w:pPr>
        <w:spacing w:after="263"/>
        <w:ind w:left="1349" w:right="110" w:firstLine="0"/>
        <w:rPr>
          <w:noProof/>
        </w:rPr>
      </w:pPr>
      <w:r>
        <w:t>-</w:t>
      </w:r>
      <w:r w:rsidR="00940AEE">
        <w:t xml:space="preserve">2X di box s kabelem </w:t>
      </w:r>
      <w:proofErr w:type="spellStart"/>
      <w:r w:rsidR="00940AEE">
        <w:t>jack</w:t>
      </w:r>
      <w:proofErr w:type="spellEnd"/>
      <w:r w:rsidR="00940AEE">
        <w:t xml:space="preserve"> </w:t>
      </w:r>
      <w:proofErr w:type="spellStart"/>
      <w:r w:rsidR="00940AEE">
        <w:t>jack</w:t>
      </w:r>
      <w:proofErr w:type="spellEnd"/>
      <w:r w:rsidR="00940AEE">
        <w:t xml:space="preserve">, odposlech </w:t>
      </w:r>
    </w:p>
    <w:p w14:paraId="3E5FEE94" w14:textId="77777777" w:rsidR="00045D06" w:rsidRDefault="00045D06">
      <w:pPr>
        <w:spacing w:after="263"/>
        <w:ind w:left="1349" w:right="110" w:firstLine="0"/>
        <w:rPr>
          <w:noProof/>
        </w:rPr>
      </w:pPr>
      <w:r>
        <w:rPr>
          <w:noProof/>
        </w:rPr>
        <w:t>-</w:t>
      </w:r>
      <w:r w:rsidR="00940AEE">
        <w:t xml:space="preserve"> inteligentní zvukař </w:t>
      </w:r>
    </w:p>
    <w:p w14:paraId="23418848" w14:textId="6DDB1D5C" w:rsidR="009761C6" w:rsidRDefault="00045D06">
      <w:pPr>
        <w:spacing w:after="263"/>
        <w:ind w:left="1349" w:right="110" w:firstLine="0"/>
        <w:rPr>
          <w:noProof/>
        </w:rPr>
      </w:pPr>
      <w:r>
        <w:rPr>
          <w:noProof/>
        </w:rPr>
        <w:t xml:space="preserve">- </w:t>
      </w:r>
      <w:r w:rsidR="00940AEE">
        <w:t xml:space="preserve"> pokud se jedná o venkovní zimní akci, tak zateplené pódiu dle možností pořadatele </w:t>
      </w:r>
      <w:r w:rsidR="00940AEE">
        <w:rPr>
          <w:noProof/>
        </w:rPr>
        <w:drawing>
          <wp:inline distT="0" distB="0" distL="0" distR="0" wp14:anchorId="4A20A6AC" wp14:editId="61A6FB6F">
            <wp:extent cx="39627" cy="18290"/>
            <wp:effectExtent l="0" t="0" r="0" b="0"/>
            <wp:docPr id="3922" name="Picture 3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" name="Picture 39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AEE">
        <w:t xml:space="preserve"> </w:t>
      </w:r>
      <w:r w:rsidR="00F10276">
        <w:t xml:space="preserve"> </w:t>
      </w:r>
      <w:r w:rsidR="00940AEE">
        <w:t>uzamykatelnou šatnu nebo jiný prostor, dle možností pořa</w:t>
      </w:r>
      <w:r>
        <w:t>d</w:t>
      </w:r>
      <w:r w:rsidR="00940AEE">
        <w:t>ate</w:t>
      </w:r>
      <w:r w:rsidR="00F10276">
        <w:t>le</w:t>
      </w:r>
      <w:r w:rsidR="00940AEE">
        <w:t xml:space="preserve"> </w:t>
      </w:r>
    </w:p>
    <w:p w14:paraId="3DFC3B86" w14:textId="3EAEA3E3" w:rsidR="00F10276" w:rsidRDefault="00F10276">
      <w:pPr>
        <w:spacing w:after="263"/>
        <w:ind w:left="1349" w:right="110" w:firstLine="0"/>
        <w:rPr>
          <w:noProof/>
        </w:rPr>
      </w:pPr>
      <w:r>
        <w:t xml:space="preserve">- </w:t>
      </w:r>
      <w:r w:rsidR="00940AEE">
        <w:t xml:space="preserve"> občerstvení pro 3 osoby </w:t>
      </w:r>
    </w:p>
    <w:p w14:paraId="612909CA" w14:textId="4BDFC5C8" w:rsidR="0068143D" w:rsidRDefault="00FA3761">
      <w:pPr>
        <w:spacing w:after="263"/>
        <w:ind w:left="1349" w:right="110" w:firstLine="0"/>
      </w:pPr>
      <w:r>
        <w:t xml:space="preserve">- </w:t>
      </w:r>
      <w:r w:rsidR="00940AEE">
        <w:t xml:space="preserve"> zajištění parkovacího místa pro 2 auta</w:t>
      </w:r>
    </w:p>
    <w:p w14:paraId="7E69705B" w14:textId="35472302" w:rsidR="0068143D" w:rsidRDefault="00940AEE">
      <w:pPr>
        <w:numPr>
          <w:ilvl w:val="0"/>
          <w:numId w:val="3"/>
        </w:numPr>
        <w:spacing w:after="0"/>
        <w:ind w:right="23"/>
      </w:pPr>
      <w:r>
        <w:t>Nabyvatel se zavazuje nahradit agentuře cestovní náklad</w:t>
      </w:r>
      <w:r w:rsidR="00A31867">
        <w:t xml:space="preserve">y </w:t>
      </w:r>
      <w:r>
        <w:t>vynaložené v souvislosti s cestami souvisejícími s plněním této smlouvy, a to 10,- Kč/k</w:t>
      </w:r>
      <w:r w:rsidR="00A31867">
        <w:t xml:space="preserve">m, </w:t>
      </w:r>
      <w:r>
        <w:t>tedy částku 2 900,- Kč / 2x 145 km/ navýšenou o sazbu DPH, která bude součástí faktu</w:t>
      </w:r>
      <w:r w:rsidR="00A31867">
        <w:t>r</w:t>
      </w:r>
      <w:r>
        <w:t>y za umělecký výkon.</w:t>
      </w:r>
    </w:p>
    <w:p w14:paraId="2E085B6E" w14:textId="3D966C9F" w:rsidR="0068143D" w:rsidRDefault="00940AEE">
      <w:pPr>
        <w:numPr>
          <w:ilvl w:val="0"/>
          <w:numId w:val="3"/>
        </w:numPr>
        <w:spacing w:after="293"/>
        <w:ind w:right="23"/>
      </w:pPr>
      <w:r>
        <w:t>Nabyvatel se zavazuje před provedením uměleckého výkon  uzavřít příslušné smlouvy s kolektivními správci práv, a to dle zaměření akce, v rámci níž bude umělecký výkon proveden, a na základě těchto smluv řádně plnit. Agen</w:t>
      </w:r>
      <w:r w:rsidR="00B76EDB">
        <w:t>t</w:t>
      </w:r>
      <w:r>
        <w:t>ura je povinna pro tyto účely poskytnout nabyvateli repertoárový list.</w:t>
      </w:r>
    </w:p>
    <w:p w14:paraId="11A854EB" w14:textId="11370C31" w:rsidR="0068143D" w:rsidRDefault="00940AEE">
      <w:pPr>
        <w:numPr>
          <w:ilvl w:val="0"/>
          <w:numId w:val="3"/>
        </w:numPr>
        <w:ind w:right="23"/>
      </w:pPr>
      <w:r>
        <w:lastRenderedPageBreak/>
        <w:t>Nabyvatel je povinen sdělit agentuře, pokud by se jedn</w:t>
      </w:r>
      <w:r w:rsidR="00895F54">
        <w:t>alo</w:t>
      </w:r>
      <w:r>
        <w:t xml:space="preserve"> o akci, na které bude propagována jakákoliv politická strana, politik či politické h</w:t>
      </w:r>
      <w:r w:rsidR="00895F54">
        <w:t>n</w:t>
      </w:r>
      <w:r>
        <w:t>utí, stejně jako občanské iniciativy.</w:t>
      </w:r>
    </w:p>
    <w:p w14:paraId="01CE7991" w14:textId="1E85935B" w:rsidR="0068143D" w:rsidRDefault="0068143D">
      <w:pPr>
        <w:spacing w:after="19" w:line="259" w:lineRule="auto"/>
        <w:ind w:left="7200" w:firstLine="0"/>
        <w:jc w:val="left"/>
      </w:pPr>
    </w:p>
    <w:p w14:paraId="691A5A02" w14:textId="032619AA" w:rsidR="0068143D" w:rsidRDefault="00940AEE">
      <w:pPr>
        <w:numPr>
          <w:ilvl w:val="0"/>
          <w:numId w:val="3"/>
        </w:numPr>
        <w:spacing w:after="547"/>
        <w:ind w:right="23"/>
      </w:pPr>
      <w:r>
        <w:t>Nabyvatel má právo použít k propagaci akce jméno výkonného umělce, a to na materiálech, které mají přímý vztah k uměleckému výkonu, který je předmětem této smlouvy a za použití fotografií poskytnutých agenturou, poku</w:t>
      </w:r>
      <w:r w:rsidR="00780168">
        <w:t xml:space="preserve">d </w:t>
      </w:r>
      <w:r>
        <w:t>si je vyžádá. Agentura si vyhrazuje právo schválit toto užití, a to ve formě náhledu před</w:t>
      </w:r>
      <w:r w:rsidR="00780168">
        <w:t>m</w:t>
      </w:r>
      <w:r>
        <w:t>ětných materiálů.</w:t>
      </w:r>
    </w:p>
    <w:p w14:paraId="32FBF09F" w14:textId="77777777" w:rsidR="0068143D" w:rsidRPr="00E62C8A" w:rsidRDefault="00940AEE">
      <w:pPr>
        <w:spacing w:after="0" w:line="259" w:lineRule="auto"/>
        <w:ind w:left="1109" w:right="2707" w:hanging="10"/>
        <w:jc w:val="center"/>
        <w:rPr>
          <w:b/>
          <w:bCs/>
        </w:rPr>
      </w:pPr>
      <w:r w:rsidRPr="00E62C8A">
        <w:rPr>
          <w:b/>
          <w:bCs/>
        </w:rPr>
        <w:t>Článek V.</w:t>
      </w:r>
    </w:p>
    <w:p w14:paraId="064AD1D7" w14:textId="77777777" w:rsidR="0068143D" w:rsidRPr="00E62C8A" w:rsidRDefault="00940AEE">
      <w:pPr>
        <w:spacing w:after="296" w:line="259" w:lineRule="auto"/>
        <w:ind w:left="1109" w:right="2669" w:hanging="10"/>
        <w:jc w:val="center"/>
        <w:rPr>
          <w:b/>
          <w:bCs/>
        </w:rPr>
      </w:pPr>
      <w:r w:rsidRPr="00E62C8A">
        <w:rPr>
          <w:b/>
          <w:bCs/>
        </w:rPr>
        <w:t>Další povinnosti agentury</w:t>
      </w:r>
    </w:p>
    <w:p w14:paraId="7F60E2EB" w14:textId="395A3217" w:rsidR="0068143D" w:rsidRDefault="00940AEE">
      <w:pPr>
        <w:numPr>
          <w:ilvl w:val="0"/>
          <w:numId w:val="4"/>
        </w:numPr>
        <w:spacing w:after="3"/>
        <w:ind w:right="23" w:hanging="331"/>
      </w:pPr>
      <w:r>
        <w:t>Agentura je povinna zajistit, aby se výkonní umělci dostavili na místo konání akce dle dohody a časových dispozic.</w:t>
      </w:r>
      <w:r>
        <w:tab/>
      </w:r>
    </w:p>
    <w:p w14:paraId="42EE4BF4" w14:textId="0F16BB65" w:rsidR="0068143D" w:rsidRDefault="00940AEE">
      <w:pPr>
        <w:numPr>
          <w:ilvl w:val="0"/>
          <w:numId w:val="4"/>
        </w:numPr>
        <w:spacing w:after="562"/>
        <w:ind w:right="23" w:hanging="331"/>
      </w:pPr>
      <w:r>
        <w:t>Agentura je povinna zajistit, aby se výkonní umělci dostavili k provedení uměleckého výkonu dokonale připraveni a v takové kondici, aby moh</w:t>
      </w:r>
      <w:r w:rsidR="00565002">
        <w:t>l</w:t>
      </w:r>
      <w:r>
        <w:t>i podat umělecký výkon odpovídající jejich umělecké pověsti.</w:t>
      </w:r>
    </w:p>
    <w:p w14:paraId="4AE4AFC6" w14:textId="77777777" w:rsidR="0068143D" w:rsidRPr="00E62C8A" w:rsidRDefault="00940AEE">
      <w:pPr>
        <w:spacing w:after="0" w:line="259" w:lineRule="auto"/>
        <w:ind w:left="1109" w:right="2755" w:hanging="10"/>
        <w:jc w:val="center"/>
        <w:rPr>
          <w:b/>
          <w:bCs/>
        </w:rPr>
      </w:pPr>
      <w:r w:rsidRPr="00E62C8A">
        <w:rPr>
          <w:b/>
          <w:bCs/>
        </w:rPr>
        <w:t>Článek VI.</w:t>
      </w:r>
    </w:p>
    <w:p w14:paraId="42381A7E" w14:textId="77777777" w:rsidR="0068143D" w:rsidRPr="00E62C8A" w:rsidRDefault="00940AEE">
      <w:pPr>
        <w:spacing w:after="208" w:line="259" w:lineRule="auto"/>
        <w:ind w:left="1109" w:right="2727" w:hanging="10"/>
        <w:jc w:val="center"/>
        <w:rPr>
          <w:b/>
          <w:bCs/>
        </w:rPr>
      </w:pPr>
      <w:r w:rsidRPr="00E62C8A">
        <w:rPr>
          <w:b/>
          <w:bCs/>
        </w:rPr>
        <w:t>Odstoupení od smlouvy a sankce</w:t>
      </w:r>
    </w:p>
    <w:p w14:paraId="7D5D2C43" w14:textId="3766A59D" w:rsidR="0068143D" w:rsidRDefault="00940AEE">
      <w:pPr>
        <w:numPr>
          <w:ilvl w:val="0"/>
          <w:numId w:val="5"/>
        </w:numPr>
        <w:spacing w:after="573"/>
        <w:ind w:right="23" w:hanging="336"/>
      </w:pPr>
      <w:r>
        <w:t>Smluvní strany jsou oprávněny od této smlouvy odstoupi</w:t>
      </w:r>
      <w:r w:rsidR="00A85A06">
        <w:t>t</w:t>
      </w:r>
      <w:r>
        <w:t xml:space="preserve"> v případě, že provedení uměleckého výkonu nebude možné z důvodu vyšší moci neb na základě restriktivních rozhodnutí Vlády, týkajících se konání kulturních akcí v r</w:t>
      </w:r>
      <w:r w:rsidR="00A85A06">
        <w:t>á</w:t>
      </w:r>
      <w:r>
        <w:t>mci proti pandemických opatření.</w:t>
      </w:r>
    </w:p>
    <w:p w14:paraId="7A77F408" w14:textId="6CA3ED4B" w:rsidR="0068143D" w:rsidRDefault="00940AEE">
      <w:pPr>
        <w:numPr>
          <w:ilvl w:val="0"/>
          <w:numId w:val="5"/>
        </w:numPr>
        <w:spacing w:after="307"/>
        <w:ind w:right="23" w:hanging="336"/>
      </w:pPr>
      <w:r>
        <w:t xml:space="preserve">Agentura má právo od této smlouvy odstoupit ze závažných </w:t>
      </w:r>
      <w:r w:rsidR="00A85A06">
        <w:t>p</w:t>
      </w:r>
      <w:r>
        <w:t>ůvodu spočívajících na její straně, jako je nemoc výkonných umělců, úraz, úmrtí v</w:t>
      </w:r>
      <w:r w:rsidR="00A85A06">
        <w:t> </w:t>
      </w:r>
      <w:r>
        <w:t>rodin</w:t>
      </w:r>
      <w:r w:rsidR="00A85A06">
        <w:t>ě a</w:t>
      </w:r>
      <w:r>
        <w:t>pod. Agentura má dále právo od této smlouvy odstoupit v případě, že nabyvatel p</w:t>
      </w:r>
      <w:r w:rsidR="00A85A06">
        <w:t>o</w:t>
      </w:r>
      <w:r>
        <w:t>ruší povinnost uvedenou v odst. IV., odst. 1. této smlouvy.</w:t>
      </w:r>
    </w:p>
    <w:p w14:paraId="66D9D41C" w14:textId="1AA46D1E" w:rsidR="0068143D" w:rsidRDefault="00940AEE">
      <w:pPr>
        <w:spacing w:after="276"/>
        <w:ind w:left="1344" w:right="23"/>
      </w:pPr>
      <w:r>
        <w:t>3- V případě, že nabyvatel poruší své povinnosti uvedené v čl. IV , odst. 2. této smlouvy má agentura právo od této smlouvy odstoupit s tím, že má</w:t>
      </w:r>
      <w:r w:rsidR="00D83692">
        <w:t xml:space="preserve"> v </w:t>
      </w:r>
      <w:r>
        <w:t>tomto případě právo na zaplacení odměny dle čl. Il, Této smlouvy ve stejném rozsah, jako by umělecký výkon provedl.</w:t>
      </w:r>
    </w:p>
    <w:p w14:paraId="4DAB2417" w14:textId="61C40C08" w:rsidR="0068143D" w:rsidRDefault="00940AEE">
      <w:pPr>
        <w:numPr>
          <w:ilvl w:val="0"/>
          <w:numId w:val="6"/>
        </w:numPr>
        <w:spacing w:after="277" w:line="282" w:lineRule="auto"/>
        <w:ind w:right="23" w:hanging="336"/>
      </w:pPr>
      <w:r>
        <w:t>Smluvní strany nemají v případech uvedených v odst. 1. a</w:t>
      </w:r>
      <w:r w:rsidR="00D83692">
        <w:t xml:space="preserve"> 2</w:t>
      </w:r>
      <w:r>
        <w:t>. tohoto článku nárok na náhradu škody.</w:t>
      </w:r>
    </w:p>
    <w:p w14:paraId="3994721A" w14:textId="6F06EB5B" w:rsidR="0068143D" w:rsidRDefault="00940AEE">
      <w:pPr>
        <w:numPr>
          <w:ilvl w:val="0"/>
          <w:numId w:val="6"/>
        </w:numPr>
        <w:ind w:right="23" w:hanging="336"/>
      </w:pPr>
      <w:r>
        <w:t>V případě, některá ze smluvních stran odstoupí od této sm</w:t>
      </w:r>
      <w:r w:rsidR="00D83692">
        <w:t>l</w:t>
      </w:r>
      <w:r>
        <w:t>ouvy z jiných důvodů, než které jsou uvedeny odst. 1. a 2. Tohoto článku, je povinna za</w:t>
      </w:r>
      <w:r w:rsidR="008D66AA">
        <w:t>p</w:t>
      </w:r>
      <w:r>
        <w:t>latit druhé smluvní straně smluvní pokutu ve výši</w:t>
      </w:r>
    </w:p>
    <w:p w14:paraId="0EEA30EE" w14:textId="44BAFD69" w:rsidR="0068143D" w:rsidRDefault="00940AEE">
      <w:pPr>
        <w:numPr>
          <w:ilvl w:val="1"/>
          <w:numId w:val="6"/>
        </w:numPr>
        <w:ind w:right="144"/>
      </w:pPr>
      <w:r>
        <w:t>30 % z odměny uvedené v čl. l}. této smlouvy v příp</w:t>
      </w:r>
      <w:r w:rsidR="00DB223E">
        <w:t>a</w:t>
      </w:r>
      <w:r>
        <w:t>dě, že bude odstoupení doručeno druhé smluvní straně ve lhůtě delší než 30 dnů před dnem, v němž má výt umělecký výkon proveden,</w:t>
      </w:r>
      <w:r>
        <w:tab/>
      </w:r>
    </w:p>
    <w:p w14:paraId="4963DA00" w14:textId="778A8CCA" w:rsidR="0068143D" w:rsidRDefault="00940AEE">
      <w:pPr>
        <w:numPr>
          <w:ilvl w:val="1"/>
          <w:numId w:val="6"/>
        </w:numPr>
        <w:ind w:right="144"/>
      </w:pPr>
      <w:r>
        <w:t>50 % z odměny uvedené v čl. Il. této smlouvy v přípa</w:t>
      </w:r>
      <w:r w:rsidR="00DB223E">
        <w:t>d</w:t>
      </w:r>
      <w:r>
        <w:t>ě, že bude odstoupení doručeno druhé smluvní straně ve lhůtě kratší než 30 dn</w:t>
      </w:r>
      <w:r w:rsidR="005F5FC3">
        <w:t>í</w:t>
      </w:r>
      <w:r>
        <w:t xml:space="preserve"> a delší než 10 dnů před dnem, v němž má výt umělecký výkon proveden,</w:t>
      </w:r>
    </w:p>
    <w:p w14:paraId="16AF0D0A" w14:textId="6C80BDCC" w:rsidR="0068143D" w:rsidRDefault="00940AEE">
      <w:pPr>
        <w:numPr>
          <w:ilvl w:val="1"/>
          <w:numId w:val="6"/>
        </w:numPr>
        <w:spacing w:after="344"/>
        <w:ind w:right="144"/>
      </w:pPr>
      <w:r>
        <w:lastRenderedPageBreak/>
        <w:t>100 % z odměny uvedené v čl. Il. této smlouvy v příp</w:t>
      </w:r>
      <w:r w:rsidR="005F5FC3">
        <w:t>a</w:t>
      </w:r>
      <w:r>
        <w:t xml:space="preserve">dě, že bude odstoupení doručeno druhé smluvní straně ve lhůtě kratší než 9 dnů </w:t>
      </w:r>
      <w:r w:rsidR="00AB4767">
        <w:t>p</w:t>
      </w:r>
      <w:r>
        <w:t>řed dnem, v němž má výt umělecký výkon proveden.</w:t>
      </w:r>
    </w:p>
    <w:p w14:paraId="549406B5" w14:textId="3815BA85" w:rsidR="0068143D" w:rsidRDefault="00940AEE">
      <w:pPr>
        <w:numPr>
          <w:ilvl w:val="0"/>
          <w:numId w:val="6"/>
        </w:numPr>
        <w:spacing w:after="458"/>
        <w:ind w:right="23" w:hanging="336"/>
      </w:pPr>
      <w:r>
        <w:t>V případě prodlení se úhradou odměny dle čl. Il. této smlo</w:t>
      </w:r>
      <w:r w:rsidR="00AF48A3">
        <w:t>u</w:t>
      </w:r>
      <w:r>
        <w:t>vy je nabyvatel povinen zaplatit výkonnému umělci úrok z prodlení ve výši 0,1 % za kaž ý i započatý den prodlení.</w:t>
      </w:r>
    </w:p>
    <w:p w14:paraId="4DD231EF" w14:textId="77777777" w:rsidR="0068143D" w:rsidRPr="00E62C8A" w:rsidRDefault="00940AEE">
      <w:pPr>
        <w:spacing w:after="0" w:line="259" w:lineRule="auto"/>
        <w:ind w:left="1109" w:right="2779" w:hanging="10"/>
        <w:jc w:val="center"/>
        <w:rPr>
          <w:b/>
          <w:bCs/>
        </w:rPr>
      </w:pPr>
      <w:r w:rsidRPr="00E62C8A">
        <w:rPr>
          <w:b/>
          <w:bCs/>
        </w:rPr>
        <w:t>Článek VII.</w:t>
      </w:r>
    </w:p>
    <w:p w14:paraId="13D2720C" w14:textId="77777777" w:rsidR="0068143D" w:rsidRPr="00E62C8A" w:rsidRDefault="00940AEE">
      <w:pPr>
        <w:spacing w:after="289" w:line="259" w:lineRule="auto"/>
        <w:ind w:left="1109" w:right="2770" w:hanging="10"/>
        <w:jc w:val="center"/>
        <w:rPr>
          <w:b/>
          <w:bCs/>
        </w:rPr>
      </w:pPr>
      <w:r w:rsidRPr="00E62C8A">
        <w:rPr>
          <w:b/>
          <w:bCs/>
        </w:rPr>
        <w:t>Řešení sporů</w:t>
      </w:r>
    </w:p>
    <w:p w14:paraId="0B6DF022" w14:textId="04CC05A1" w:rsidR="0068143D" w:rsidRDefault="00940AEE">
      <w:pPr>
        <w:spacing w:after="567"/>
        <w:ind w:left="557" w:right="610" w:firstLine="408"/>
      </w:pPr>
      <w:r>
        <w:t>Tato smlouva, jakož i práva a povinnosti vzniklé na základě této sm</w:t>
      </w:r>
      <w:r w:rsidR="002A343C">
        <w:t>l</w:t>
      </w:r>
      <w:r>
        <w:t xml:space="preserve">ouvy, se řídí českým </w:t>
      </w:r>
      <w:r>
        <w:rPr>
          <w:noProof/>
        </w:rPr>
        <w:drawing>
          <wp:inline distT="0" distB="0" distL="0" distR="0" wp14:anchorId="38FF03AD" wp14:editId="2A3CC902">
            <wp:extent cx="9145" cy="12193"/>
            <wp:effectExtent l="0" t="0" r="0" b="0"/>
            <wp:docPr id="8985" name="Picture 8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" name="Picture 89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právním řádem, zejména zákonem č. 89/2012 Sb., občanský zákon k ve znění pozdějších předpisů a zákonem č. 121/2000 Sb., autorský zákon. K řešení příp</w:t>
      </w:r>
      <w:r w:rsidR="002A343C">
        <w:t>a</w:t>
      </w:r>
      <w:r>
        <w:t>dných sporů určují smluvní strany jako příslušný soud obecný soud zhotovitele.</w:t>
      </w:r>
    </w:p>
    <w:p w14:paraId="13A1FD8E" w14:textId="77777777" w:rsidR="0068143D" w:rsidRPr="00E62C8A" w:rsidRDefault="00940AEE">
      <w:pPr>
        <w:spacing w:after="0" w:line="259" w:lineRule="auto"/>
        <w:ind w:left="1109" w:right="2751" w:hanging="10"/>
        <w:jc w:val="center"/>
        <w:rPr>
          <w:b/>
          <w:bCs/>
        </w:rPr>
      </w:pPr>
      <w:r w:rsidRPr="00E62C8A">
        <w:rPr>
          <w:b/>
          <w:bCs/>
        </w:rPr>
        <w:t>Článek VIII.</w:t>
      </w:r>
    </w:p>
    <w:p w14:paraId="4888E2B6" w14:textId="77777777" w:rsidR="0068143D" w:rsidRPr="00E62C8A" w:rsidRDefault="00940AEE">
      <w:pPr>
        <w:spacing w:after="273" w:line="259" w:lineRule="auto"/>
        <w:ind w:left="1109" w:right="2727" w:hanging="10"/>
        <w:jc w:val="center"/>
        <w:rPr>
          <w:b/>
          <w:bCs/>
        </w:rPr>
      </w:pPr>
      <w:r w:rsidRPr="00E62C8A">
        <w:rPr>
          <w:b/>
          <w:bCs/>
        </w:rPr>
        <w:t>Ochrana informací</w:t>
      </w:r>
    </w:p>
    <w:p w14:paraId="466E4DD0" w14:textId="26AAF27A" w:rsidR="0068143D" w:rsidRDefault="00940AEE">
      <w:pPr>
        <w:ind w:left="1344" w:right="23"/>
      </w:pPr>
      <w:r>
        <w:t>1. Smluvní strany se dohodly, že veškeré informace, které si sd</w:t>
      </w:r>
      <w:r w:rsidR="003009BC">
        <w:t>ě</w:t>
      </w:r>
      <w:r>
        <w:t>lily v rámci uzavírání této smlouvy, dále informace, tvořící tento obsah a informace, které si sdělí nebo jinak vyplynou z jejího plnění, zůstanou dle jejich vůle utajeny, pok</w:t>
      </w:r>
      <w:r w:rsidR="003009BC">
        <w:t>u</w:t>
      </w:r>
      <w:r>
        <w:t>d nabyvatel není povinen zveřejnit smlouvy v registru smluv dle zákona.</w:t>
      </w:r>
    </w:p>
    <w:p w14:paraId="10ABFB68" w14:textId="77777777" w:rsidR="0068143D" w:rsidRDefault="00940AEE">
      <w:pPr>
        <w:spacing w:after="293" w:line="259" w:lineRule="auto"/>
        <w:ind w:left="1013" w:right="2501" w:firstLine="0"/>
        <w:jc w:val="left"/>
      </w:pPr>
      <w:r>
        <w:rPr>
          <w:rFonts w:ascii="Times New Roman" w:eastAsia="Times New Roman" w:hAnsi="Times New Roman" w:cs="Times New Roman"/>
          <w:sz w:val="22"/>
        </w:rPr>
        <w:t>2.</w:t>
      </w:r>
    </w:p>
    <w:p w14:paraId="30D88C44" w14:textId="3B6CD87C" w:rsidR="0068143D" w:rsidRDefault="00940AEE">
      <w:pPr>
        <w:ind w:left="1344" w:right="23"/>
      </w:pPr>
      <w:r>
        <w:t>3. Smluvní strany se tedy dohodly, že tyto informace nikomu n prozradí a přijmou taková opatření, která znemožní jejich přístupnost třetím osobám. Us</w:t>
      </w:r>
      <w:r w:rsidR="00047330">
        <w:t>t</w:t>
      </w:r>
      <w:r>
        <w:t>anovení předchozí věty se nevztahuje na případy, kdy</w:t>
      </w:r>
      <w:r w:rsidR="00047330">
        <w:t xml:space="preserve"> </w:t>
      </w:r>
    </w:p>
    <w:p w14:paraId="7E89CB1D" w14:textId="77777777" w:rsidR="0068143D" w:rsidRDefault="00940AEE">
      <w:pPr>
        <w:numPr>
          <w:ilvl w:val="0"/>
          <w:numId w:val="7"/>
        </w:numPr>
        <w:ind w:right="23" w:hanging="346"/>
      </w:pPr>
      <w:r>
        <w:t>mají smluvní strany opačnou povinnost stanovenou zákon m a/nebo</w:t>
      </w:r>
      <w:r>
        <w:tab/>
      </w:r>
      <w:r>
        <w:rPr>
          <w:noProof/>
        </w:rPr>
        <w:drawing>
          <wp:inline distT="0" distB="0" distL="0" distR="0" wp14:anchorId="3B122C70" wp14:editId="433FAB1D">
            <wp:extent cx="9144" cy="12193"/>
            <wp:effectExtent l="0" t="0" r="0" b="0"/>
            <wp:docPr id="8986" name="Picture 8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" name="Picture 89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22381" w14:textId="51321768" w:rsidR="0068143D" w:rsidRDefault="00940AEE">
      <w:pPr>
        <w:numPr>
          <w:ilvl w:val="0"/>
          <w:numId w:val="7"/>
        </w:numPr>
        <w:spacing w:after="0" w:line="259" w:lineRule="auto"/>
        <w:ind w:right="23" w:hanging="346"/>
      </w:pPr>
      <w:r>
        <w:t>takové informace sdělí osobám, které mají ze zákona povi</w:t>
      </w:r>
      <w:r w:rsidR="00047330">
        <w:t>n</w:t>
      </w:r>
      <w:r>
        <w:t>nost</w:t>
      </w:r>
      <w:r w:rsidR="00494B4B">
        <w:t>i</w:t>
      </w:r>
      <w:r>
        <w:t xml:space="preserve"> mlčenlivosti a/nebo</w:t>
      </w:r>
    </w:p>
    <w:p w14:paraId="0F58CB08" w14:textId="41C70A1B" w:rsidR="0068143D" w:rsidRDefault="00940AEE">
      <w:pPr>
        <w:numPr>
          <w:ilvl w:val="0"/>
          <w:numId w:val="7"/>
        </w:numPr>
        <w:spacing w:after="224"/>
        <w:ind w:right="23" w:hanging="346"/>
      </w:pPr>
      <w:r>
        <w:t>se takové informace stanou veřejně známými či dostupný</w:t>
      </w:r>
      <w:r w:rsidR="00ED449F">
        <w:t>m</w:t>
      </w:r>
      <w:r>
        <w:t>i.</w:t>
      </w:r>
    </w:p>
    <w:p w14:paraId="5C71AA1A" w14:textId="77777777" w:rsidR="0068143D" w:rsidRPr="00E62C8A" w:rsidRDefault="00940AEE">
      <w:pPr>
        <w:spacing w:after="0" w:line="259" w:lineRule="auto"/>
        <w:ind w:left="1109" w:right="2703" w:hanging="10"/>
        <w:jc w:val="center"/>
        <w:rPr>
          <w:b/>
          <w:bCs/>
        </w:rPr>
      </w:pPr>
      <w:r w:rsidRPr="00E62C8A">
        <w:rPr>
          <w:b/>
          <w:bCs/>
        </w:rPr>
        <w:t>Článek IX.</w:t>
      </w:r>
    </w:p>
    <w:p w14:paraId="0F978A21" w14:textId="77777777" w:rsidR="0068143D" w:rsidRPr="00E62C8A" w:rsidRDefault="00940AEE">
      <w:pPr>
        <w:spacing w:after="271" w:line="259" w:lineRule="auto"/>
        <w:ind w:left="1109" w:right="2693" w:hanging="10"/>
        <w:jc w:val="center"/>
        <w:rPr>
          <w:b/>
          <w:bCs/>
        </w:rPr>
      </w:pPr>
      <w:r w:rsidRPr="00E62C8A">
        <w:rPr>
          <w:b/>
          <w:bCs/>
        </w:rPr>
        <w:t>Salvátorská klauzule</w:t>
      </w:r>
    </w:p>
    <w:p w14:paraId="439ACFEE" w14:textId="691F4750" w:rsidR="0068143D" w:rsidRDefault="00940AEE">
      <w:pPr>
        <w:spacing w:after="6"/>
        <w:ind w:left="1013" w:right="23" w:hanging="10"/>
      </w:pPr>
      <w:r>
        <w:t>V případě, že některá ustanovení této smlouvy jsou nebo se st</w:t>
      </w:r>
      <w:r w:rsidR="00BD35C3">
        <w:t>a</w:t>
      </w:r>
      <w:r>
        <w:t>nou z jakéhokoliv důvodu obsoletní, neúčinná nebo neplatná, a to i v důsledku rozhod</w:t>
      </w:r>
      <w:r w:rsidR="00BD35C3">
        <w:t>n</w:t>
      </w:r>
      <w:r>
        <w:t>utí příslušných správních orgánů, nebude to mít za následek neplatnost či neúčinnost s</w:t>
      </w:r>
      <w:r w:rsidR="00BD35C3">
        <w:t>m</w:t>
      </w:r>
      <w:r>
        <w:t>louvy. Příslušné neplatné ustanovení se smluvní strany zavazují nahradit takovým platným ustanovením, jehož věcný obsah bude shodný nebo co nejvíc podobný nahrazovanému stanovení, přičemž účel a smysl této smlouvy zůstane zachován, nebo se použije prá</w:t>
      </w:r>
      <w:r w:rsidR="00110C9D">
        <w:t>v</w:t>
      </w:r>
      <w:r>
        <w:t>ní předpis, který nejblíže odpovídá účelu a smyslu smlouvy, popř. bude požádáno o dání nového rozhodnutí správního orgánu, které bude nejblíže odpovídat smyslu a účelu t to smlouvy.</w:t>
      </w:r>
    </w:p>
    <w:p w14:paraId="2527C34A" w14:textId="08AA3AB4" w:rsidR="0068143D" w:rsidRDefault="0068143D">
      <w:pPr>
        <w:spacing w:after="0" w:line="259" w:lineRule="auto"/>
        <w:ind w:left="7181" w:firstLine="0"/>
        <w:jc w:val="left"/>
      </w:pPr>
    </w:p>
    <w:p w14:paraId="017BC1F5" w14:textId="40BC08CB" w:rsidR="0068143D" w:rsidRPr="008163B5" w:rsidRDefault="00940AEE">
      <w:pPr>
        <w:spacing w:after="0" w:line="259" w:lineRule="auto"/>
        <w:ind w:left="1109" w:right="2779" w:hanging="10"/>
        <w:jc w:val="center"/>
        <w:rPr>
          <w:b/>
          <w:bCs/>
        </w:rPr>
      </w:pPr>
      <w:r w:rsidRPr="008163B5">
        <w:rPr>
          <w:b/>
          <w:bCs/>
        </w:rPr>
        <w:t>Článek X.</w:t>
      </w:r>
    </w:p>
    <w:p w14:paraId="03CC7FD7" w14:textId="77777777" w:rsidR="0068143D" w:rsidRPr="008163B5" w:rsidRDefault="00940AEE">
      <w:pPr>
        <w:spacing w:after="267" w:line="259" w:lineRule="auto"/>
        <w:ind w:left="1109" w:right="2755" w:hanging="10"/>
        <w:jc w:val="center"/>
        <w:rPr>
          <w:b/>
          <w:bCs/>
        </w:rPr>
      </w:pPr>
      <w:r w:rsidRPr="008163B5">
        <w:rPr>
          <w:b/>
          <w:bCs/>
        </w:rPr>
        <w:t>Závěrečná ustanovení</w:t>
      </w:r>
    </w:p>
    <w:p w14:paraId="5751188C" w14:textId="059AAE89" w:rsidR="0068143D" w:rsidRDefault="00940AEE">
      <w:pPr>
        <w:numPr>
          <w:ilvl w:val="0"/>
          <w:numId w:val="8"/>
        </w:numPr>
        <w:ind w:left="1344" w:right="23"/>
      </w:pPr>
      <w:r>
        <w:t>Veškeré změny či doplňky k této smlouvě je možné čin t pouze prostřednictvím písemných dodatků.</w:t>
      </w:r>
      <w:r>
        <w:tab/>
      </w:r>
    </w:p>
    <w:p w14:paraId="5D279619" w14:textId="06D51036" w:rsidR="0068143D" w:rsidRDefault="00940AEE">
      <w:pPr>
        <w:numPr>
          <w:ilvl w:val="0"/>
          <w:numId w:val="8"/>
        </w:numPr>
        <w:spacing w:after="297"/>
        <w:ind w:left="1344" w:right="23"/>
      </w:pPr>
      <w:r>
        <w:lastRenderedPageBreak/>
        <w:t xml:space="preserve">Veškeré změny nebo doplňky pořízené v této smlouvě vlastní rukou, jsou - </w:t>
      </w:r>
      <w:proofErr w:type="spellStart"/>
      <w:r>
        <w:t>li</w:t>
      </w:r>
      <w:proofErr w:type="spellEnd"/>
      <w:r>
        <w:t xml:space="preserve"> opatřeny podpisy smluvních stran, mají přednost před ustanoveními s</w:t>
      </w:r>
      <w:r w:rsidR="00B27094">
        <w:t>ml</w:t>
      </w:r>
      <w:r>
        <w:t>ouvy, která jsou vtištěné podobě.</w:t>
      </w:r>
    </w:p>
    <w:p w14:paraId="52B61280" w14:textId="501F6924" w:rsidR="0068143D" w:rsidRDefault="00940AEE">
      <w:pPr>
        <w:numPr>
          <w:ilvl w:val="0"/>
          <w:numId w:val="8"/>
        </w:numPr>
        <w:spacing w:after="286"/>
        <w:ind w:left="1344" w:right="23"/>
      </w:pPr>
      <w:r>
        <w:t>Tato smlouva se vyhotovuje ve 2 stejnopisech, přičemž každ</w:t>
      </w:r>
      <w:r w:rsidR="00040753">
        <w:t xml:space="preserve">á </w:t>
      </w:r>
      <w:r>
        <w:t>ze smluvních stran obdrží po dvou vyhotovení.</w:t>
      </w:r>
    </w:p>
    <w:p w14:paraId="57A3D746" w14:textId="2557A8D5" w:rsidR="0068143D" w:rsidRDefault="00940AEE">
      <w:pPr>
        <w:numPr>
          <w:ilvl w:val="0"/>
          <w:numId w:val="8"/>
        </w:numPr>
        <w:spacing w:after="1572"/>
        <w:ind w:left="1344" w:right="23"/>
      </w:pPr>
      <w:r>
        <w:t>Smluvní strany prohlašují, že si smlouvu přečetly, s jejím zněním souhlasí a na důkaz pravé a svobodné vůle připojují níže své podpisy.</w:t>
      </w:r>
    </w:p>
    <w:p w14:paraId="6F30CC7F" w14:textId="30B2EE6E" w:rsidR="0068143D" w:rsidRDefault="0009311E" w:rsidP="0009311E">
      <w:pPr>
        <w:ind w:left="0" w:firstLine="0"/>
      </w:pPr>
      <w:r>
        <w:t xml:space="preserve">                   V Jesenici dne 15.10.2024                                                  Ve Strakonicích 14.10.2024</w:t>
      </w:r>
    </w:p>
    <w:p w14:paraId="5B71C32F" w14:textId="3659B805" w:rsidR="0009311E" w:rsidRDefault="0009311E" w:rsidP="0009311E">
      <w:pPr>
        <w:ind w:left="0" w:firstLine="0"/>
      </w:pPr>
    </w:p>
    <w:p w14:paraId="2AF55868" w14:textId="214D574A" w:rsidR="0009311E" w:rsidRDefault="0009311E" w:rsidP="0009311E">
      <w:pPr>
        <w:ind w:left="0" w:firstLine="0"/>
      </w:pPr>
    </w:p>
    <w:p w14:paraId="2F1A6CA1" w14:textId="23C61F8D" w:rsidR="0009311E" w:rsidRDefault="0009311E" w:rsidP="0009311E">
      <w:pPr>
        <w:ind w:left="0" w:firstLine="0"/>
      </w:pPr>
    </w:p>
    <w:p w14:paraId="02B52D82" w14:textId="11A3C632" w:rsidR="0009311E" w:rsidRDefault="0009311E" w:rsidP="0009311E">
      <w:pPr>
        <w:ind w:left="0" w:firstLine="0"/>
      </w:pPr>
      <w:r>
        <w:t xml:space="preserve">                  Agentura                                                                                Nabyvatel</w:t>
      </w:r>
    </w:p>
    <w:p w14:paraId="673937E5" w14:textId="77777777" w:rsidR="0009311E" w:rsidRDefault="0009311E"/>
    <w:p w14:paraId="239BBBE1" w14:textId="3AABADD9" w:rsidR="0009311E" w:rsidRDefault="0009311E">
      <w:pPr>
        <w:sectPr w:rsidR="0009311E">
          <w:footerReference w:type="even" r:id="rId15"/>
          <w:footerReference w:type="default" r:id="rId16"/>
          <w:footerReference w:type="first" r:id="rId17"/>
          <w:pgSz w:w="11900" w:h="16840"/>
          <w:pgMar w:top="413" w:right="1459" w:bottom="283" w:left="677" w:header="708" w:footer="1301" w:gutter="0"/>
          <w:cols w:space="708"/>
        </w:sectPr>
      </w:pPr>
    </w:p>
    <w:p w14:paraId="288367DA" w14:textId="77777777" w:rsidR="0068143D" w:rsidRDefault="00940AEE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0" wp14:anchorId="2D6E30EC" wp14:editId="77579EE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556500" cy="10692130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143D">
      <w:footerReference w:type="even" r:id="rId19"/>
      <w:footerReference w:type="default" r:id="rId20"/>
      <w:footerReference w:type="first" r:id="rId2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C9AF" w14:textId="77777777" w:rsidR="005F6214" w:rsidRDefault="005F6214">
      <w:pPr>
        <w:spacing w:after="0" w:line="240" w:lineRule="auto"/>
      </w:pPr>
      <w:r>
        <w:separator/>
      </w:r>
    </w:p>
  </w:endnote>
  <w:endnote w:type="continuationSeparator" w:id="0">
    <w:p w14:paraId="542B8D3B" w14:textId="77777777" w:rsidR="005F6214" w:rsidRDefault="005F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28E3" w14:textId="77777777" w:rsidR="0068143D" w:rsidRDefault="00940AEE">
    <w:pPr>
      <w:spacing w:after="0" w:line="259" w:lineRule="auto"/>
      <w:ind w:left="9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9646" w14:textId="77777777" w:rsidR="0068143D" w:rsidRDefault="00940AEE">
    <w:pPr>
      <w:spacing w:after="0" w:line="259" w:lineRule="auto"/>
      <w:ind w:left="9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358" w14:textId="77777777" w:rsidR="0068143D" w:rsidRDefault="00940AEE">
    <w:pPr>
      <w:spacing w:after="0" w:line="259" w:lineRule="auto"/>
      <w:ind w:left="9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45E0" w14:textId="77777777" w:rsidR="0068143D" w:rsidRDefault="0068143D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BC4D" w14:textId="77777777" w:rsidR="0068143D" w:rsidRDefault="0068143D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0FA9" w14:textId="77777777" w:rsidR="0068143D" w:rsidRDefault="0068143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45DF" w14:textId="77777777" w:rsidR="005F6214" w:rsidRDefault="005F6214">
      <w:pPr>
        <w:spacing w:after="0" w:line="240" w:lineRule="auto"/>
      </w:pPr>
      <w:r>
        <w:separator/>
      </w:r>
    </w:p>
  </w:footnote>
  <w:footnote w:type="continuationSeparator" w:id="0">
    <w:p w14:paraId="5CF7451C" w14:textId="77777777" w:rsidR="005F6214" w:rsidRDefault="005F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3.75pt;visibility:visible;mso-wrap-style:square" o:bullet="t">
        <v:imagedata r:id="rId1" o:title=""/>
      </v:shape>
    </w:pict>
  </w:numPicBullet>
  <w:abstractNum w:abstractNumId="0" w15:restartNumberingAfterBreak="0">
    <w:nsid w:val="01403359"/>
    <w:multiLevelType w:val="hybridMultilevel"/>
    <w:tmpl w:val="17068234"/>
    <w:lvl w:ilvl="0" w:tplc="980A6202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5081D8">
      <w:start w:val="1"/>
      <w:numFmt w:val="lowerLetter"/>
      <w:lvlText w:val="%2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443FEE">
      <w:start w:val="1"/>
      <w:numFmt w:val="lowerRoman"/>
      <w:lvlText w:val="%3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B6988E">
      <w:start w:val="1"/>
      <w:numFmt w:val="decimal"/>
      <w:lvlText w:val="%4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EE3244">
      <w:start w:val="1"/>
      <w:numFmt w:val="lowerLetter"/>
      <w:lvlText w:val="%5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C0C756">
      <w:start w:val="1"/>
      <w:numFmt w:val="lowerRoman"/>
      <w:lvlText w:val="%6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C8B43A">
      <w:start w:val="1"/>
      <w:numFmt w:val="decimal"/>
      <w:lvlText w:val="%7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4DF7E">
      <w:start w:val="1"/>
      <w:numFmt w:val="lowerLetter"/>
      <w:lvlText w:val="%8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3CDD3E">
      <w:start w:val="1"/>
      <w:numFmt w:val="lowerRoman"/>
      <w:lvlText w:val="%9"/>
      <w:lvlJc w:val="left"/>
      <w:pPr>
        <w:ind w:left="7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23E0E"/>
    <w:multiLevelType w:val="hybridMultilevel"/>
    <w:tmpl w:val="B6CC2748"/>
    <w:lvl w:ilvl="0" w:tplc="4BC88604">
      <w:start w:val="1"/>
      <w:numFmt w:val="lowerLetter"/>
      <w:lvlText w:val="%1)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470C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A824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B15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CAF6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09F7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AA02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893C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A906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22444"/>
    <w:multiLevelType w:val="hybridMultilevel"/>
    <w:tmpl w:val="F71A38FC"/>
    <w:lvl w:ilvl="0" w:tplc="7EF85096">
      <w:start w:val="4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CF750">
      <w:start w:val="1"/>
      <w:numFmt w:val="lowerLetter"/>
      <w:lvlText w:val="%2)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07D48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2ED62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46E2E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4AF72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43DA6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42CA6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2CD04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6F05D4"/>
    <w:multiLevelType w:val="hybridMultilevel"/>
    <w:tmpl w:val="7F1A8BF4"/>
    <w:lvl w:ilvl="0" w:tplc="7158C250">
      <w:start w:val="1"/>
      <w:numFmt w:val="decimal"/>
      <w:lvlText w:val="%1.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826708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DE4B1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C22F0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08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6685CA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767AE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2EA6E0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12A08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1F4AA5"/>
    <w:multiLevelType w:val="hybridMultilevel"/>
    <w:tmpl w:val="DEAE509A"/>
    <w:lvl w:ilvl="0" w:tplc="B5786E52">
      <w:start w:val="1"/>
      <w:numFmt w:val="decimal"/>
      <w:lvlText w:val="%1.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9A977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E46644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E854D4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CCC7B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E44FA6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0C6876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A6FAE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9A01F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24B84"/>
    <w:multiLevelType w:val="hybridMultilevel"/>
    <w:tmpl w:val="A41C798C"/>
    <w:lvl w:ilvl="0" w:tplc="821E4B6E">
      <w:start w:val="1"/>
      <w:numFmt w:val="lowerLetter"/>
      <w:lvlText w:val="%1)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2BBC2">
      <w:start w:val="1"/>
      <w:numFmt w:val="lowerLetter"/>
      <w:lvlText w:val="%2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22456">
      <w:start w:val="1"/>
      <w:numFmt w:val="lowerRoman"/>
      <w:lvlText w:val="%3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60FAE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09A8E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134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2A0DE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ED47E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66792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1360BD"/>
    <w:multiLevelType w:val="hybridMultilevel"/>
    <w:tmpl w:val="F4CE0E62"/>
    <w:lvl w:ilvl="0" w:tplc="31A851C8">
      <w:start w:val="1"/>
      <w:numFmt w:val="decimal"/>
      <w:lvlText w:val="%1."/>
      <w:lvlJc w:val="left"/>
      <w:pPr>
        <w:ind w:left="1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6E301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76968C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EE59C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8231C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4EF678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C2F37C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96025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B0C0A0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A67EE2"/>
    <w:multiLevelType w:val="hybridMultilevel"/>
    <w:tmpl w:val="EC22677C"/>
    <w:lvl w:ilvl="0" w:tplc="81307FD4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B02C0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96F92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9CAE3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325FC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46B98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EE27F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708542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32960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3D"/>
    <w:rsid w:val="00010514"/>
    <w:rsid w:val="00040753"/>
    <w:rsid w:val="00045D06"/>
    <w:rsid w:val="00047330"/>
    <w:rsid w:val="000811DF"/>
    <w:rsid w:val="0009311E"/>
    <w:rsid w:val="000B6331"/>
    <w:rsid w:val="000E6F77"/>
    <w:rsid w:val="00110C9D"/>
    <w:rsid w:val="00116BC9"/>
    <w:rsid w:val="001466F5"/>
    <w:rsid w:val="00161FD5"/>
    <w:rsid w:val="002A343C"/>
    <w:rsid w:val="003009BC"/>
    <w:rsid w:val="00306008"/>
    <w:rsid w:val="0033546A"/>
    <w:rsid w:val="003B25B0"/>
    <w:rsid w:val="003E4143"/>
    <w:rsid w:val="00494B4B"/>
    <w:rsid w:val="004F2F8F"/>
    <w:rsid w:val="00525356"/>
    <w:rsid w:val="00565002"/>
    <w:rsid w:val="005F5FC3"/>
    <w:rsid w:val="005F6214"/>
    <w:rsid w:val="0068143D"/>
    <w:rsid w:val="006D0462"/>
    <w:rsid w:val="00716243"/>
    <w:rsid w:val="00752B62"/>
    <w:rsid w:val="00766CD1"/>
    <w:rsid w:val="00780168"/>
    <w:rsid w:val="007D1422"/>
    <w:rsid w:val="008163B5"/>
    <w:rsid w:val="00895F54"/>
    <w:rsid w:val="008D66AA"/>
    <w:rsid w:val="00903BAC"/>
    <w:rsid w:val="0092117B"/>
    <w:rsid w:val="00926AE9"/>
    <w:rsid w:val="0092713B"/>
    <w:rsid w:val="00940AEE"/>
    <w:rsid w:val="009761C6"/>
    <w:rsid w:val="009C232F"/>
    <w:rsid w:val="00A31867"/>
    <w:rsid w:val="00A85A06"/>
    <w:rsid w:val="00AB4767"/>
    <w:rsid w:val="00AE442E"/>
    <w:rsid w:val="00AF48A3"/>
    <w:rsid w:val="00B27094"/>
    <w:rsid w:val="00B41FED"/>
    <w:rsid w:val="00B76EDB"/>
    <w:rsid w:val="00B91A92"/>
    <w:rsid w:val="00BD023D"/>
    <w:rsid w:val="00BD35C3"/>
    <w:rsid w:val="00D6737F"/>
    <w:rsid w:val="00D83692"/>
    <w:rsid w:val="00DB223E"/>
    <w:rsid w:val="00E62C8A"/>
    <w:rsid w:val="00E9714D"/>
    <w:rsid w:val="00ED449F"/>
    <w:rsid w:val="00F10276"/>
    <w:rsid w:val="00F373B4"/>
    <w:rsid w:val="00FA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F64D"/>
  <w15:docId w15:val="{F15BA5F9-DF44-4B2F-B345-764A20E0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8" w:line="227" w:lineRule="auto"/>
      <w:ind w:left="2972" w:hanging="341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1270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3</cp:revision>
  <dcterms:created xsi:type="dcterms:W3CDTF">2024-10-23T06:49:00Z</dcterms:created>
  <dcterms:modified xsi:type="dcterms:W3CDTF">2024-10-23T06:50:00Z</dcterms:modified>
</cp:coreProperties>
</file>