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rtf" ContentType="application/rtf"/>
  <Override PartName="/word/document.xml" ContentType="application/vnd.openxmlformats-officedocument.wordprocessingml.document.main+xml"/>
  <Override PartName="/word/settings.xml" ContentType="application/vnd.openxmlformats-officedocument.wordprocessingml.settings+xml"/>
</Types>
</file>

<file path=_rels/.rels><?xml version='1.0' encoding='windows-1250' standalone='yes'?>
<Relationships xmlns='http://schemas.openxmlformats.org/package/2006/relationships'>
<Relationship Id='rId1' Type='http://schemas.openxmlformats.org/officeDocument/2006/relationships/officeDocument' Target='/word/document.xml'/>
</Relationships>
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r="http://schemas.openxmlformats.org/officeDocument/2006/relationships">
  <w:body>
    <w:tbl>
      <w:tblPr>
        <w:tblW w:w="10771" w:type="dxa"/>
        <w:tblLayout w:type="fixed"/>
        <w:tblCellMar>
          <w:top w:w="34" w:type="dxa"/>
          <w:left w:w="40" w:type="dxa"/>
          <w:bottom w:w="34" w:type="dxa"/>
          <w:right w:w="40" w:type="dxa"/>
        </w:tblCellMar>
      </w:tblPr>
      <w:tblGrid>
        <w:gridCol w:w="430"/>
        <w:gridCol w:w="108"/>
        <w:gridCol w:w="646"/>
        <w:gridCol w:w="862"/>
        <w:gridCol w:w="215"/>
        <w:gridCol w:w="431"/>
        <w:gridCol w:w="1616"/>
        <w:gridCol w:w="431"/>
        <w:gridCol w:w="646"/>
        <w:gridCol w:w="215"/>
        <w:gridCol w:w="324"/>
        <w:gridCol w:w="754"/>
        <w:gridCol w:w="753"/>
        <w:gridCol w:w="647"/>
        <w:gridCol w:w="107"/>
        <w:gridCol w:w="1508"/>
        <w:gridCol w:w="1078"/>
      </w:tblGrid>
      <w:tr>
        <w:trPr>
          <w:cantSplit/>
        </w:trPr>
        <w:tc>
          <w:tcPr>
            <w:gridSpan w:val="6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drawing>
                <wp:anchor simplePos="0" behindDoc="1" relativeHeight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9750" cy="755650"/>
                  <wp:effectExtent l="0" t="0" r="0" b="0"/>
                  <wp:wrapNone/>
                  <wp:docPr id="1" name="Report Image 1"/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img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750" cy="755650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gridSpan w:val="3"/>
          </w:tcPr>
          <w:p>
            <w:pPr>
              <w:spacing w:after="0" w:line="240"/>
              <w:jc w:val="end"/>
              <w:rPr>
                <w:b/>
                <w:rFonts w:ascii="Times New Roman" w:hAnsi="Times New Roman"/>
                <w:sz w:val="21"/>
              </w:rPr>
            </w:pPr>
            <w:r>
              <w:rPr>
                <w:b/>
                <w:rFonts w:ascii="Times New Roman" w:hAnsi="Times New Roman"/>
                <w:sz w:val="21"/>
              </w:rPr>
              <w:t>Objednávka :</w:t>
            </w:r>
          </w:p>
        </w:tc>
        <w:tc>
          <w:tcPr>
            <w:gridSpan w:val="5"/>
          </w:tcPr>
          <w:p>
            <w:pPr>
              <w:spacing w:after="0" w:line="240"/>
              <w:rPr>
                <w:b/>
                <w:rFonts w:ascii="Times New Roman" w:hAnsi="Times New Roman"/>
                <w:sz w:val="21"/>
              </w:rPr>
            </w:pPr>
            <w:r>
              <w:rPr>
                <w:b/>
                <w:rFonts w:ascii="Times New Roman" w:hAnsi="Times New Roman"/>
                <w:sz w:val="21"/>
              </w:rPr>
              <w:t>MC22-R-OSM00210/2024</w:t>
            </w:r>
          </w:p>
        </w:tc>
        <w:tc>
          <w:tcPr>
            <w:gridSpan w:val="3"/>
            <w:vAlign w:val="bottom"/>
            <w:tcMar>
              <w:bottom w:w="-6" w:type="dxa"/>
            </w:tcMar>
          </w:tcPr>
          <w:p>
            <w:pPr>
              <w:spacing w:after="0" w:line="240"/>
              <w:jc w:val="end"/>
              <w:rPr>
                <w:rFonts w:ascii="CKGinis" w:hAnsi="CKGinis"/>
                <w:sz w:val="65"/>
              </w:rPr>
            </w:pPr>
            <w:r>
              <w:rPr>
                <w:rFonts w:ascii="CKGinis" w:hAnsi="CKGinis"/>
                <w:sz w:val="65"/>
              </w:rPr>
              <w:t>*MC22X009WJGN*</w:t>
            </w:r>
          </w:p>
        </w:tc>
      </w:tr>
      <w:tr>
        <w:trPr>
          <w:cantSplit/>
        </w:trPr>
        <w:tc>
          <w:tcPr>
            <w:gridSpan w:val="14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3"/>
            <w:vAlign w:val="bottom"/>
            <w:tcMar>
              <w:top w:w="-6" w:type="dxa"/>
            </w:tcMar>
          </w:tcPr>
          <w:p>
            <w:pPr>
              <w:spacing w:after="0" w:line="240"/>
              <w:jc w:val="end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MC22X009WJGN</w:t>
            </w:r>
          </w:p>
        </w:tc>
      </w:tr>
      <w:tr>
        <w:trPr>
          <w:cantSplit/>
        </w:trPr>
        <w:tc>
          <w:tcPr>
            <w:gridSpan w:val="9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8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4"/>
          </w:tcPr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Odběratel:</w:t>
            </w:r>
          </w:p>
        </w:tc>
        <w:tc>
          <w:tcPr>
            <w:gridSpan w:val="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5"/>
          </w:tcPr>
          <w:p>
            <w:pPr>
              <w:spacing w:after="0" w:line="240"/>
              <w:jc w:val="end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V Praze Uhříněvsi dne :</w:t>
            </w:r>
          </w:p>
        </w:tc>
        <w:tc>
          <w:tcPr/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06.09.2024</w:t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Městská část Praha 22</w:t>
            </w:r>
          </w:p>
        </w:tc>
      </w:tr>
      <w:tr>
        <w:trPr>
          <w:cantSplit/>
        </w:trPr>
        <w:tc>
          <w:tcPr>
            <w:gridSpan w:val="11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Nové náměstí 1250</w:t>
            </w:r>
          </w:p>
        </w:tc>
        <w:tc>
          <w:tcPr>
            <w:gridSpan w:val="2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Bankovní spojení:</w:t>
            </w:r>
          </w:p>
        </w:tc>
        <w:tc>
          <w:tcPr>
            <w:gridSpan w:val="4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Česká spořitelna, a.s. - pobočka Uhříněves</w:t>
            </w:r>
          </w:p>
        </w:tc>
      </w:tr>
      <w:tr>
        <w:trPr>
          <w:cantSplit/>
        </w:trPr>
        <w:tc>
          <w:tcPr>
            <w:gridSpan w:val="13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104 00 Praha 114</w:t>
            </w:r>
          </w:p>
        </w:tc>
        <w:tc>
          <w:tcPr>
            <w:gridSpan w:val="4"/>
          </w:tcPr>
          <w:p>
            <w:pPr>
              <w:spacing w:after="0" w:line="240"/>
              <w:rPr>
                <w:b/>
                <w:rFonts w:ascii="Times New Roman" w:hAnsi="Times New Roman"/>
                <w:sz w:val="21"/>
              </w:rPr>
            </w:pPr>
            <w:r>
              <w:rPr>
                <w:b/>
                <w:rFonts w:ascii="Times New Roman" w:hAnsi="Times New Roman"/>
                <w:sz w:val="21"/>
              </w:rPr>
              <w:t>27-2000754389/0800</w:t>
            </w:r>
          </w:p>
        </w:tc>
      </w:tr>
      <w:tr>
        <w:trPr>
          <w:cantSplit/>
        </w:trPr>
        <w:tc>
          <w:tcPr>
            <w:gridSpan w:val="11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IČO: 00240915 DIČ: CZ00240915</w:t>
            </w:r>
          </w:p>
        </w:tc>
        <w:tc>
          <w:tcPr>
            <w:gridSpan w:val="2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Vyřizuje:</w:t>
            </w:r>
          </w:p>
        </w:tc>
        <w:tc>
          <w:tcPr>
            <w:gridSpan w:val="4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Rechcigel Vladko</w:t>
            </w:r>
          </w:p>
        </w:tc>
      </w:tr>
      <w:tr>
        <w:trPr>
          <w:cantSplit/>
        </w:trPr>
        <w:tc>
          <w:tcPr>
            <w:gridSpan w:val="11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tel.: 271 071 811 fax: 271 071 819</w:t>
            </w:r>
          </w:p>
        </w:tc>
        <w:tc>
          <w:tcPr>
            <w:gridSpan w:val="6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3"/>
          </w:tcPr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Dodavatel:</w:t>
            </w:r>
          </w:p>
        </w:tc>
        <w:tc>
          <w:tcPr>
            <w:gridSpan w:val="8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/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Popis:</w:t>
            </w:r>
          </w:p>
        </w:tc>
        <w:tc>
          <w:tcPr>
            <w:gridSpan w:val="5"/>
          </w:tcPr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Havarijní oprava UPS - výměnou v čp. 201 - divadlo U22 (UPS umístěna v nevhodném - vlhkém prostředí.</w:t>
            </w:r>
          </w:p>
        </w:tc>
      </w:tr>
      <w:tr>
        <w:trPr>
          <w:cantSplit/>
        </w:trPr>
        <w:tc>
          <w:tcPr>
            <w:gridSpan w:val="11"/>
          </w:tcPr>
          <w:p>
            <w:pPr>
              <w:spacing w:after="0" w:line="240"/>
              <w:rPr>
                <w:b/>
                <w:rFonts w:ascii="Times New Roman" w:hAnsi="Times New Roman"/>
                <w:sz w:val="21"/>
              </w:rPr>
            </w:pPr>
            <w:r>
              <w:rPr>
                <w:b/>
                <w:rFonts w:ascii="Times New Roman" w:hAnsi="Times New Roman"/>
                <w:sz w:val="21"/>
              </w:rPr>
              <w:t>ELFIS spol. s r.o.</w:t>
            </w:r>
          </w:p>
        </w:tc>
        <w:tc>
          <w:tcPr>
            <w:gridSpan w:val="6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1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Kolmá 685/10</w:t>
            </w:r>
          </w:p>
        </w:tc>
        <w:tc>
          <w:tcPr>
            <w:gridSpan w:val="6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2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19000</w:t>
            </w:r>
          </w:p>
        </w:tc>
        <w:tc>
          <w:tcPr>
            <w:gridSpan w:val="9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Praha</w:t>
            </w:r>
          </w:p>
        </w:tc>
        <w:tc>
          <w:tcPr>
            <w:gridSpan w:val="6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/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IČ:</w:t>
            </w:r>
          </w:p>
        </w:tc>
        <w:tc>
          <w:tcPr>
            <w:gridSpan w:val="16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44794932</w:t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  <w:tcBorders>
              <w:top w:val="single" w:sz="0" w:space="0"/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b/>
                <w:rFonts w:ascii="Times New Roman" w:hAnsi="Times New Roman"/>
                <w:sz w:val="21"/>
              </w:rPr>
            </w:pPr>
            <w:r>
              <w:rPr>
                <w:b/>
                <w:rFonts w:ascii="Times New Roman" w:hAnsi="Times New Roman"/>
                <w:sz w:val="21"/>
              </w:rPr>
              <w:t>Objednáváme u Vás</w:t>
            </w:r>
          </w:p>
        </w:tc>
      </w:tr>
      <w:tr>
        <w:trPr>
          <w:cantSplit/>
        </w:trPr>
        <w:tc>
          <w:tcPr>
            <w:gridSpan w:val="17"/>
            <w:tcBorders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Havarijní oprava UPS - výměnou v čp. 201 - divadlo U22 (totálně vyhořená technologická část, UPS umístěna v nevhodném - vlhkém prostředí - pod UPS kaluž, odvlhčování nepomáhá, nemění se skříň s akumulátory), divadlo nelze provozovat bez funkční UPS (UPS pohání při výpadku el. stropní ventilátory pro odvod kouře), Praha 22 - Uhříněves.</w:t>
            </w:r>
          </w:p>
        </w:tc>
      </w:tr>
      <w:tr>
        <w:trPr>
          <w:cantSplit/>
        </w:trPr>
        <w:tc>
          <w:tcPr>
            <w:gridSpan w:val="17"/>
            <w:tcBorders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  <w:tcBorders>
              <w:bottom w:val="single" w:sz="0" w:space="0"/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i/>
                <w:rFonts w:ascii="Times New Roman" w:hAnsi="Times New Roman"/>
                <w:sz w:val="21"/>
              </w:rPr>
            </w:pPr>
            <w:r>
              <w:rPr>
                <w:i/>
                <w:rFonts w:ascii="Times New Roman" w:hAnsi="Times New Roman"/>
                <w:sz w:val="21"/>
              </w:rPr>
              <w:t>Na faktuře je nezbytné uvést číslo živnostenského oprávnění, případně záznam o zápisu v obchodním rejstříku.</w:t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6"/>
            <w:tcBorders>
              <w:top w:val="single" w:sz="0" w:space="0"/>
              <w:left w:val="single" w:sz="0" w:space="0"/>
            </w:tcBorders>
          </w:tcPr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Termín plnění :</w:t>
            </w:r>
          </w:p>
        </w:tc>
        <w:tc>
          <w:tcPr>
            <w:gridSpan w:val="4"/>
            <w:tcBorders>
              <w:top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5.9.2024</w:t>
            </w:r>
          </w:p>
        </w:tc>
        <w:tc>
          <w:tcPr>
            <w:gridSpan w:val="7"/>
            <w:tcBorders>
              <w:top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6"/>
            <w:tcBorders>
              <w:bottom w:val="single" w:sz="0" w:space="0"/>
              <w:left w:val="single" w:sz="0" w:space="0"/>
            </w:tcBorders>
          </w:tcPr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Předběžná cena bez DPH</w:t>
            </w:r>
          </w:p>
        </w:tc>
        <w:tc>
          <w:tcPr>
            <w:gridSpan w:val="4"/>
            <w:tcBorders>
              <w:bottom w:val="single" w:sz="0" w:space="0"/>
            </w:tcBorders>
          </w:tcPr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283 382,00 Kč</w:t>
            </w:r>
          </w:p>
        </w:tc>
        <w:tc>
          <w:tcPr>
            <w:gridSpan w:val="7"/>
            <w:tcBorders>
              <w:bottom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  <w:tcBorders>
              <w:top w:val="single" w:sz="0" w:space="0"/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Obecné smluvní podmínky:</w:t>
            </w:r>
          </w:p>
        </w:tc>
      </w:tr>
      <w:tr>
        <w:trPr>
          <w:cantSplit/>
        </w:trPr>
        <w:tc>
          <w:tcPr>
            <w:gridSpan w:val="17"/>
            <w:tcBorders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1) Smlouva na základě této objednávky nabývá platnosti dnem jejího podpisu oběma smluvními stranami, tj. písemným potvrzením této objednávky dodavatelem a účinnosti dnem její registrace v registru smluv dle zákona č. 340/2015 Sb., o zvláštních podmínkách účinnosti některých smluv, uveřejňování těchto smluv a registru smluv. Pro akceptaci objednávky zašle osoba oprávněná zastupovat dodavatele písemný souhlas do 10 dnů ode dne doručení objednávky, nejdéle do zahájení plnění (lze i elektronicky).</w:t>
            </w:r>
          </w:p>
        </w:tc>
      </w:tr>
      <w:tr>
        <w:trPr>
          <w:cantSplit/>
        </w:trPr>
        <w:tc>
          <w:tcPr>
            <w:gridSpan w:val="17"/>
            <w:tcBorders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2) Smluvní strany výslovně sjednávají, že uveřejnění této objednávky v registru smluv dle zákona č. 340/2015 Sb., o zvláštních podmínkách účinnosti některých smluv, uveřejňování těchto smluv a registru smluv zajistí Městská část Praha 22</w:t>
            </w:r>
          </w:p>
        </w:tc>
      </w:tr>
      <w:tr>
        <w:trPr>
          <w:cantSplit/>
        </w:trPr>
        <w:tc>
          <w:tcPr>
            <w:gridSpan w:val="17"/>
            <w:tcBorders>
              <w:bottom w:val="single" w:sz="0" w:space="0"/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3) V případě, že dodavatel uzná, že se jedná o stavební nebo montážní práce (kód CZ-CPA 41-43), prohlašujeme, že předmět objednávky je určen k ekonomické činnosti MČ, proto bude uplatněn režim přenesené daňové povinnost dle § 92e zákona o DPH. V tomto případě žádáme dodavatele o doručení daňového dokladu nejpozději do 5. kalend. dne měsíce následujícího po měsící, v němž se uskutečnilo zdanitelné plnění (z důvodu dodržení termínu úč. uzávěrek MHMP).</w:t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  <w:tcBorders>
              <w:top w:val="single" w:sz="0" w:space="0"/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Ostatní ujednání:</w:t>
            </w:r>
          </w:p>
        </w:tc>
      </w:tr>
      <w:tr>
        <w:trPr>
          <w:cantSplit/>
        </w:trPr>
        <w:tc>
          <w:tcPr>
            <w:gridSpan w:val="17"/>
            <w:tcBorders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1) Dodavatel v rámci plnění zajistí úklid prostoru po opravě či plnění v rámci dodávky  a rovněž tak odvoz a likvidaci odpadu vzniklého při opravě či plnění v rámci dodávky, a to vše na svůj náklad.</w:t>
            </w:r>
          </w:p>
        </w:tc>
      </w:tr>
      <w:tr>
        <w:trPr>
          <w:cantSplit/>
        </w:trPr>
        <w:tc>
          <w:tcPr>
            <w:gridSpan w:val="17"/>
            <w:tcBorders>
              <w:bottom w:val="single" w:sz="0" w:space="0"/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2) Dodavatel zajistí osobní předání dodávky pracovníkovi ÚMČ Praha 22 uvedenému na objednávce. Bez osobní předávky nebude plnění považováno za uskutečněné.</w:t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5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2"/>
          </w:tcPr>
          <w:p>
            <w:pPr>
              <w:spacing w:after="0" w:line="240"/>
              <w:jc w:val="center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Štíbr Vladimír Mgr. LL.M.</w:t>
            </w:r>
          </w:p>
        </w:tc>
      </w:tr>
      <w:tr>
        <w:trPr>
          <w:cantSplit/>
        </w:trPr>
        <w:tc>
          <w:tcPr>
            <w:gridSpan w:val="15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2"/>
          </w:tcPr>
          <w:p>
            <w:pPr>
              <w:spacing w:after="0" w:line="24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odbor správy majetku</w:t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Přílohy faktury, bez kterých nebude faktura proplacena:</w:t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1) objednávka plnění</w:t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2) soupis použitého materiálu s cenami</w:t>
            </w:r>
          </w:p>
        </w:tc>
      </w:tr>
      <w:tr>
        <w:trPr>
          <w:cantSplit/>
        </w:trPr>
        <w:tc>
          <w:tcPr>
            <w:gridSpan w:val="5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3) výkaz rozsahu práce a to :</w:t>
            </w:r>
          </w:p>
        </w:tc>
        <w:tc>
          <w:tcPr>
            <w:gridSpan w:val="12"/>
          </w:tcPr>
          <w:p>
            <w:pPr>
              <w:spacing w:after="0" w:line="24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cantSplit/>
        </w:trPr>
        <w:tc>
          <w:tcPr>
            <w:gridSpan w:val="8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- ceníkovými položkami dle vzájemně odsouhlasených cen</w:t>
            </w:r>
          </w:p>
        </w:tc>
        <w:tc>
          <w:tcPr>
            <w:gridSpan w:val="9"/>
          </w:tcPr>
          <w:p>
            <w:pPr>
              <w:spacing w:after="0" w:line="24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cantSplit/>
        </w:trPr>
        <w:tc>
          <w:tcPr>
            <w:gridSpan w:val="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- vzájemně odsouhlasenou cenou smluvní</w:t>
            </w:r>
          </w:p>
        </w:tc>
        <w:tc>
          <w:tcPr>
            <w:gridSpan w:val="10"/>
          </w:tcPr>
          <w:p>
            <w:pPr>
              <w:spacing w:after="0" w:line="24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- odpracovaných hodin a výši hodinových sazeb včetně popisu provedených prací v příslušných dnech</w:t>
            </w:r>
          </w:p>
        </w:tc>
      </w:tr>
    </w:tbl>
    <w:sectPr>
      <w:pgSz w:w="11905" w:h="16837" w:orient="portrait"/>
      <w:pgMar w:left="566" w:top="566" w:right="568" w:bottom="568" w:header="566" w:footer="568" w:gutter="0"/>
    </w:sectPr>
  </w:body>
</w:document>
</file>

<file path=word/settings.xml><?xml version="1.0" encoding="utf-8"?>
<w:settings xmlns:mc="http://schemas.openxmlformats.org/markup-compatibility/2006" xmlns:w="http://schemas.openxmlformats.org/wordprocessingml/2006/main">
  <w:compat>
    <w:compatSetting w:name="compatibilityMode" w:uri="http://schemas.microsoft.com/office/word" w:val="99"/>
  </w:compat>
</w:settings>
</file>

<file path=word/_rels/document.xml.rels><?xml version='1.0' encoding='windows-1250'?>
<Relationships xmlns='http://schemas.openxmlformats.org/package/2006/relationships'>
<Relationship Id='r1' Type='http://schemas.openxmlformats.org/officeDocument/2006/relationships/settings' Target='settings.xml'/>
<Relationship Id='img1' Type='http://schemas.openxmlformats.org/officeDocument/2006/relationships/image' Target='media/img1.png'/>
</Relationships>

</file>