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
        <w:rPr>
          <w:rFonts w:ascii="Times New Roman"/>
          <w:b w:val="0"/>
          <w:sz w:val="20"/>
        </w:rPr>
      </w:pPr>
      <w:r>
        <w:rPr/>
        <w:pict>
          <v:group style="position:absolute;margin-left:49.549999pt;margin-top:783.927002pt;width:503.25pt;height:58.1pt;mso-position-horizontal-relative:page;mso-position-vertical-relative:page;z-index:-4000" coordorigin="991,15679" coordsize="10065,1162">
            <v:shape style="position:absolute;left:993;top:15679;width:10063;height:1161" type="#_x0000_t75" stroked="false">
              <v:imagedata r:id="rId5" o:title=""/>
            </v:shape>
            <v:shapetype id="_x0000_t202" o:spt="202" coordsize="21600,21600" path="m,l,21600r21600,l21600,xe">
              <v:stroke joinstyle="miter"/>
              <v:path gradientshapeok="t" o:connecttype="rect"/>
            </v:shapetype>
            <v:shape style="position:absolute;left:991;top:16045;width:2443;height:220" type="#_x0000_t202" filled="false" stroked="false">
              <v:textbox inset="0,0,0,0">
                <w:txbxContent>
                  <w:p>
                    <w:pPr>
                      <w:spacing w:line="220" w:lineRule="exact" w:before="0"/>
                      <w:ind w:left="0" w:right="0" w:firstLine="0"/>
                      <w:jc w:val="left"/>
                      <w:rPr>
                        <w:b/>
                        <w:sz w:val="22"/>
                      </w:rPr>
                    </w:pPr>
                    <w:r>
                      <w:rPr>
                        <w:b/>
                        <w:sz w:val="22"/>
                      </w:rPr>
                      <w:t>Kontakt: +420 602 273 743</w:t>
                    </w:r>
                  </w:p>
                </w:txbxContent>
              </v:textbox>
              <w10:wrap type="none"/>
            </v:shape>
            <w10:wrap type="none"/>
          </v:group>
        </w:pict>
      </w:r>
      <w:r>
        <w:rPr>
          <w:rFonts w:ascii="Times New Roman"/>
          <w:b w:val="0"/>
          <w:sz w:val="20"/>
        </w:rPr>
        <w:drawing>
          <wp:inline distT="0" distB="0" distL="0" distR="0">
            <wp:extent cx="6382195" cy="1037844"/>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6382195" cy="1037844"/>
                    </a:xfrm>
                    <a:prstGeom prst="rect">
                      <a:avLst/>
                    </a:prstGeom>
                  </pic:spPr>
                </pic:pic>
              </a:graphicData>
            </a:graphic>
          </wp:inline>
        </w:drawing>
      </w:r>
      <w:r>
        <w:rPr>
          <w:rFonts w:ascii="Times New Roman"/>
          <w:b w:val="0"/>
          <w:sz w:val="20"/>
        </w:rPr>
      </w:r>
    </w:p>
    <w:p>
      <w:pPr>
        <w:pStyle w:val="BodyText"/>
        <w:spacing w:before="5"/>
        <w:ind w:left="0"/>
        <w:rPr>
          <w:rFonts w:ascii="Times New Roman"/>
          <w:b w:val="0"/>
          <w:sz w:val="24"/>
        </w:rPr>
      </w:pPr>
    </w:p>
    <w:p>
      <w:pPr>
        <w:pStyle w:val="BodyText"/>
        <w:tabs>
          <w:tab w:pos="2992" w:val="left" w:leader="none"/>
        </w:tabs>
        <w:spacing w:before="56"/>
      </w:pPr>
      <w:r>
        <w:rPr/>
        <w:t>Věc:</w:t>
        <w:tab/>
        <w:t>Nabídka instalace venkovních protislunečních okenních fólií</w:t>
      </w:r>
      <w:r>
        <w:rPr>
          <w:spacing w:val="-33"/>
        </w:rPr>
        <w:t> </w:t>
      </w:r>
      <w:r>
        <w:rPr/>
        <w:t>LLumar</w:t>
      </w:r>
    </w:p>
    <w:p>
      <w:pPr>
        <w:pStyle w:val="BodyText"/>
        <w:tabs>
          <w:tab w:pos="2992" w:val="left" w:leader="none"/>
        </w:tabs>
        <w:spacing w:before="1"/>
      </w:pPr>
      <w:r>
        <w:rPr/>
        <w:t>Číslo:</w:t>
        <w:tab/>
        <w:t>240905/J1</w:t>
      </w:r>
    </w:p>
    <w:p>
      <w:pPr>
        <w:pStyle w:val="BodyText"/>
        <w:spacing w:before="5"/>
        <w:ind w:left="0"/>
        <w:rPr>
          <w:sz w:val="21"/>
        </w:rPr>
      </w:pPr>
    </w:p>
    <w:p>
      <w:pPr>
        <w:pStyle w:val="BodyText"/>
        <w:tabs>
          <w:tab w:pos="2992" w:val="left" w:leader="none"/>
        </w:tabs>
      </w:pPr>
      <w:r>
        <w:rPr/>
        <w:t>Firma:</w:t>
        <w:tab/>
        <w:t>ZŠ U Školské</w:t>
      </w:r>
      <w:r>
        <w:rPr>
          <w:spacing w:val="3"/>
        </w:rPr>
        <w:t> </w:t>
      </w:r>
      <w:r>
        <w:rPr/>
        <w:t>zahrady</w:t>
      </w:r>
    </w:p>
    <w:p>
      <w:pPr>
        <w:pStyle w:val="BodyText"/>
        <w:tabs>
          <w:tab w:pos="2992" w:val="left" w:leader="none"/>
        </w:tabs>
        <w:spacing w:before="1"/>
      </w:pPr>
      <w:r>
        <w:rPr/>
        <w:t>K rukám:</w:t>
        <w:tab/>
        <w:t>paní ředitelky Věry</w:t>
      </w:r>
      <w:r>
        <w:rPr>
          <w:spacing w:val="-12"/>
        </w:rPr>
        <w:t> </w:t>
      </w:r>
      <w:r>
        <w:rPr/>
        <w:t>Staňkové</w:t>
      </w:r>
    </w:p>
    <w:p>
      <w:pPr>
        <w:pStyle w:val="BodyText"/>
        <w:tabs>
          <w:tab w:pos="2992" w:val="left" w:leader="none"/>
        </w:tabs>
        <w:spacing w:before="1"/>
      </w:pPr>
      <w:r>
        <w:rPr/>
        <w:t>Telefonní</w:t>
      </w:r>
      <w:r>
        <w:rPr>
          <w:spacing w:val="-5"/>
        </w:rPr>
        <w:t> </w:t>
      </w:r>
      <w:r>
        <w:rPr/>
        <w:t>spojení:</w:t>
        <w:tab/>
        <w:t>+429 734 829</w:t>
      </w:r>
      <w:r>
        <w:rPr>
          <w:spacing w:val="-16"/>
        </w:rPr>
        <w:t> </w:t>
      </w:r>
      <w:r>
        <w:rPr>
          <w:spacing w:val="2"/>
        </w:rPr>
        <w:t>349</w:t>
      </w:r>
    </w:p>
    <w:p>
      <w:pPr>
        <w:pStyle w:val="BodyText"/>
        <w:tabs>
          <w:tab w:pos="3042" w:val="left" w:leader="none"/>
        </w:tabs>
        <w:spacing w:before="1"/>
      </w:pPr>
      <w:r>
        <w:rPr/>
        <w:t>Místo</w:t>
      </w:r>
      <w:r>
        <w:rPr>
          <w:spacing w:val="-1"/>
        </w:rPr>
        <w:t> </w:t>
      </w:r>
      <w:r>
        <w:rPr/>
        <w:t>instalace:</w:t>
        <w:tab/>
        <w:t>U Školské zahrady 4, Praha</w:t>
      </w:r>
      <w:r>
        <w:rPr>
          <w:spacing w:val="1"/>
        </w:rPr>
        <w:t> </w:t>
      </w:r>
      <w:r>
        <w:rPr/>
        <w:t>8</w:t>
      </w:r>
    </w:p>
    <w:p>
      <w:pPr>
        <w:pStyle w:val="BodyText"/>
        <w:spacing w:before="6" w:after="1"/>
        <w:ind w:left="0"/>
        <w:rPr>
          <w:sz w:val="20"/>
        </w:rPr>
      </w:pPr>
    </w:p>
    <w:tbl>
      <w:tblPr>
        <w:tblW w:w="0" w:type="auto"/>
        <w:jc w:val="left"/>
        <w:tblInd w:w="111"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top w:w="0" w:type="dxa"/>
          <w:left w:w="0" w:type="dxa"/>
          <w:bottom w:w="0" w:type="dxa"/>
          <w:right w:w="0" w:type="dxa"/>
        </w:tblCellMar>
        <w:tblLook w:val="01E0"/>
      </w:tblPr>
      <w:tblGrid>
        <w:gridCol w:w="2732"/>
        <w:gridCol w:w="991"/>
        <w:gridCol w:w="991"/>
        <w:gridCol w:w="1851"/>
        <w:gridCol w:w="1562"/>
        <w:gridCol w:w="1921"/>
      </w:tblGrid>
      <w:tr>
        <w:trPr>
          <w:trHeight w:val="931" w:hRule="exact"/>
        </w:trPr>
        <w:tc>
          <w:tcPr>
            <w:tcW w:w="2732" w:type="dxa"/>
          </w:tcPr>
          <w:p>
            <w:pPr>
              <w:pStyle w:val="TableParagraph"/>
              <w:spacing w:before="5"/>
              <w:rPr>
                <w:b/>
                <w:sz w:val="25"/>
              </w:rPr>
            </w:pPr>
          </w:p>
          <w:p>
            <w:pPr>
              <w:pStyle w:val="TableParagraph"/>
              <w:spacing w:before="1"/>
              <w:ind w:left="927" w:right="936"/>
              <w:jc w:val="center"/>
              <w:rPr>
                <w:b/>
                <w:sz w:val="22"/>
              </w:rPr>
            </w:pPr>
            <w:r>
              <w:rPr>
                <w:b/>
                <w:sz w:val="22"/>
              </w:rPr>
              <w:t>Typ fólie</w:t>
            </w:r>
          </w:p>
        </w:tc>
        <w:tc>
          <w:tcPr>
            <w:tcW w:w="991" w:type="dxa"/>
          </w:tcPr>
          <w:p>
            <w:pPr>
              <w:pStyle w:val="TableParagraph"/>
              <w:spacing w:before="181"/>
              <w:ind w:left="160" w:right="144" w:firstLine="120"/>
              <w:rPr>
                <w:b/>
                <w:sz w:val="22"/>
              </w:rPr>
            </w:pPr>
            <w:r>
              <w:rPr>
                <w:b/>
                <w:sz w:val="22"/>
              </w:rPr>
              <w:t>Účel použití</w:t>
            </w:r>
          </w:p>
        </w:tc>
        <w:tc>
          <w:tcPr>
            <w:tcW w:w="991" w:type="dxa"/>
          </w:tcPr>
          <w:p>
            <w:pPr>
              <w:pStyle w:val="TableParagraph"/>
              <w:spacing w:line="270" w:lineRule="exact" w:before="174"/>
              <w:ind w:left="190" w:firstLine="50"/>
              <w:rPr>
                <w:b/>
                <w:sz w:val="14"/>
              </w:rPr>
            </w:pPr>
            <w:r>
              <w:rPr>
                <w:b/>
                <w:sz w:val="22"/>
              </w:rPr>
              <w:t>Cena Kč/m</w:t>
            </w:r>
            <w:r>
              <w:rPr>
                <w:b/>
                <w:position w:val="8"/>
                <w:sz w:val="14"/>
              </w:rPr>
              <w:t>2</w:t>
            </w:r>
          </w:p>
        </w:tc>
        <w:tc>
          <w:tcPr>
            <w:tcW w:w="1851" w:type="dxa"/>
          </w:tcPr>
          <w:p>
            <w:pPr>
              <w:pStyle w:val="TableParagraph"/>
              <w:spacing w:line="237" w:lineRule="auto" w:before="53"/>
              <w:ind w:left="160" w:right="160" w:hanging="1"/>
              <w:jc w:val="center"/>
              <w:rPr>
                <w:b/>
                <w:sz w:val="22"/>
              </w:rPr>
            </w:pPr>
            <w:r>
              <w:rPr>
                <w:b/>
                <w:sz w:val="22"/>
              </w:rPr>
              <w:t>Materiálová spotřeba včetně prořezu</w:t>
            </w:r>
          </w:p>
        </w:tc>
        <w:tc>
          <w:tcPr>
            <w:tcW w:w="1562" w:type="dxa"/>
          </w:tcPr>
          <w:p>
            <w:pPr>
              <w:pStyle w:val="TableParagraph"/>
              <w:spacing w:before="181"/>
              <w:ind w:left="370" w:right="176" w:hanging="201"/>
              <w:rPr>
                <w:b/>
                <w:sz w:val="22"/>
              </w:rPr>
            </w:pPr>
            <w:r>
              <w:rPr>
                <w:b/>
                <w:sz w:val="22"/>
              </w:rPr>
              <w:t>Cena celkem bez DPH</w:t>
            </w:r>
          </w:p>
        </w:tc>
        <w:tc>
          <w:tcPr>
            <w:tcW w:w="1921" w:type="dxa"/>
          </w:tcPr>
          <w:p>
            <w:pPr>
              <w:pStyle w:val="TableParagraph"/>
              <w:spacing w:before="5"/>
              <w:rPr>
                <w:b/>
                <w:sz w:val="25"/>
              </w:rPr>
            </w:pPr>
          </w:p>
          <w:p>
            <w:pPr>
              <w:pStyle w:val="TableParagraph"/>
              <w:spacing w:before="1"/>
              <w:ind w:left="416" w:right="427"/>
              <w:jc w:val="center"/>
              <w:rPr>
                <w:b/>
                <w:sz w:val="22"/>
              </w:rPr>
            </w:pPr>
            <w:r>
              <w:rPr>
                <w:b/>
                <w:sz w:val="22"/>
              </w:rPr>
              <w:t>Pozn.</w:t>
            </w:r>
          </w:p>
        </w:tc>
      </w:tr>
      <w:tr>
        <w:trPr>
          <w:trHeight w:val="585" w:hRule="exact"/>
        </w:trPr>
        <w:tc>
          <w:tcPr>
            <w:tcW w:w="2732" w:type="dxa"/>
            <w:tcBorders>
              <w:bottom w:val="single" w:sz="12" w:space="0" w:color="000000"/>
            </w:tcBorders>
          </w:tcPr>
          <w:p>
            <w:pPr>
              <w:pStyle w:val="TableParagraph"/>
              <w:spacing w:before="10"/>
              <w:ind w:left="50"/>
              <w:rPr>
                <w:b/>
                <w:sz w:val="22"/>
              </w:rPr>
            </w:pPr>
            <w:r>
              <w:rPr>
                <w:b/>
                <w:sz w:val="22"/>
              </w:rPr>
              <w:t>THE 80 BL ER HPR Helios</w:t>
            </w:r>
          </w:p>
          <w:p>
            <w:pPr>
              <w:pStyle w:val="TableParagraph"/>
              <w:spacing w:before="0"/>
              <w:ind w:left="50"/>
              <w:rPr>
                <w:b/>
                <w:sz w:val="22"/>
              </w:rPr>
            </w:pPr>
            <w:r>
              <w:rPr>
                <w:b/>
                <w:sz w:val="22"/>
              </w:rPr>
              <w:t>velmi světlá</w:t>
            </w:r>
          </w:p>
        </w:tc>
        <w:tc>
          <w:tcPr>
            <w:tcW w:w="991" w:type="dxa"/>
            <w:tcBorders>
              <w:bottom w:val="single" w:sz="12" w:space="0" w:color="000000"/>
            </w:tcBorders>
          </w:tcPr>
          <w:p>
            <w:pPr>
              <w:pStyle w:val="TableParagraph"/>
              <w:spacing w:before="140"/>
              <w:ind w:left="343" w:right="343"/>
              <w:jc w:val="center"/>
              <w:rPr>
                <w:b/>
                <w:sz w:val="22"/>
              </w:rPr>
            </w:pPr>
            <w:r>
              <w:rPr>
                <w:b/>
                <w:sz w:val="22"/>
              </w:rPr>
              <w:t>EP</w:t>
            </w:r>
          </w:p>
        </w:tc>
        <w:tc>
          <w:tcPr>
            <w:tcW w:w="991" w:type="dxa"/>
            <w:tcBorders>
              <w:bottom w:val="single" w:sz="12" w:space="0" w:color="000000"/>
            </w:tcBorders>
          </w:tcPr>
          <w:p>
            <w:pPr>
              <w:pStyle w:val="TableParagraph"/>
              <w:spacing w:before="140"/>
              <w:ind w:right="160"/>
              <w:jc w:val="right"/>
              <w:rPr>
                <w:b/>
                <w:sz w:val="22"/>
              </w:rPr>
            </w:pPr>
            <w:r>
              <w:rPr>
                <w:b/>
                <w:sz w:val="22"/>
              </w:rPr>
              <w:t>1.600,-</w:t>
            </w:r>
          </w:p>
        </w:tc>
        <w:tc>
          <w:tcPr>
            <w:tcW w:w="1851" w:type="dxa"/>
            <w:tcBorders>
              <w:bottom w:val="single" w:sz="12" w:space="0" w:color="000000"/>
            </w:tcBorders>
          </w:tcPr>
          <w:p>
            <w:pPr>
              <w:pStyle w:val="TableParagraph"/>
              <w:spacing w:before="136"/>
              <w:ind w:left="590"/>
              <w:rPr>
                <w:b/>
                <w:sz w:val="14"/>
              </w:rPr>
            </w:pPr>
            <w:r>
              <w:rPr>
                <w:b/>
                <w:sz w:val="22"/>
              </w:rPr>
              <w:t>145 m</w:t>
            </w:r>
            <w:r>
              <w:rPr>
                <w:b/>
                <w:position w:val="8"/>
                <w:sz w:val="14"/>
              </w:rPr>
              <w:t>2</w:t>
            </w:r>
          </w:p>
        </w:tc>
        <w:tc>
          <w:tcPr>
            <w:tcW w:w="1562" w:type="dxa"/>
            <w:tcBorders>
              <w:bottom w:val="single" w:sz="12" w:space="0" w:color="000000"/>
            </w:tcBorders>
          </w:tcPr>
          <w:p>
            <w:pPr>
              <w:pStyle w:val="TableParagraph"/>
              <w:spacing w:before="140"/>
              <w:ind w:left="190"/>
              <w:rPr>
                <w:b/>
                <w:sz w:val="22"/>
              </w:rPr>
            </w:pPr>
            <w:r>
              <w:rPr>
                <w:b/>
                <w:sz w:val="22"/>
              </w:rPr>
              <w:t>232.000,- Kč</w:t>
            </w:r>
          </w:p>
        </w:tc>
        <w:tc>
          <w:tcPr>
            <w:tcW w:w="1921" w:type="dxa"/>
            <w:tcBorders>
              <w:bottom w:val="single" w:sz="12" w:space="0" w:color="000000"/>
            </w:tcBorders>
          </w:tcPr>
          <w:p>
            <w:pPr>
              <w:pStyle w:val="TableParagraph"/>
              <w:spacing w:before="140"/>
              <w:ind w:left="416" w:right="427"/>
              <w:jc w:val="center"/>
              <w:rPr>
                <w:b/>
                <w:sz w:val="22"/>
              </w:rPr>
            </w:pPr>
            <w:r>
              <w:rPr>
                <w:b/>
                <w:sz w:val="22"/>
              </w:rPr>
              <w:t>jižní strana</w:t>
            </w:r>
          </w:p>
        </w:tc>
      </w:tr>
      <w:tr>
        <w:trPr>
          <w:trHeight w:val="575" w:hRule="exact"/>
        </w:trPr>
        <w:tc>
          <w:tcPr>
            <w:tcW w:w="2732" w:type="dxa"/>
            <w:tcBorders>
              <w:top w:val="single" w:sz="12" w:space="0" w:color="000000"/>
            </w:tcBorders>
          </w:tcPr>
          <w:p>
            <w:pPr>
              <w:pStyle w:val="TableParagraph"/>
              <w:spacing w:line="259" w:lineRule="exact" w:before="0"/>
              <w:ind w:left="50"/>
              <w:rPr>
                <w:b/>
                <w:sz w:val="22"/>
              </w:rPr>
            </w:pPr>
            <w:r>
              <w:rPr>
                <w:b/>
                <w:sz w:val="22"/>
              </w:rPr>
              <w:t>RHE 50(35)SI ER HPR Helios</w:t>
            </w:r>
          </w:p>
          <w:p>
            <w:pPr>
              <w:pStyle w:val="TableParagraph"/>
              <w:spacing w:before="1"/>
              <w:ind w:left="50"/>
              <w:rPr>
                <w:b/>
                <w:sz w:val="22"/>
              </w:rPr>
            </w:pPr>
            <w:r>
              <w:rPr>
                <w:b/>
                <w:sz w:val="22"/>
              </w:rPr>
              <w:t>stříbrná světlá (střední)</w:t>
            </w:r>
          </w:p>
        </w:tc>
        <w:tc>
          <w:tcPr>
            <w:tcW w:w="991" w:type="dxa"/>
            <w:tcBorders>
              <w:top w:val="single" w:sz="12" w:space="0" w:color="000000"/>
            </w:tcBorders>
          </w:tcPr>
          <w:p>
            <w:pPr>
              <w:pStyle w:val="TableParagraph"/>
              <w:ind w:left="343" w:right="343"/>
              <w:jc w:val="center"/>
              <w:rPr>
                <w:b/>
                <w:sz w:val="22"/>
              </w:rPr>
            </w:pPr>
            <w:r>
              <w:rPr>
                <w:b/>
                <w:sz w:val="22"/>
              </w:rPr>
              <w:t>EP</w:t>
            </w:r>
          </w:p>
        </w:tc>
        <w:tc>
          <w:tcPr>
            <w:tcW w:w="991" w:type="dxa"/>
            <w:tcBorders>
              <w:top w:val="single" w:sz="12" w:space="0" w:color="000000"/>
            </w:tcBorders>
          </w:tcPr>
          <w:p>
            <w:pPr>
              <w:pStyle w:val="TableParagraph"/>
              <w:ind w:right="200"/>
              <w:jc w:val="right"/>
              <w:rPr>
                <w:b/>
                <w:sz w:val="22"/>
              </w:rPr>
            </w:pPr>
            <w:r>
              <w:rPr>
                <w:b/>
                <w:sz w:val="22"/>
              </w:rPr>
              <w:t>940,-</w:t>
            </w:r>
          </w:p>
        </w:tc>
        <w:tc>
          <w:tcPr>
            <w:tcW w:w="1851" w:type="dxa"/>
            <w:tcBorders>
              <w:top w:val="single" w:sz="12" w:space="0" w:color="000000"/>
            </w:tcBorders>
          </w:tcPr>
          <w:p>
            <w:pPr>
              <w:pStyle w:val="TableParagraph"/>
              <w:spacing w:before="127"/>
              <w:ind w:left="590"/>
              <w:rPr>
                <w:b/>
                <w:sz w:val="14"/>
              </w:rPr>
            </w:pPr>
            <w:r>
              <w:rPr>
                <w:b/>
                <w:sz w:val="22"/>
              </w:rPr>
              <w:t>145 m</w:t>
            </w:r>
            <w:r>
              <w:rPr>
                <w:b/>
                <w:position w:val="8"/>
                <w:sz w:val="14"/>
              </w:rPr>
              <w:t>2</w:t>
            </w:r>
          </w:p>
        </w:tc>
        <w:tc>
          <w:tcPr>
            <w:tcW w:w="1562" w:type="dxa"/>
            <w:tcBorders>
              <w:top w:val="single" w:sz="12" w:space="0" w:color="000000"/>
            </w:tcBorders>
          </w:tcPr>
          <w:p>
            <w:pPr>
              <w:pStyle w:val="TableParagraph"/>
              <w:ind w:left="190"/>
              <w:rPr>
                <w:b/>
                <w:sz w:val="22"/>
              </w:rPr>
            </w:pPr>
            <w:r>
              <w:rPr>
                <w:b/>
                <w:sz w:val="22"/>
              </w:rPr>
              <w:t>136.300,- Kč</w:t>
            </w:r>
          </w:p>
        </w:tc>
        <w:tc>
          <w:tcPr>
            <w:tcW w:w="1921" w:type="dxa"/>
            <w:tcBorders>
              <w:top w:val="single" w:sz="12" w:space="0" w:color="000000"/>
            </w:tcBorders>
          </w:tcPr>
          <w:p>
            <w:pPr>
              <w:pStyle w:val="TableParagraph"/>
              <w:ind w:left="416" w:right="427"/>
              <w:jc w:val="center"/>
              <w:rPr>
                <w:b/>
                <w:sz w:val="22"/>
              </w:rPr>
            </w:pPr>
            <w:r>
              <w:rPr>
                <w:b/>
                <w:sz w:val="22"/>
              </w:rPr>
              <w:t>jižní strana</w:t>
            </w:r>
          </w:p>
        </w:tc>
      </w:tr>
    </w:tbl>
    <w:p>
      <w:pPr>
        <w:spacing w:before="0"/>
        <w:ind w:left="397" w:right="923" w:firstLine="0"/>
        <w:jc w:val="center"/>
        <w:rPr>
          <w:b/>
          <w:sz w:val="18"/>
        </w:rPr>
      </w:pPr>
      <w:r>
        <w:rPr>
          <w:b/>
          <w:sz w:val="22"/>
        </w:rPr>
        <w:t>Označení: </w:t>
      </w:r>
      <w:r>
        <w:rPr>
          <w:b/>
          <w:sz w:val="18"/>
        </w:rPr>
        <w:t>B - bezpečnostní, O - ochranné, P - protisluneční, EP - externí protisluneční, M - matové, TI -  tepelněizolační</w:t>
      </w:r>
    </w:p>
    <w:p>
      <w:pPr>
        <w:pStyle w:val="BodyText"/>
        <w:spacing w:before="7"/>
        <w:ind w:left="0"/>
        <w:rPr>
          <w:sz w:val="20"/>
        </w:rPr>
      </w:pPr>
    </w:p>
    <w:p>
      <w:pPr>
        <w:pStyle w:val="BodyText"/>
        <w:tabs>
          <w:tab w:pos="4434" w:val="left" w:leader="none"/>
        </w:tabs>
      </w:pPr>
      <w:r>
        <w:rPr/>
        <w:t>Doprava</w:t>
        <w:tab/>
        <w:t>1.380,-</w:t>
      </w:r>
      <w:r>
        <w:rPr>
          <w:spacing w:val="46"/>
        </w:rPr>
        <w:t> </w:t>
      </w:r>
      <w:r>
        <w:rPr/>
        <w:t>Kč</w:t>
      </w:r>
    </w:p>
    <w:p>
      <w:pPr>
        <w:pStyle w:val="BodyText"/>
        <w:tabs>
          <w:tab w:pos="4434" w:val="left" w:leader="none"/>
        </w:tabs>
        <w:spacing w:before="1"/>
        <w:ind w:right="3373"/>
      </w:pPr>
      <w:r>
        <w:rPr/>
        <w:t>Pronájem plošiny AT</w:t>
      </w:r>
      <w:r>
        <w:rPr>
          <w:spacing w:val="-19"/>
        </w:rPr>
        <w:t> </w:t>
      </w:r>
      <w:r>
        <w:rPr/>
        <w:t>244II</w:t>
      </w:r>
      <w:r>
        <w:rPr>
          <w:spacing w:val="4"/>
        </w:rPr>
        <w:t> </w:t>
      </w:r>
      <w:r>
        <w:rPr/>
        <w:t>Nissan</w:t>
        <w:tab/>
        <w:t>29.850,- Kč</w:t>
      </w:r>
      <w:r>
        <w:rPr>
          <w:spacing w:val="-11"/>
        </w:rPr>
        <w:t> </w:t>
      </w:r>
      <w:r>
        <w:rPr/>
        <w:t>(9.950,-</w:t>
      </w:r>
      <w:r>
        <w:rPr>
          <w:spacing w:val="-3"/>
        </w:rPr>
        <w:t> </w:t>
      </w:r>
      <w:r>
        <w:rPr/>
        <w:t>Kč/den)</w:t>
      </w:r>
      <w:r>
        <w:rPr>
          <w:w w:val="100"/>
        </w:rPr>
        <w:t> </w:t>
      </w:r>
      <w:r>
        <w:rPr/>
        <w:t>Předpokládaná</w:t>
      </w:r>
      <w:r>
        <w:rPr>
          <w:spacing w:val="-2"/>
        </w:rPr>
        <w:t> </w:t>
      </w:r>
      <w:r>
        <w:rPr/>
        <w:t>doba</w:t>
      </w:r>
      <w:r>
        <w:rPr>
          <w:spacing w:val="-2"/>
        </w:rPr>
        <w:t> </w:t>
      </w:r>
      <w:r>
        <w:rPr/>
        <w:t>instalace</w:t>
        <w:tab/>
        <w:t>3</w:t>
      </w:r>
      <w:r>
        <w:rPr>
          <w:spacing w:val="1"/>
        </w:rPr>
        <w:t> </w:t>
      </w:r>
      <w:r>
        <w:rPr/>
        <w:t>dny</w:t>
      </w:r>
    </w:p>
    <w:p>
      <w:pPr>
        <w:pStyle w:val="BodyText"/>
        <w:tabs>
          <w:tab w:pos="4434" w:val="left" w:leader="none"/>
        </w:tabs>
        <w:spacing w:line="261" w:lineRule="exact"/>
      </w:pPr>
      <w:r>
        <w:rPr/>
        <w:t>Záruka na dílo:</w:t>
        <w:tab/>
        <w:t>5</w:t>
      </w:r>
      <w:r>
        <w:rPr>
          <w:spacing w:val="-8"/>
        </w:rPr>
        <w:t> </w:t>
      </w:r>
      <w:r>
        <w:rPr/>
        <w:t>let</w:t>
      </w:r>
    </w:p>
    <w:p>
      <w:pPr>
        <w:pStyle w:val="BodyText"/>
        <w:tabs>
          <w:tab w:pos="4434" w:val="left" w:leader="none"/>
        </w:tabs>
        <w:spacing w:before="1"/>
      </w:pPr>
      <w:r>
        <w:rPr/>
        <w:t>Platební</w:t>
      </w:r>
      <w:r>
        <w:rPr>
          <w:spacing w:val="-5"/>
        </w:rPr>
        <w:t> </w:t>
      </w:r>
      <w:r>
        <w:rPr/>
        <w:t>podmínky:</w:t>
        <w:tab/>
        <w:t>fakturou se splatností 14</w:t>
      </w:r>
      <w:r>
        <w:rPr>
          <w:spacing w:val="-3"/>
        </w:rPr>
        <w:t> </w:t>
      </w:r>
      <w:r>
        <w:rPr/>
        <w:t>dní</w:t>
      </w:r>
    </w:p>
    <w:p>
      <w:pPr>
        <w:pStyle w:val="BodyText"/>
        <w:tabs>
          <w:tab w:pos="4434" w:val="left" w:leader="none"/>
        </w:tabs>
        <w:ind w:left="4454" w:right="713" w:hanging="4344"/>
      </w:pPr>
      <w:r>
        <w:rPr/>
        <w:t>Termín</w:t>
      </w:r>
      <w:r>
        <w:rPr>
          <w:spacing w:val="-2"/>
        </w:rPr>
        <w:t> </w:t>
      </w:r>
      <w:r>
        <w:rPr/>
        <w:t>instalace:</w:t>
        <w:tab/>
        <w:t>dohodou po zaslání objednávky a</w:t>
      </w:r>
      <w:r>
        <w:rPr>
          <w:spacing w:val="-27"/>
        </w:rPr>
        <w:t> </w:t>
      </w:r>
      <w:r>
        <w:rPr/>
        <w:t>vhodných</w:t>
      </w:r>
      <w:r>
        <w:rPr>
          <w:spacing w:val="-2"/>
        </w:rPr>
        <w:t> </w:t>
      </w:r>
      <w:r>
        <w:rPr/>
        <w:t>klimatických</w:t>
      </w:r>
      <w:r>
        <w:rPr>
          <w:w w:val="100"/>
        </w:rPr>
        <w:t> </w:t>
      </w:r>
      <w:r>
        <w:rPr/>
        <w:t>podmínek</w:t>
      </w:r>
    </w:p>
    <w:p>
      <w:pPr>
        <w:pStyle w:val="BodyText"/>
        <w:spacing w:before="2"/>
        <w:ind w:left="0"/>
      </w:pPr>
    </w:p>
    <w:p>
      <w:pPr>
        <w:pStyle w:val="BodyText"/>
        <w:tabs>
          <w:tab w:pos="4434" w:val="left" w:leader="none"/>
        </w:tabs>
        <w:spacing w:line="242" w:lineRule="auto"/>
        <w:ind w:right="4731"/>
      </w:pPr>
      <w:r>
        <w:rPr/>
        <w:t>Cena celkem bez DPH za THE 80 BL</w:t>
      </w:r>
      <w:r>
        <w:rPr>
          <w:spacing w:val="-5"/>
        </w:rPr>
        <w:t> </w:t>
      </w:r>
      <w:r>
        <w:rPr/>
        <w:t>ER</w:t>
      </w:r>
      <w:r>
        <w:rPr>
          <w:spacing w:val="-5"/>
        </w:rPr>
        <w:t> </w:t>
      </w:r>
      <w:r>
        <w:rPr/>
        <w:t>HPR:</w:t>
        <w:tab/>
        <w:t>263.230,-</w:t>
      </w:r>
      <w:r>
        <w:rPr>
          <w:spacing w:val="42"/>
        </w:rPr>
        <w:t> </w:t>
      </w:r>
      <w:r>
        <w:rPr/>
        <w:t>Kč</w:t>
      </w:r>
      <w:r>
        <w:rPr>
          <w:spacing w:val="-1"/>
          <w:w w:val="99"/>
        </w:rPr>
        <w:t> </w:t>
      </w:r>
      <w:r>
        <w:rPr/>
        <w:t>Cena celkem s</w:t>
      </w:r>
      <w:r>
        <w:rPr>
          <w:spacing w:val="4"/>
        </w:rPr>
        <w:t> </w:t>
      </w:r>
      <w:r>
        <w:rPr/>
        <w:t>21%</w:t>
      </w:r>
      <w:r>
        <w:rPr>
          <w:spacing w:val="-1"/>
        </w:rPr>
        <w:t> </w:t>
      </w:r>
      <w:r>
        <w:rPr/>
        <w:t>DPH:</w:t>
        <w:tab/>
        <w:t>318.509,-</w:t>
      </w:r>
      <w:r>
        <w:rPr>
          <w:spacing w:val="42"/>
        </w:rPr>
        <w:t> </w:t>
      </w:r>
      <w:r>
        <w:rPr/>
        <w:t>Kč</w:t>
      </w:r>
    </w:p>
    <w:p>
      <w:pPr>
        <w:pStyle w:val="BodyText"/>
        <w:spacing w:before="7"/>
        <w:ind w:left="0"/>
        <w:rPr>
          <w:sz w:val="23"/>
        </w:rPr>
      </w:pPr>
    </w:p>
    <w:p>
      <w:pPr>
        <w:pStyle w:val="BodyText"/>
        <w:tabs>
          <w:tab w:pos="4434" w:val="left" w:leader="none"/>
        </w:tabs>
        <w:spacing w:line="242" w:lineRule="auto" w:before="1"/>
        <w:ind w:right="4731"/>
      </w:pPr>
      <w:r>
        <w:rPr/>
        <w:t>Cena celkem bez DPH za RHE 50(35)SI ER HPR: 167.530,- Kč Cena celkem s</w:t>
      </w:r>
      <w:r>
        <w:rPr>
          <w:spacing w:val="4"/>
        </w:rPr>
        <w:t> </w:t>
      </w:r>
      <w:r>
        <w:rPr/>
        <w:t>21%</w:t>
      </w:r>
      <w:r>
        <w:rPr>
          <w:spacing w:val="-1"/>
        </w:rPr>
        <w:t> </w:t>
      </w:r>
      <w:r>
        <w:rPr/>
        <w:t>DPH:</w:t>
        <w:tab/>
        <w:t>202.711,-</w:t>
      </w:r>
      <w:r>
        <w:rPr>
          <w:spacing w:val="43"/>
        </w:rPr>
        <w:t> </w:t>
      </w:r>
      <w:r>
        <w:rPr/>
        <w:t>Kč</w:t>
      </w:r>
    </w:p>
    <w:p>
      <w:pPr>
        <w:pStyle w:val="BodyText"/>
        <w:spacing w:line="550" w:lineRule="exact" w:before="28"/>
        <w:ind w:right="4731"/>
      </w:pPr>
      <w:r>
        <w:rPr/>
        <w:t>Cenová nabídka platí 3 měsíce od data vystavení. </w:t>
      </w:r>
      <w:r>
        <w:rPr>
          <w:color w:val="FF0000"/>
          <w:u w:val="single" w:color="FF0000"/>
        </w:rPr>
        <w:t>Venkovních okenní fólie HELIOS:</w:t>
      </w:r>
    </w:p>
    <w:p>
      <w:pPr>
        <w:pStyle w:val="BodyText"/>
        <w:spacing w:line="229" w:lineRule="exact"/>
      </w:pPr>
      <w:r>
        <w:rPr/>
        <w:t>Mimořádně vysoká životnost venkovních fólií LLumar je dána jejich zesílenou konstrukcí a použitím povrchové</w:t>
      </w:r>
    </w:p>
    <w:p>
      <w:pPr>
        <w:pStyle w:val="BodyText"/>
        <w:spacing w:line="244" w:lineRule="auto" w:before="12"/>
      </w:pPr>
      <w:r>
        <w:rPr/>
        <w:t>úpravy HELIOS se zdokonalenou ochranou proti UV záření, vodě a dalším vlivům venkovního prostředí. Fólie řady HELIOS se snadno čistí, povrch fólie vykazuje efekt lotosového květu (samočistící efekt) a zbavuje se nečistot působením větru a deště.</w:t>
      </w:r>
    </w:p>
    <w:p>
      <w:pPr>
        <w:pStyle w:val="BodyText"/>
        <w:spacing w:before="9"/>
        <w:ind w:left="0"/>
        <w:rPr>
          <w:sz w:val="26"/>
        </w:rPr>
      </w:pPr>
    </w:p>
    <w:p>
      <w:pPr>
        <w:pStyle w:val="BodyText"/>
      </w:pPr>
      <w:r>
        <w:rPr>
          <w:color w:val="FF0000"/>
          <w:u w:val="single" w:color="FF0000"/>
        </w:rPr>
        <w:t>Reference:</w:t>
      </w:r>
    </w:p>
    <w:p>
      <w:pPr>
        <w:pStyle w:val="BodyText"/>
        <w:spacing w:line="249" w:lineRule="auto" w:before="51"/>
        <w:ind w:right="132"/>
      </w:pPr>
      <w:r>
        <w:rPr/>
        <w:t>Špičkovou kvalitu práce našich techniků ocenila v průběhu třiceti let působení na trhu řada významných firem a institucí včetně České národní banky, Muzea hl. města Prahy, ČEZ a.s., a mnoho dalších.</w:t>
      </w:r>
    </w:p>
    <w:p>
      <w:pPr>
        <w:pStyle w:val="BodyText"/>
        <w:spacing w:line="242" w:lineRule="auto"/>
        <w:ind w:right="132"/>
      </w:pPr>
      <w:r>
        <w:rPr/>
        <w:t>Fólie LLumar slouží i v mnoha školských zařízeních, např. První jazykové ZŠ Horáčkova, Sunny Canadian International School, Československé akademii obchodní Resslova, Vyšší policejní škole, Victoria School, Trivis SŠ škole veřejnoprávní, ZŠ Gen. Janouška, ZŠ Špitálská, ZŠ Zdenky Braunerové v Roztokách a mnoho dalších.</w:t>
      </w:r>
    </w:p>
    <w:p>
      <w:pPr>
        <w:pStyle w:val="BodyText"/>
        <w:spacing w:before="7"/>
        <w:ind w:left="0"/>
        <w:rPr>
          <w:sz w:val="23"/>
        </w:rPr>
      </w:pPr>
    </w:p>
    <w:p>
      <w:pPr>
        <w:pStyle w:val="BodyText"/>
        <w:tabs>
          <w:tab w:pos="7316" w:val="left" w:leader="none"/>
          <w:tab w:pos="8807" w:val="left" w:leader="none"/>
        </w:tabs>
      </w:pPr>
      <w:r>
        <w:rPr/>
        <w:t>S</w:t>
      </w:r>
      <w:r>
        <w:rPr>
          <w:spacing w:val="-4"/>
        </w:rPr>
        <w:t> </w:t>
      </w:r>
      <w:r>
        <w:rPr/>
        <w:t>úctou</w:t>
        <w:tab/>
        <w:t>V</w:t>
      </w:r>
      <w:r>
        <w:rPr>
          <w:spacing w:val="1"/>
        </w:rPr>
        <w:t> </w:t>
      </w:r>
      <w:r>
        <w:rPr/>
        <w:t>Praze dne</w:t>
        <w:tab/>
        <w:t>5.9.</w:t>
      </w:r>
      <w:r>
        <w:rPr>
          <w:spacing w:val="-10"/>
        </w:rPr>
        <w:t> </w:t>
      </w:r>
      <w:r>
        <w:rPr/>
        <w:t>2024</w:t>
      </w:r>
    </w:p>
    <w:p>
      <w:pPr>
        <w:pStyle w:val="BodyText"/>
        <w:spacing w:before="11"/>
      </w:pPr>
      <w:r>
        <w:rPr/>
        <w:t>Jitka Tyšerová</w:t>
      </w:r>
    </w:p>
    <w:sectPr>
      <w:type w:val="continuous"/>
      <w:pgSz w:w="11910" w:h="16840"/>
      <w:pgMar w:top="400" w:bottom="0" w:left="8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110"/>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31"/>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2024-10-23T08:19:32Z</dcterms:created>
  <dcterms:modified xsi:type="dcterms:W3CDTF">2024-10-23T08:19:32Z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2024-10-23T00:00:00Z</vt:filetime>
  </property>
</Properties>
</file>