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061CF4DC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</w:t>
      </w:r>
      <w:r w:rsidR="00BA4E06">
        <w:rPr>
          <w:rFonts w:asciiTheme="minorHAnsi" w:hAnsiTheme="minorHAnsi" w:cs="Arial"/>
          <w:b/>
          <w:bCs/>
          <w:szCs w:val="24"/>
        </w:rPr>
        <w:t>1213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3C2465C0" w:rsidR="00BB01FD" w:rsidRPr="00242159" w:rsidRDefault="00BB01FD" w:rsidP="000C3610">
      <w:pPr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>Číslo účtu: ČNB, 6331011/0710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36F21990" w:rsidR="00355AFB" w:rsidRPr="007B79FD" w:rsidRDefault="00E3129C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BDO Czech Republic</w:t>
      </w:r>
      <w:r w:rsidR="00355AFB"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7CB660C9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C86703" w:rsidRPr="00C86703">
        <w:rPr>
          <w:rFonts w:asciiTheme="minorHAnsi" w:hAnsiTheme="minorHAnsi" w:cstheme="minorHAnsi"/>
          <w:color w:val="2A2A28"/>
          <w:sz w:val="24"/>
          <w:szCs w:val="24"/>
        </w:rPr>
        <w:t>Nádražní 344/23</w:t>
      </w:r>
      <w:r w:rsidR="00C86703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 xml:space="preserve">150 00 Praha 5  </w:t>
      </w:r>
    </w:p>
    <w:p w14:paraId="4ED7F3D1" w14:textId="2F50862D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270E28" w:rsidRPr="00270E28">
        <w:rPr>
          <w:rFonts w:asciiTheme="minorHAnsi" w:hAnsiTheme="minorHAnsi" w:cstheme="minorHAnsi"/>
          <w:color w:val="2A2A28"/>
          <w:sz w:val="24"/>
          <w:szCs w:val="24"/>
        </w:rPr>
        <w:t>26402220</w:t>
      </w:r>
    </w:p>
    <w:p w14:paraId="228C3CAC" w14:textId="2D0BC22D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0D24A1" w:rsidRPr="000D24A1">
        <w:rPr>
          <w:rFonts w:asciiTheme="minorHAnsi" w:hAnsiTheme="minorHAnsi" w:cstheme="minorHAnsi"/>
          <w:color w:val="2A2A28"/>
          <w:sz w:val="24"/>
          <w:szCs w:val="24"/>
        </w:rPr>
        <w:t>CZ26402220</w:t>
      </w:r>
    </w:p>
    <w:p w14:paraId="55C3A27D" w14:textId="3FDE7967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Zastoupená:</w:t>
      </w:r>
      <w:r w:rsidR="000D24A1">
        <w:rPr>
          <w:rFonts w:asciiTheme="minorHAnsi" w:hAnsiTheme="minorHAnsi" w:cstheme="minorHAnsi"/>
          <w:color w:val="2A2A28"/>
          <w:sz w:val="24"/>
          <w:szCs w:val="24"/>
        </w:rPr>
        <w:t xml:space="preserve"> Miroslavem </w:t>
      </w:r>
      <w:proofErr w:type="spellStart"/>
      <w:r w:rsidR="000D24A1">
        <w:rPr>
          <w:rFonts w:asciiTheme="minorHAnsi" w:hAnsiTheme="minorHAnsi" w:cstheme="minorHAnsi"/>
          <w:color w:val="2A2A28"/>
          <w:sz w:val="24"/>
          <w:szCs w:val="24"/>
        </w:rPr>
        <w:t>Jandečkou</w:t>
      </w:r>
      <w:proofErr w:type="spellEnd"/>
      <w:r w:rsidR="000F5A9C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proofErr w:type="spellStart"/>
      <w:r w:rsidR="000F5A9C">
        <w:rPr>
          <w:rFonts w:asciiTheme="minorHAnsi" w:hAnsiTheme="minorHAnsi" w:cstheme="minorHAnsi"/>
          <w:color w:val="2A2A28"/>
          <w:sz w:val="24"/>
          <w:szCs w:val="24"/>
        </w:rPr>
        <w:t>Managing</w:t>
      </w:r>
      <w:proofErr w:type="spellEnd"/>
      <w:r w:rsidR="000F5A9C">
        <w:rPr>
          <w:rFonts w:asciiTheme="minorHAnsi" w:hAnsiTheme="minorHAnsi" w:cstheme="minorHAnsi"/>
          <w:color w:val="2A2A28"/>
          <w:sz w:val="24"/>
          <w:szCs w:val="24"/>
        </w:rPr>
        <w:t xml:space="preserve"> Partnerem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</w:p>
    <w:p w14:paraId="1A29913C" w14:textId="22DF0252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="00FA10C7">
        <w:rPr>
          <w:rFonts w:asciiTheme="minorHAnsi" w:hAnsiTheme="minorHAnsi"/>
          <w:sz w:val="24"/>
          <w:szCs w:val="24"/>
        </w:rPr>
        <w:t>sp</w:t>
      </w:r>
      <w:proofErr w:type="spellEnd"/>
      <w:r w:rsidR="00FA10C7">
        <w:rPr>
          <w:rFonts w:asciiTheme="minorHAnsi" w:hAnsiTheme="minorHAnsi"/>
          <w:sz w:val="24"/>
          <w:szCs w:val="24"/>
        </w:rPr>
        <w:t xml:space="preserve">. </w:t>
      </w:r>
      <w:r w:rsidR="00D93615">
        <w:rPr>
          <w:rFonts w:asciiTheme="minorHAnsi" w:hAnsiTheme="minorHAnsi"/>
          <w:sz w:val="24"/>
          <w:szCs w:val="24"/>
        </w:rPr>
        <w:t>z</w:t>
      </w:r>
      <w:r w:rsidR="00FA10C7">
        <w:rPr>
          <w:rFonts w:asciiTheme="minorHAnsi" w:hAnsiTheme="minorHAnsi"/>
          <w:sz w:val="24"/>
          <w:szCs w:val="24"/>
        </w:rPr>
        <w:t>n.: C 16871</w:t>
      </w:r>
      <w:bookmarkEnd w:id="0"/>
      <w:bookmarkEnd w:id="1"/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2B94CE54" w14:textId="2E5091E1" w:rsidR="0034331A" w:rsidRPr="00F84CE4" w:rsidRDefault="0034331A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 </w:t>
      </w:r>
      <w:r w:rsidR="004C1CD7" w:rsidRPr="00826216">
        <w:rPr>
          <w:rFonts w:asciiTheme="minorHAnsi" w:hAnsiTheme="minorHAnsi" w:cstheme="minorHAnsi"/>
          <w:sz w:val="24"/>
          <w:szCs w:val="24"/>
        </w:rPr>
        <w:t>centrální schodiště</w:t>
      </w:r>
    </w:p>
    <w:p w14:paraId="7C3B25FE" w14:textId="6A714B7A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419BA9BD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1A96F8D0" w:rsidR="00C5032E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5E7EE0DA" w:rsidR="00FA0DDC" w:rsidRPr="00F84CE4" w:rsidRDefault="00195144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4EE9A5EC" w:rsidR="0025537F" w:rsidRPr="007D20E8" w:rsidRDefault="00826216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Západní </w:t>
      </w:r>
      <w:proofErr w:type="gramStart"/>
      <w:r w:rsidRPr="007D20E8">
        <w:rPr>
          <w:rFonts w:asciiTheme="minorHAnsi" w:hAnsiTheme="minorHAnsi" w:cs="Arial"/>
          <w:sz w:val="24"/>
          <w:szCs w:val="24"/>
        </w:rPr>
        <w:t xml:space="preserve">dvorana - </w:t>
      </w:r>
      <w:r w:rsidR="00D66BA8" w:rsidRPr="007D20E8">
        <w:rPr>
          <w:rFonts w:asciiTheme="minorHAnsi" w:hAnsiTheme="minorHAnsi" w:cs="Arial"/>
          <w:sz w:val="24"/>
          <w:szCs w:val="24"/>
        </w:rPr>
        <w:t>od</w:t>
      </w:r>
      <w:proofErr w:type="gramEnd"/>
      <w:r w:rsidR="0025537F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E4422" w:rsidRPr="007D20E8">
        <w:rPr>
          <w:rFonts w:asciiTheme="minorHAnsi" w:hAnsiTheme="minorHAnsi" w:cs="Arial"/>
          <w:sz w:val="24"/>
          <w:szCs w:val="24"/>
        </w:rPr>
        <w:t>14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E4422" w:rsidRPr="007D20E8">
        <w:rPr>
          <w:rFonts w:asciiTheme="minorHAnsi" w:hAnsiTheme="minorHAnsi" w:cs="Arial"/>
          <w:sz w:val="24"/>
          <w:szCs w:val="24"/>
        </w:rPr>
        <w:t>11</w:t>
      </w:r>
      <w:r w:rsidR="00D1586D" w:rsidRPr="007D20E8">
        <w:rPr>
          <w:rFonts w:asciiTheme="minorHAnsi" w:hAnsiTheme="minorHAnsi" w:cs="Arial"/>
          <w:sz w:val="24"/>
          <w:szCs w:val="24"/>
        </w:rPr>
        <w:t>.</w:t>
      </w:r>
      <w:r w:rsidR="0025537F" w:rsidRPr="007D20E8">
        <w:rPr>
          <w:rFonts w:asciiTheme="minorHAnsi" w:hAnsiTheme="minorHAnsi" w:cs="Arial"/>
          <w:sz w:val="24"/>
          <w:szCs w:val="24"/>
        </w:rPr>
        <w:t xml:space="preserve"> 202</w:t>
      </w:r>
      <w:r w:rsidR="003C13C0" w:rsidRPr="007D20E8">
        <w:rPr>
          <w:rFonts w:asciiTheme="minorHAnsi" w:hAnsiTheme="minorHAnsi" w:cs="Arial"/>
          <w:sz w:val="24"/>
          <w:szCs w:val="24"/>
        </w:rPr>
        <w:t>4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od </w:t>
      </w:r>
      <w:r w:rsidR="003C13C0" w:rsidRPr="007D20E8">
        <w:rPr>
          <w:rFonts w:asciiTheme="minorHAnsi" w:hAnsiTheme="minorHAnsi" w:cs="Arial"/>
          <w:sz w:val="24"/>
          <w:szCs w:val="24"/>
        </w:rPr>
        <w:t>1</w:t>
      </w:r>
      <w:r w:rsidR="00B83201" w:rsidRPr="007D20E8">
        <w:rPr>
          <w:rFonts w:asciiTheme="minorHAnsi" w:hAnsiTheme="minorHAnsi" w:cs="Arial"/>
          <w:sz w:val="24"/>
          <w:szCs w:val="24"/>
        </w:rPr>
        <w:t>3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8A1127" w:rsidRPr="007D20E8">
        <w:rPr>
          <w:rFonts w:asciiTheme="minorHAnsi" w:hAnsiTheme="minorHAnsi" w:cs="Arial"/>
          <w:sz w:val="24"/>
          <w:szCs w:val="24"/>
        </w:rPr>
        <w:t>00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7D20E8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7D20E8">
        <w:rPr>
          <w:rFonts w:asciiTheme="minorHAnsi" w:hAnsiTheme="minorHAnsi" w:cs="Arial"/>
          <w:sz w:val="24"/>
          <w:szCs w:val="24"/>
        </w:rPr>
        <w:t>do 15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CD612D" w:rsidRPr="007D20E8">
        <w:rPr>
          <w:rFonts w:asciiTheme="minorHAnsi" w:hAnsiTheme="minorHAnsi" w:cs="Arial"/>
          <w:sz w:val="24"/>
          <w:szCs w:val="24"/>
        </w:rPr>
        <w:t>11</w:t>
      </w:r>
      <w:r w:rsidR="005C7EE9" w:rsidRPr="007D20E8">
        <w:rPr>
          <w:rFonts w:asciiTheme="minorHAnsi" w:hAnsiTheme="minorHAnsi" w:cs="Arial"/>
          <w:sz w:val="24"/>
          <w:szCs w:val="24"/>
        </w:rPr>
        <w:t>.</w:t>
      </w:r>
      <w:r w:rsidR="00124B0A" w:rsidRPr="007D20E8">
        <w:rPr>
          <w:rFonts w:asciiTheme="minorHAnsi" w:hAnsiTheme="minorHAnsi" w:cs="Arial"/>
          <w:sz w:val="24"/>
          <w:szCs w:val="24"/>
        </w:rPr>
        <w:t>2024 do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7D20E8">
        <w:rPr>
          <w:rFonts w:asciiTheme="minorHAnsi" w:hAnsiTheme="minorHAnsi" w:cs="Arial"/>
          <w:sz w:val="24"/>
          <w:szCs w:val="24"/>
        </w:rPr>
        <w:t>0</w:t>
      </w:r>
      <w:r w:rsidR="001A5C84">
        <w:rPr>
          <w:rFonts w:asciiTheme="minorHAnsi" w:hAnsiTheme="minorHAnsi" w:cs="Arial"/>
          <w:sz w:val="24"/>
          <w:szCs w:val="24"/>
        </w:rPr>
        <w:t>2</w:t>
      </w:r>
      <w:r w:rsidR="00A0423D" w:rsidRPr="007D20E8">
        <w:rPr>
          <w:rFonts w:asciiTheme="minorHAnsi" w:hAnsiTheme="minorHAnsi" w:cs="Arial"/>
          <w:sz w:val="24"/>
          <w:szCs w:val="24"/>
        </w:rPr>
        <w:t>.00</w:t>
      </w:r>
      <w:r w:rsidR="00A43DFC" w:rsidRPr="007D20E8">
        <w:rPr>
          <w:rFonts w:asciiTheme="minorHAnsi" w:hAnsiTheme="minorHAnsi" w:cs="Arial"/>
          <w:sz w:val="24"/>
          <w:szCs w:val="24"/>
        </w:rPr>
        <w:t xml:space="preserve"> h;</w:t>
      </w:r>
    </w:p>
    <w:p w14:paraId="7D45CA6B" w14:textId="54A0BDCC" w:rsidR="00826216" w:rsidRDefault="00826216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Centrální schodiště – 14. 11. 2024 od 18.00 do 19.00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C9CD67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02FC47F4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4A2D0249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826216" w:rsidRPr="007D20E8">
        <w:rPr>
          <w:rFonts w:asciiTheme="minorHAnsi" w:hAnsiTheme="minorHAnsi" w:cs="Arial"/>
          <w:sz w:val="24"/>
          <w:szCs w:val="24"/>
        </w:rPr>
        <w:t>6</w:t>
      </w:r>
      <w:r w:rsidR="000D6A0A">
        <w:rPr>
          <w:rFonts w:asciiTheme="minorHAnsi" w:hAnsiTheme="minorHAnsi" w:cs="Arial"/>
          <w:sz w:val="24"/>
          <w:szCs w:val="24"/>
        </w:rPr>
        <w:t>40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CF7D4F">
        <w:rPr>
          <w:rFonts w:asciiTheme="minorHAnsi" w:hAnsiTheme="minorHAnsi" w:cs="Arial"/>
          <w:sz w:val="24"/>
          <w:szCs w:val="24"/>
        </w:rPr>
        <w:t>774</w:t>
      </w:r>
      <w:r w:rsidR="00197CA7" w:rsidRPr="007D20E8">
        <w:rPr>
          <w:rFonts w:asciiTheme="minorHAnsi" w:hAnsiTheme="minorHAnsi" w:cs="Arial"/>
          <w:sz w:val="24"/>
          <w:szCs w:val="24"/>
        </w:rPr>
        <w:t>.</w:t>
      </w:r>
      <w:r w:rsidR="00CF7D4F">
        <w:rPr>
          <w:rFonts w:asciiTheme="minorHAnsi" w:hAnsiTheme="minorHAnsi" w:cs="Arial"/>
          <w:sz w:val="24"/>
          <w:szCs w:val="24"/>
        </w:rPr>
        <w:t>40</w:t>
      </w:r>
      <w:r w:rsidR="00197CA7" w:rsidRPr="007D20E8">
        <w:rPr>
          <w:rFonts w:asciiTheme="minorHAnsi" w:hAnsiTheme="minorHAnsi" w:cs="Arial"/>
          <w:sz w:val="24"/>
          <w:szCs w:val="24"/>
        </w:rPr>
        <w:t>0</w:t>
      </w:r>
      <w:r w:rsidR="00EB208D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7D20E8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5D048F2E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lastRenderedPageBreak/>
        <w:t xml:space="preserve">Nájemce uhradí zálohu ve výši </w:t>
      </w:r>
      <w:proofErr w:type="gramStart"/>
      <w:r w:rsidR="00CF7D4F">
        <w:rPr>
          <w:rFonts w:asciiTheme="minorHAnsi" w:hAnsiTheme="minorHAnsi" w:cs="Arial"/>
          <w:sz w:val="24"/>
          <w:szCs w:val="24"/>
        </w:rPr>
        <w:t>774</w:t>
      </w:r>
      <w:r w:rsidR="0094459F" w:rsidRPr="007D20E8">
        <w:rPr>
          <w:rFonts w:asciiTheme="minorHAnsi" w:hAnsiTheme="minorHAnsi" w:cs="Arial"/>
          <w:sz w:val="24"/>
          <w:szCs w:val="24"/>
        </w:rPr>
        <w:t>.</w:t>
      </w:r>
      <w:r w:rsidR="00CF7D4F">
        <w:rPr>
          <w:rFonts w:asciiTheme="minorHAnsi" w:hAnsiTheme="minorHAnsi" w:cs="Arial"/>
          <w:sz w:val="24"/>
          <w:szCs w:val="24"/>
        </w:rPr>
        <w:t>40</w:t>
      </w:r>
      <w:r w:rsidR="0094459F" w:rsidRPr="007D20E8">
        <w:rPr>
          <w:rFonts w:asciiTheme="minorHAnsi" w:hAnsiTheme="minorHAnsi" w:cs="Arial"/>
          <w:sz w:val="24"/>
          <w:szCs w:val="24"/>
        </w:rPr>
        <w:t>0</w:t>
      </w:r>
      <w:r w:rsidR="00EB7FFA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7D20E8">
        <w:rPr>
          <w:rFonts w:asciiTheme="minorHAnsi" w:hAnsiTheme="minorHAnsi" w:cs="Arial"/>
          <w:sz w:val="24"/>
          <w:szCs w:val="24"/>
        </w:rPr>
        <w:t xml:space="preserve"> Kč vč. DPH </w:t>
      </w:r>
      <w:r w:rsidR="00137465" w:rsidRPr="007D20E8">
        <w:rPr>
          <w:rFonts w:asciiTheme="minorHAnsi" w:hAnsiTheme="minorHAnsi" w:cs="Arial"/>
          <w:sz w:val="24"/>
          <w:szCs w:val="24"/>
        </w:rPr>
        <w:t xml:space="preserve">nejpozději do </w:t>
      </w:r>
      <w:r w:rsidR="0094459F" w:rsidRPr="007D20E8">
        <w:rPr>
          <w:rFonts w:asciiTheme="minorHAnsi" w:hAnsiTheme="minorHAnsi" w:cs="Arial"/>
          <w:sz w:val="24"/>
          <w:szCs w:val="24"/>
        </w:rPr>
        <w:t>10</w:t>
      </w:r>
      <w:r w:rsidR="00582FF4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94459F" w:rsidRPr="007D20E8">
        <w:rPr>
          <w:rFonts w:asciiTheme="minorHAnsi" w:hAnsiTheme="minorHAnsi" w:cs="Arial"/>
          <w:sz w:val="24"/>
          <w:szCs w:val="24"/>
        </w:rPr>
        <w:t>11</w:t>
      </w:r>
      <w:r w:rsidR="00582FF4" w:rsidRPr="007D20E8">
        <w:rPr>
          <w:rFonts w:asciiTheme="minorHAnsi" w:hAnsiTheme="minorHAnsi" w:cs="Arial"/>
          <w:sz w:val="24"/>
          <w:szCs w:val="24"/>
        </w:rPr>
        <w:t>.</w:t>
      </w:r>
      <w:r w:rsidR="006D71F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7D20E8">
        <w:rPr>
          <w:rFonts w:asciiTheme="minorHAnsi" w:hAnsiTheme="minorHAnsi" w:cs="Arial"/>
          <w:sz w:val="24"/>
          <w:szCs w:val="24"/>
        </w:rPr>
        <w:t>202</w:t>
      </w:r>
      <w:r w:rsidR="009A27AC" w:rsidRPr="007D20E8">
        <w:rPr>
          <w:rFonts w:asciiTheme="minorHAnsi" w:hAnsiTheme="minorHAnsi" w:cs="Arial"/>
          <w:sz w:val="24"/>
          <w:szCs w:val="24"/>
        </w:rPr>
        <w:t>4</w:t>
      </w:r>
      <w:r w:rsidR="00EF2BBC" w:rsidRPr="007D20E8">
        <w:rPr>
          <w:rFonts w:asciiTheme="minorHAnsi" w:hAnsiTheme="minorHAnsi" w:cs="Arial"/>
          <w:sz w:val="24"/>
          <w:szCs w:val="24"/>
        </w:rPr>
        <w:t>,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14 dní předem vystavené faktury ze strany pronajímatele. </w:t>
      </w:r>
    </w:p>
    <w:p w14:paraId="09E2DDCF" w14:textId="1846A6E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4CD384C8" w:rsidR="00EB3DF5" w:rsidRPr="008925C2" w:rsidRDefault="00E4557C" w:rsidP="008925C2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Na žádost </w:t>
      </w:r>
      <w:r w:rsidR="008734C7" w:rsidRPr="00355AFB">
        <w:rPr>
          <w:rFonts w:asciiTheme="minorHAnsi" w:hAnsiTheme="minorHAnsi" w:cs="Arial"/>
          <w:sz w:val="24"/>
          <w:szCs w:val="24"/>
        </w:rPr>
        <w:t>N</w:t>
      </w:r>
      <w:r w:rsidRPr="00355AFB">
        <w:rPr>
          <w:rFonts w:asciiTheme="minorHAnsi" w:hAnsiTheme="minorHAnsi" w:cs="Arial"/>
          <w:sz w:val="24"/>
          <w:szCs w:val="24"/>
        </w:rPr>
        <w:t xml:space="preserve">ájemce je </w:t>
      </w:r>
      <w:r w:rsidR="008734C7" w:rsidRPr="00355AFB">
        <w:rPr>
          <w:rFonts w:asciiTheme="minorHAnsi" w:hAnsiTheme="minorHAnsi" w:cs="Arial"/>
          <w:sz w:val="24"/>
          <w:szCs w:val="24"/>
        </w:rPr>
        <w:t>P</w:t>
      </w:r>
      <w:r w:rsidRPr="00355AFB">
        <w:rPr>
          <w:rFonts w:asciiTheme="minorHAnsi" w:hAnsiTheme="minorHAnsi" w:cs="Arial"/>
          <w:sz w:val="24"/>
          <w:szCs w:val="24"/>
        </w:rPr>
        <w:t>ronajímatel povinen prokázat, že je majitelem účtu, na který mají být hrazeny platby podle této smlouvy, či jakéhokoli jiného účtu, který používá v obchodním styku s nájemcem. Do náležitého prokázání této skutečnosti je nájemce oprávněn zadržet platby.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00EDC99A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BF4EF5">
              <w:rPr>
                <w:b/>
                <w:bCs/>
              </w:rPr>
              <w:t>BDO Czech Republic</w:t>
            </w:r>
            <w:r w:rsidR="00355AFB" w:rsidRPr="007B79FD">
              <w:rPr>
                <w:b/>
                <w:bCs/>
              </w:rPr>
              <w:t xml:space="preserve">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6D3A83D5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3C04A3">
              <w:t xml:space="preserve">Miroslav </w:t>
            </w:r>
            <w:proofErr w:type="spellStart"/>
            <w:r w:rsidR="003C04A3">
              <w:t>Jandečka</w:t>
            </w:r>
            <w:proofErr w:type="spellEnd"/>
          </w:p>
          <w:p w14:paraId="1C8B49A4" w14:textId="5C27BEC2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proofErr w:type="spellStart"/>
            <w:r w:rsidR="003C04A3">
              <w:t>Managing</w:t>
            </w:r>
            <w:proofErr w:type="spellEnd"/>
            <w:r w:rsidR="003C04A3">
              <w:t xml:space="preserve"> Partner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38BED" w14:textId="77777777" w:rsidR="005C1DAA" w:rsidRDefault="005C1DAA" w:rsidP="001119E9">
      <w:r>
        <w:separator/>
      </w:r>
    </w:p>
  </w:endnote>
  <w:endnote w:type="continuationSeparator" w:id="0">
    <w:p w14:paraId="5375C798" w14:textId="77777777" w:rsidR="005C1DAA" w:rsidRDefault="005C1DAA" w:rsidP="001119E9">
      <w:r>
        <w:continuationSeparator/>
      </w:r>
    </w:p>
  </w:endnote>
  <w:endnote w:type="continuationNotice" w:id="1">
    <w:p w14:paraId="3789B342" w14:textId="77777777" w:rsidR="005C1DAA" w:rsidRDefault="005C1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0B9D8" w14:textId="77777777" w:rsidR="005C1DAA" w:rsidRDefault="005C1DAA" w:rsidP="001119E9">
      <w:r>
        <w:separator/>
      </w:r>
    </w:p>
  </w:footnote>
  <w:footnote w:type="continuationSeparator" w:id="0">
    <w:p w14:paraId="2FB687C8" w14:textId="77777777" w:rsidR="005C1DAA" w:rsidRDefault="005C1DAA" w:rsidP="001119E9">
      <w:r>
        <w:continuationSeparator/>
      </w:r>
    </w:p>
  </w:footnote>
  <w:footnote w:type="continuationNotice" w:id="1">
    <w:p w14:paraId="453709EC" w14:textId="77777777" w:rsidR="005C1DAA" w:rsidRDefault="005C1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7C4A1BAA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BA4E06">
      <w:rPr>
        <w:rFonts w:asciiTheme="minorHAnsi" w:hAnsiTheme="minorHAnsi"/>
        <w:sz w:val="16"/>
        <w:szCs w:val="16"/>
      </w:rPr>
      <w:t>4282/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03BA2D99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</w:t>
    </w:r>
    <w:r w:rsidR="00BA4E06">
      <w:rPr>
        <w:rFonts w:asciiTheme="minorHAnsi" w:hAnsiTheme="minorHAnsi"/>
        <w:sz w:val="16"/>
        <w:szCs w:val="16"/>
      </w:rPr>
      <w:t>1213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76FB"/>
    <w:rsid w:val="000240E3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3ABE"/>
    <w:rsid w:val="000E3E80"/>
    <w:rsid w:val="000E5119"/>
    <w:rsid w:val="000F5A9C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2FA1"/>
    <w:rsid w:val="00133B93"/>
    <w:rsid w:val="00137465"/>
    <w:rsid w:val="00141358"/>
    <w:rsid w:val="00142A3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5C84"/>
    <w:rsid w:val="001A7458"/>
    <w:rsid w:val="001B1DC7"/>
    <w:rsid w:val="001B4991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56AD"/>
    <w:rsid w:val="00266C9E"/>
    <w:rsid w:val="00270E28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D793F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04A3"/>
    <w:rsid w:val="003C13C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26216"/>
    <w:rsid w:val="00831F49"/>
    <w:rsid w:val="008338BD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7213"/>
    <w:rsid w:val="00890C3D"/>
    <w:rsid w:val="008925C2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281E"/>
    <w:rsid w:val="009B30AC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83201"/>
    <w:rsid w:val="00B9335A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461F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91EDB"/>
    <w:rsid w:val="00C935DF"/>
    <w:rsid w:val="00C93D7C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CF0DCC"/>
    <w:rsid w:val="00CF7D4F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348C2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762"/>
    <w:rsid w:val="00F02ECF"/>
    <w:rsid w:val="00F050D6"/>
    <w:rsid w:val="00F10F44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2024-01-10T12:24:00Z</cp:lastPrinted>
  <dcterms:created xsi:type="dcterms:W3CDTF">2024-10-22T06:58:00Z</dcterms:created>
  <dcterms:modified xsi:type="dcterms:W3CDTF">2024-10-22T06:58:00Z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