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1318"/>
        <w:gridCol w:w="3496"/>
      </w:tblGrid>
      <w:tr w:rsidR="004A3974" w:rsidRPr="00F441A6" w14:paraId="0CCE6068" w14:textId="77777777" w:rsidTr="005D4930">
        <w:tc>
          <w:tcPr>
            <w:tcW w:w="4820" w:type="dxa"/>
            <w:gridSpan w:val="2"/>
            <w:tcBorders>
              <w:top w:val="nil"/>
              <w:left w:val="nil"/>
              <w:bottom w:val="single" w:sz="8" w:space="0" w:color="808080"/>
              <w:right w:val="nil"/>
            </w:tcBorders>
          </w:tcPr>
          <w:p w14:paraId="3E2EE0E6" w14:textId="77777777" w:rsidR="004A3974" w:rsidRPr="00F441A6" w:rsidRDefault="009F55D2" w:rsidP="009F55D2">
            <w:pPr>
              <w:pStyle w:val="Nadpis1"/>
              <w:rPr>
                <w:rFonts w:cs="Arial"/>
                <w:color w:val="auto"/>
              </w:rPr>
            </w:pPr>
            <w:r w:rsidRPr="00F441A6">
              <w:rPr>
                <w:rFonts w:cs="Arial"/>
                <w:color w:val="auto"/>
              </w:rPr>
              <w:t>Smluvní strany</w:t>
            </w:r>
          </w:p>
        </w:tc>
        <w:tc>
          <w:tcPr>
            <w:tcW w:w="4814" w:type="dxa"/>
            <w:gridSpan w:val="2"/>
            <w:tcBorders>
              <w:top w:val="nil"/>
              <w:left w:val="nil"/>
              <w:bottom w:val="single" w:sz="8" w:space="0" w:color="808080"/>
              <w:right w:val="nil"/>
            </w:tcBorders>
          </w:tcPr>
          <w:p w14:paraId="27769F6A" w14:textId="77777777" w:rsidR="004A3974" w:rsidRPr="00F441A6" w:rsidRDefault="004A3974" w:rsidP="009F55D2">
            <w:pPr>
              <w:pStyle w:val="Nadpis1"/>
              <w:numPr>
                <w:ilvl w:val="0"/>
                <w:numId w:val="0"/>
              </w:numPr>
              <w:ind w:left="432"/>
              <w:rPr>
                <w:rFonts w:cs="Arial"/>
                <w:color w:val="auto"/>
              </w:rPr>
            </w:pPr>
          </w:p>
        </w:tc>
      </w:tr>
      <w:tr w:rsidR="0009555D" w:rsidRPr="00F441A6" w14:paraId="3891460A" w14:textId="77777777" w:rsidTr="005D4930">
        <w:tc>
          <w:tcPr>
            <w:tcW w:w="1418" w:type="dxa"/>
            <w:tcBorders>
              <w:top w:val="single" w:sz="8" w:space="0" w:color="808080"/>
              <w:left w:val="nil"/>
              <w:bottom w:val="nil"/>
              <w:right w:val="nil"/>
            </w:tcBorders>
            <w:shd w:val="clear" w:color="auto" w:fill="auto"/>
          </w:tcPr>
          <w:p w14:paraId="6455206A" w14:textId="77777777" w:rsidR="0009555D" w:rsidRPr="00F441A6" w:rsidRDefault="0009555D" w:rsidP="004221E2">
            <w:pPr>
              <w:spacing w:line="240" w:lineRule="atLeast"/>
              <w:rPr>
                <w:rFonts w:cs="Calibri"/>
                <w:b/>
                <w:sz w:val="22"/>
                <w:szCs w:val="22"/>
              </w:rPr>
            </w:pPr>
            <w:r w:rsidRPr="00F441A6">
              <w:rPr>
                <w:rFonts w:cs="Calibri"/>
                <w:b/>
                <w:sz w:val="22"/>
                <w:szCs w:val="22"/>
              </w:rPr>
              <w:t>Dodavatel</w:t>
            </w:r>
          </w:p>
        </w:tc>
        <w:tc>
          <w:tcPr>
            <w:tcW w:w="3402" w:type="dxa"/>
            <w:tcBorders>
              <w:top w:val="single" w:sz="8" w:space="0" w:color="808080"/>
              <w:left w:val="nil"/>
              <w:bottom w:val="nil"/>
              <w:right w:val="dotted" w:sz="4" w:space="0" w:color="808080"/>
            </w:tcBorders>
            <w:shd w:val="clear" w:color="auto" w:fill="auto"/>
          </w:tcPr>
          <w:p w14:paraId="30C969E9" w14:textId="3153DC4A" w:rsidR="0009555D" w:rsidRPr="00F441A6" w:rsidRDefault="0075133F" w:rsidP="0018456A">
            <w:pPr>
              <w:spacing w:line="240" w:lineRule="atLeast"/>
              <w:jc w:val="left"/>
              <w:rPr>
                <w:rFonts w:cs="Calibri"/>
                <w:b/>
                <w:sz w:val="22"/>
                <w:szCs w:val="22"/>
              </w:rPr>
            </w:pPr>
            <w:r>
              <w:rPr>
                <w:rFonts w:cs="Calibri"/>
                <w:b/>
                <w:sz w:val="22"/>
                <w:szCs w:val="22"/>
              </w:rPr>
              <w:t>OSF Group s.r.o.</w:t>
            </w:r>
          </w:p>
        </w:tc>
        <w:tc>
          <w:tcPr>
            <w:tcW w:w="1318" w:type="dxa"/>
            <w:tcBorders>
              <w:top w:val="single" w:sz="8" w:space="0" w:color="808080"/>
              <w:left w:val="dotted" w:sz="4" w:space="0" w:color="808080"/>
              <w:bottom w:val="nil"/>
              <w:right w:val="nil"/>
            </w:tcBorders>
            <w:shd w:val="clear" w:color="auto" w:fill="auto"/>
          </w:tcPr>
          <w:p w14:paraId="39F0DC99" w14:textId="77777777" w:rsidR="0009555D" w:rsidRPr="00F441A6" w:rsidRDefault="0009555D" w:rsidP="004221E2">
            <w:pPr>
              <w:spacing w:line="240" w:lineRule="atLeast"/>
              <w:rPr>
                <w:rFonts w:cs="Calibri"/>
                <w:b/>
                <w:sz w:val="22"/>
                <w:szCs w:val="22"/>
              </w:rPr>
            </w:pPr>
            <w:r w:rsidRPr="00F441A6">
              <w:rPr>
                <w:rFonts w:cs="Calibri"/>
                <w:b/>
                <w:sz w:val="22"/>
                <w:szCs w:val="22"/>
              </w:rPr>
              <w:t>Odběratel</w:t>
            </w:r>
          </w:p>
        </w:tc>
        <w:tc>
          <w:tcPr>
            <w:tcW w:w="3496" w:type="dxa"/>
            <w:tcBorders>
              <w:top w:val="single" w:sz="8" w:space="0" w:color="808080"/>
              <w:left w:val="nil"/>
              <w:bottom w:val="nil"/>
              <w:right w:val="nil"/>
            </w:tcBorders>
            <w:shd w:val="clear" w:color="auto" w:fill="auto"/>
          </w:tcPr>
          <w:p w14:paraId="684BA1F6" w14:textId="77777777" w:rsidR="0009555D" w:rsidRPr="00F441A6" w:rsidRDefault="0009555D" w:rsidP="00AE7200">
            <w:pPr>
              <w:spacing w:line="240" w:lineRule="atLeast"/>
              <w:jc w:val="left"/>
              <w:rPr>
                <w:rFonts w:cs="Calibri"/>
                <w:b/>
                <w:sz w:val="22"/>
                <w:szCs w:val="22"/>
              </w:rPr>
            </w:pPr>
            <w:r w:rsidRPr="00F441A6">
              <w:rPr>
                <w:rFonts w:cs="Calibri"/>
                <w:b/>
                <w:sz w:val="22"/>
                <w:szCs w:val="22"/>
              </w:rPr>
              <w:t>Česká agentura na podporu obchodu/</w:t>
            </w:r>
            <w:proofErr w:type="spellStart"/>
            <w:r w:rsidRPr="00F441A6">
              <w:rPr>
                <w:rFonts w:cs="Calibri"/>
                <w:b/>
                <w:sz w:val="22"/>
                <w:szCs w:val="22"/>
              </w:rPr>
              <w:t>Czech</w:t>
            </w:r>
            <w:r w:rsidR="00AE7200" w:rsidRPr="00F441A6">
              <w:rPr>
                <w:rFonts w:cs="Calibri"/>
                <w:b/>
                <w:sz w:val="22"/>
                <w:szCs w:val="22"/>
              </w:rPr>
              <w:t>Tra</w:t>
            </w:r>
            <w:r w:rsidRPr="00F441A6">
              <w:rPr>
                <w:rFonts w:cs="Calibri"/>
                <w:b/>
                <w:sz w:val="22"/>
                <w:szCs w:val="22"/>
              </w:rPr>
              <w:t>de</w:t>
            </w:r>
            <w:proofErr w:type="spellEnd"/>
          </w:p>
        </w:tc>
      </w:tr>
      <w:tr w:rsidR="0009555D" w:rsidRPr="00F441A6" w14:paraId="1E3E299F" w14:textId="77777777" w:rsidTr="005D4930">
        <w:tc>
          <w:tcPr>
            <w:tcW w:w="1418" w:type="dxa"/>
            <w:tcBorders>
              <w:top w:val="nil"/>
              <w:left w:val="nil"/>
              <w:bottom w:val="nil"/>
              <w:right w:val="nil"/>
            </w:tcBorders>
            <w:shd w:val="clear" w:color="auto" w:fill="auto"/>
          </w:tcPr>
          <w:p w14:paraId="3838C826" w14:textId="77777777" w:rsidR="0009555D" w:rsidRPr="00F441A6" w:rsidRDefault="0009555D" w:rsidP="004221E2">
            <w:pPr>
              <w:spacing w:line="240" w:lineRule="atLeast"/>
              <w:rPr>
                <w:rFonts w:cs="Calibri"/>
                <w:b/>
                <w:sz w:val="22"/>
                <w:szCs w:val="22"/>
              </w:rPr>
            </w:pPr>
            <w:r w:rsidRPr="00F441A6">
              <w:rPr>
                <w:rFonts w:cs="Calibri"/>
                <w:b/>
                <w:sz w:val="22"/>
                <w:szCs w:val="22"/>
              </w:rPr>
              <w:t>Ulice</w:t>
            </w:r>
          </w:p>
        </w:tc>
        <w:tc>
          <w:tcPr>
            <w:tcW w:w="3402" w:type="dxa"/>
            <w:tcBorders>
              <w:top w:val="nil"/>
              <w:left w:val="nil"/>
              <w:bottom w:val="nil"/>
              <w:right w:val="dotted" w:sz="4" w:space="0" w:color="808080"/>
            </w:tcBorders>
            <w:shd w:val="clear" w:color="auto" w:fill="auto"/>
            <w:vAlign w:val="center"/>
          </w:tcPr>
          <w:p w14:paraId="75631D76" w14:textId="465CFCAE" w:rsidR="0009555D" w:rsidRPr="00F441A6" w:rsidRDefault="00190B93" w:rsidP="0018456A">
            <w:pPr>
              <w:spacing w:line="240" w:lineRule="atLeast"/>
              <w:jc w:val="left"/>
              <w:rPr>
                <w:rFonts w:cs="Calibri"/>
                <w:sz w:val="22"/>
                <w:szCs w:val="22"/>
              </w:rPr>
            </w:pPr>
            <w:r>
              <w:rPr>
                <w:rFonts w:cs="Calibri"/>
                <w:sz w:val="22"/>
                <w:szCs w:val="22"/>
              </w:rPr>
              <w:t>Úlehlova 130/3</w:t>
            </w:r>
          </w:p>
        </w:tc>
        <w:tc>
          <w:tcPr>
            <w:tcW w:w="1318" w:type="dxa"/>
            <w:tcBorders>
              <w:top w:val="nil"/>
              <w:left w:val="dotted" w:sz="4" w:space="0" w:color="808080"/>
              <w:bottom w:val="nil"/>
              <w:right w:val="nil"/>
            </w:tcBorders>
            <w:shd w:val="clear" w:color="auto" w:fill="auto"/>
          </w:tcPr>
          <w:p w14:paraId="766E38E4" w14:textId="77777777" w:rsidR="0009555D" w:rsidRPr="00F441A6" w:rsidRDefault="0009555D" w:rsidP="004221E2">
            <w:pPr>
              <w:spacing w:line="240" w:lineRule="atLeast"/>
              <w:rPr>
                <w:rFonts w:cs="Calibri"/>
                <w:b/>
                <w:sz w:val="22"/>
                <w:szCs w:val="22"/>
              </w:rPr>
            </w:pPr>
            <w:r w:rsidRPr="00F441A6">
              <w:rPr>
                <w:rFonts w:cs="Calibri"/>
                <w:b/>
                <w:sz w:val="22"/>
                <w:szCs w:val="22"/>
              </w:rPr>
              <w:t>Ulice</w:t>
            </w:r>
          </w:p>
        </w:tc>
        <w:tc>
          <w:tcPr>
            <w:tcW w:w="3496" w:type="dxa"/>
            <w:tcBorders>
              <w:top w:val="nil"/>
              <w:left w:val="nil"/>
              <w:bottom w:val="nil"/>
              <w:right w:val="nil"/>
            </w:tcBorders>
            <w:shd w:val="clear" w:color="auto" w:fill="auto"/>
          </w:tcPr>
          <w:p w14:paraId="7D897AEF" w14:textId="77777777" w:rsidR="0009555D" w:rsidRPr="00F441A6" w:rsidRDefault="003A7C90" w:rsidP="004221E2">
            <w:pPr>
              <w:spacing w:line="240" w:lineRule="atLeast"/>
              <w:rPr>
                <w:rFonts w:cs="Calibri"/>
                <w:sz w:val="22"/>
                <w:szCs w:val="22"/>
              </w:rPr>
            </w:pPr>
            <w:r>
              <w:rPr>
                <w:rFonts w:cs="Calibri"/>
                <w:sz w:val="22"/>
                <w:szCs w:val="22"/>
              </w:rPr>
              <w:t>Štěpánská 567/15</w:t>
            </w:r>
          </w:p>
        </w:tc>
      </w:tr>
      <w:tr w:rsidR="0009555D" w:rsidRPr="00F441A6" w14:paraId="7E255D9E" w14:textId="77777777" w:rsidTr="005D4930">
        <w:tc>
          <w:tcPr>
            <w:tcW w:w="1418" w:type="dxa"/>
            <w:tcBorders>
              <w:top w:val="nil"/>
              <w:left w:val="nil"/>
              <w:bottom w:val="nil"/>
              <w:right w:val="nil"/>
            </w:tcBorders>
            <w:shd w:val="clear" w:color="auto" w:fill="auto"/>
          </w:tcPr>
          <w:p w14:paraId="51CF89E9" w14:textId="77777777" w:rsidR="0009555D" w:rsidRPr="00F441A6" w:rsidRDefault="0009555D" w:rsidP="004221E2">
            <w:pPr>
              <w:spacing w:line="240" w:lineRule="atLeast"/>
              <w:rPr>
                <w:rFonts w:cs="Calibri"/>
                <w:b/>
                <w:sz w:val="22"/>
                <w:szCs w:val="22"/>
              </w:rPr>
            </w:pPr>
            <w:r w:rsidRPr="00F441A6">
              <w:rPr>
                <w:rFonts w:cs="Calibri"/>
                <w:b/>
                <w:sz w:val="22"/>
                <w:szCs w:val="22"/>
              </w:rPr>
              <w:t>PSČ, Město</w:t>
            </w:r>
          </w:p>
        </w:tc>
        <w:tc>
          <w:tcPr>
            <w:tcW w:w="3402" w:type="dxa"/>
            <w:tcBorders>
              <w:top w:val="nil"/>
              <w:left w:val="nil"/>
              <w:bottom w:val="nil"/>
              <w:right w:val="dotted" w:sz="4" w:space="0" w:color="808080"/>
            </w:tcBorders>
            <w:shd w:val="clear" w:color="auto" w:fill="auto"/>
            <w:vAlign w:val="center"/>
          </w:tcPr>
          <w:p w14:paraId="21EA7E9F" w14:textId="513F2A99" w:rsidR="0009555D" w:rsidRPr="00F441A6" w:rsidRDefault="00190B93" w:rsidP="0018456A">
            <w:pPr>
              <w:spacing w:line="240" w:lineRule="atLeast"/>
              <w:jc w:val="left"/>
              <w:rPr>
                <w:rFonts w:cs="Calibri"/>
                <w:sz w:val="22"/>
                <w:szCs w:val="22"/>
              </w:rPr>
            </w:pPr>
            <w:r>
              <w:rPr>
                <w:rFonts w:cs="Calibri"/>
                <w:sz w:val="22"/>
                <w:szCs w:val="22"/>
              </w:rPr>
              <w:t>586 01, Jihlava</w:t>
            </w:r>
          </w:p>
        </w:tc>
        <w:tc>
          <w:tcPr>
            <w:tcW w:w="1318" w:type="dxa"/>
            <w:tcBorders>
              <w:top w:val="nil"/>
              <w:left w:val="dotted" w:sz="4" w:space="0" w:color="808080"/>
              <w:bottom w:val="nil"/>
              <w:right w:val="nil"/>
            </w:tcBorders>
            <w:shd w:val="clear" w:color="auto" w:fill="auto"/>
          </w:tcPr>
          <w:p w14:paraId="3C085E79" w14:textId="77777777" w:rsidR="0009555D" w:rsidRPr="00F441A6" w:rsidRDefault="0009555D" w:rsidP="004221E2">
            <w:pPr>
              <w:spacing w:line="240" w:lineRule="atLeast"/>
              <w:rPr>
                <w:rFonts w:cs="Calibri"/>
                <w:b/>
                <w:sz w:val="22"/>
                <w:szCs w:val="22"/>
              </w:rPr>
            </w:pPr>
            <w:r w:rsidRPr="00F441A6">
              <w:rPr>
                <w:rFonts w:cs="Calibri"/>
                <w:b/>
                <w:sz w:val="22"/>
                <w:szCs w:val="22"/>
              </w:rPr>
              <w:t>PSČ, Město</w:t>
            </w:r>
          </w:p>
        </w:tc>
        <w:tc>
          <w:tcPr>
            <w:tcW w:w="3496" w:type="dxa"/>
            <w:tcBorders>
              <w:top w:val="nil"/>
              <w:left w:val="nil"/>
              <w:bottom w:val="nil"/>
              <w:right w:val="nil"/>
            </w:tcBorders>
            <w:shd w:val="clear" w:color="auto" w:fill="auto"/>
          </w:tcPr>
          <w:p w14:paraId="281D1117" w14:textId="77777777" w:rsidR="0009555D" w:rsidRPr="00F441A6" w:rsidRDefault="0009555D" w:rsidP="004221E2">
            <w:pPr>
              <w:spacing w:line="240" w:lineRule="atLeast"/>
              <w:rPr>
                <w:rFonts w:cs="Calibri"/>
                <w:sz w:val="22"/>
                <w:szCs w:val="22"/>
              </w:rPr>
            </w:pPr>
            <w:r w:rsidRPr="00F441A6">
              <w:rPr>
                <w:rFonts w:cs="Calibri"/>
                <w:sz w:val="22"/>
                <w:szCs w:val="22"/>
              </w:rPr>
              <w:t>12</w:t>
            </w:r>
            <w:r w:rsidR="003A7C90">
              <w:rPr>
                <w:rFonts w:cs="Calibri"/>
                <w:sz w:val="22"/>
                <w:szCs w:val="22"/>
              </w:rPr>
              <w:t>0</w:t>
            </w:r>
            <w:r w:rsidRPr="00F441A6">
              <w:rPr>
                <w:rFonts w:cs="Calibri"/>
                <w:sz w:val="22"/>
                <w:szCs w:val="22"/>
              </w:rPr>
              <w:t xml:space="preserve"> </w:t>
            </w:r>
            <w:proofErr w:type="gramStart"/>
            <w:r w:rsidRPr="00F441A6">
              <w:rPr>
                <w:rFonts w:cs="Calibri"/>
                <w:sz w:val="22"/>
                <w:szCs w:val="22"/>
              </w:rPr>
              <w:t>0</w:t>
            </w:r>
            <w:r w:rsidR="003A7C90">
              <w:rPr>
                <w:rFonts w:cs="Calibri"/>
                <w:sz w:val="22"/>
                <w:szCs w:val="22"/>
              </w:rPr>
              <w:t>0</w:t>
            </w:r>
            <w:r w:rsidRPr="00F441A6">
              <w:rPr>
                <w:rFonts w:cs="Calibri"/>
                <w:sz w:val="22"/>
                <w:szCs w:val="22"/>
              </w:rPr>
              <w:t>,  Praha</w:t>
            </w:r>
            <w:proofErr w:type="gramEnd"/>
            <w:r w:rsidRPr="00F441A6">
              <w:rPr>
                <w:rFonts w:cs="Calibri"/>
                <w:sz w:val="22"/>
                <w:szCs w:val="22"/>
              </w:rPr>
              <w:t xml:space="preserve"> 2</w:t>
            </w:r>
          </w:p>
        </w:tc>
      </w:tr>
      <w:tr w:rsidR="000524AE" w:rsidRPr="00F441A6" w14:paraId="1EEB9CE5" w14:textId="77777777" w:rsidTr="005D4930">
        <w:tc>
          <w:tcPr>
            <w:tcW w:w="1418" w:type="dxa"/>
            <w:tcBorders>
              <w:top w:val="nil"/>
              <w:left w:val="nil"/>
              <w:bottom w:val="nil"/>
              <w:right w:val="nil"/>
            </w:tcBorders>
            <w:shd w:val="clear" w:color="auto" w:fill="auto"/>
          </w:tcPr>
          <w:p w14:paraId="7A85746D" w14:textId="77777777" w:rsidR="000524AE" w:rsidRPr="00F441A6" w:rsidRDefault="000524AE" w:rsidP="004221E2">
            <w:pPr>
              <w:spacing w:line="240" w:lineRule="atLeast"/>
              <w:rPr>
                <w:rFonts w:cs="Calibri"/>
                <w:b/>
                <w:sz w:val="22"/>
                <w:szCs w:val="22"/>
              </w:rPr>
            </w:pPr>
            <w:r w:rsidRPr="00F441A6">
              <w:rPr>
                <w:rFonts w:cs="Calibri"/>
                <w:b/>
                <w:sz w:val="22"/>
                <w:szCs w:val="22"/>
              </w:rPr>
              <w:t>IČ</w:t>
            </w:r>
          </w:p>
        </w:tc>
        <w:tc>
          <w:tcPr>
            <w:tcW w:w="3402" w:type="dxa"/>
            <w:tcBorders>
              <w:top w:val="nil"/>
              <w:left w:val="nil"/>
              <w:bottom w:val="nil"/>
              <w:right w:val="dotted" w:sz="4" w:space="0" w:color="808080"/>
            </w:tcBorders>
            <w:shd w:val="clear" w:color="auto" w:fill="auto"/>
            <w:vAlign w:val="center"/>
          </w:tcPr>
          <w:p w14:paraId="6CD06784" w14:textId="2951DD6B" w:rsidR="000524AE" w:rsidRPr="00F441A6" w:rsidRDefault="00190B93" w:rsidP="0018456A">
            <w:pPr>
              <w:spacing w:line="240" w:lineRule="atLeast"/>
              <w:jc w:val="left"/>
              <w:rPr>
                <w:rFonts w:cs="Calibri"/>
                <w:sz w:val="22"/>
                <w:szCs w:val="22"/>
              </w:rPr>
            </w:pPr>
            <w:r>
              <w:rPr>
                <w:rFonts w:cs="Calibri"/>
                <w:sz w:val="22"/>
                <w:szCs w:val="22"/>
              </w:rPr>
              <w:t>09244310</w:t>
            </w:r>
          </w:p>
        </w:tc>
        <w:tc>
          <w:tcPr>
            <w:tcW w:w="1318" w:type="dxa"/>
            <w:tcBorders>
              <w:top w:val="nil"/>
              <w:left w:val="dotted" w:sz="4" w:space="0" w:color="808080"/>
              <w:bottom w:val="nil"/>
              <w:right w:val="nil"/>
            </w:tcBorders>
            <w:shd w:val="clear" w:color="auto" w:fill="auto"/>
          </w:tcPr>
          <w:p w14:paraId="12201EC7" w14:textId="77777777" w:rsidR="000524AE" w:rsidRPr="00F441A6" w:rsidRDefault="000524AE" w:rsidP="004221E2">
            <w:pPr>
              <w:spacing w:line="240" w:lineRule="atLeast"/>
              <w:rPr>
                <w:rFonts w:cs="Calibri"/>
                <w:b/>
                <w:sz w:val="22"/>
                <w:szCs w:val="22"/>
              </w:rPr>
            </w:pPr>
            <w:r w:rsidRPr="00F441A6">
              <w:rPr>
                <w:rFonts w:cs="Calibri"/>
                <w:b/>
                <w:sz w:val="22"/>
                <w:szCs w:val="22"/>
              </w:rPr>
              <w:t>IČ</w:t>
            </w:r>
          </w:p>
        </w:tc>
        <w:tc>
          <w:tcPr>
            <w:tcW w:w="3496" w:type="dxa"/>
            <w:tcBorders>
              <w:top w:val="nil"/>
              <w:left w:val="nil"/>
              <w:bottom w:val="nil"/>
              <w:right w:val="nil"/>
            </w:tcBorders>
            <w:shd w:val="clear" w:color="auto" w:fill="auto"/>
            <w:vAlign w:val="center"/>
          </w:tcPr>
          <w:p w14:paraId="75497A74" w14:textId="77777777" w:rsidR="000524AE" w:rsidRPr="00F441A6" w:rsidRDefault="000524AE" w:rsidP="001D7EED">
            <w:pPr>
              <w:rPr>
                <w:rFonts w:cs="Tahoma"/>
                <w:sz w:val="22"/>
                <w:szCs w:val="22"/>
                <w:highlight w:val="yellow"/>
              </w:rPr>
            </w:pPr>
            <w:r w:rsidRPr="00F441A6">
              <w:rPr>
                <w:sz w:val="22"/>
                <w:szCs w:val="22"/>
              </w:rPr>
              <w:t>00001171</w:t>
            </w:r>
          </w:p>
        </w:tc>
      </w:tr>
      <w:tr w:rsidR="000524AE" w:rsidRPr="00F441A6" w14:paraId="0A0C6B80" w14:textId="77777777" w:rsidTr="005D4930">
        <w:tc>
          <w:tcPr>
            <w:tcW w:w="1418" w:type="dxa"/>
            <w:tcBorders>
              <w:top w:val="nil"/>
              <w:left w:val="nil"/>
              <w:bottom w:val="nil"/>
              <w:right w:val="nil"/>
            </w:tcBorders>
            <w:shd w:val="clear" w:color="auto" w:fill="auto"/>
          </w:tcPr>
          <w:p w14:paraId="4FEEAE45" w14:textId="77777777" w:rsidR="000524AE" w:rsidRPr="00F441A6" w:rsidRDefault="000524AE" w:rsidP="004221E2">
            <w:pPr>
              <w:spacing w:line="240" w:lineRule="atLeast"/>
              <w:rPr>
                <w:rFonts w:cs="Calibri"/>
                <w:b/>
                <w:sz w:val="22"/>
                <w:szCs w:val="22"/>
              </w:rPr>
            </w:pPr>
            <w:r w:rsidRPr="00F441A6">
              <w:rPr>
                <w:rFonts w:cs="Calibri"/>
                <w:b/>
                <w:sz w:val="22"/>
                <w:szCs w:val="22"/>
              </w:rPr>
              <w:t>DIČ</w:t>
            </w:r>
          </w:p>
        </w:tc>
        <w:tc>
          <w:tcPr>
            <w:tcW w:w="3402" w:type="dxa"/>
            <w:tcBorders>
              <w:top w:val="nil"/>
              <w:left w:val="nil"/>
              <w:bottom w:val="nil"/>
              <w:right w:val="dotted" w:sz="4" w:space="0" w:color="808080"/>
            </w:tcBorders>
            <w:shd w:val="clear" w:color="auto" w:fill="auto"/>
            <w:vAlign w:val="center"/>
          </w:tcPr>
          <w:p w14:paraId="12A065EF" w14:textId="745826B2" w:rsidR="000524AE" w:rsidRPr="00F441A6" w:rsidRDefault="00190B93" w:rsidP="0018456A">
            <w:pPr>
              <w:spacing w:line="240" w:lineRule="atLeast"/>
              <w:jc w:val="left"/>
              <w:rPr>
                <w:rFonts w:cs="Calibri"/>
                <w:sz w:val="22"/>
                <w:szCs w:val="22"/>
              </w:rPr>
            </w:pPr>
            <w:r>
              <w:rPr>
                <w:rFonts w:cs="Calibri"/>
                <w:sz w:val="22"/>
                <w:szCs w:val="22"/>
              </w:rPr>
              <w:t>CZ09244310</w:t>
            </w:r>
          </w:p>
        </w:tc>
        <w:tc>
          <w:tcPr>
            <w:tcW w:w="1318" w:type="dxa"/>
            <w:tcBorders>
              <w:top w:val="nil"/>
              <w:left w:val="dotted" w:sz="4" w:space="0" w:color="808080"/>
              <w:bottom w:val="nil"/>
              <w:right w:val="nil"/>
            </w:tcBorders>
            <w:shd w:val="clear" w:color="auto" w:fill="auto"/>
          </w:tcPr>
          <w:p w14:paraId="2E7345A3" w14:textId="77777777" w:rsidR="000524AE" w:rsidRPr="00F441A6" w:rsidRDefault="000524AE" w:rsidP="004221E2">
            <w:pPr>
              <w:spacing w:line="240" w:lineRule="atLeast"/>
              <w:rPr>
                <w:rFonts w:cs="Calibri"/>
                <w:b/>
                <w:sz w:val="22"/>
                <w:szCs w:val="22"/>
              </w:rPr>
            </w:pPr>
            <w:r w:rsidRPr="00F441A6">
              <w:rPr>
                <w:rFonts w:cs="Calibri"/>
                <w:b/>
                <w:sz w:val="22"/>
                <w:szCs w:val="22"/>
              </w:rPr>
              <w:t>DIČ</w:t>
            </w:r>
          </w:p>
        </w:tc>
        <w:tc>
          <w:tcPr>
            <w:tcW w:w="3496" w:type="dxa"/>
            <w:tcBorders>
              <w:top w:val="nil"/>
              <w:left w:val="nil"/>
              <w:bottom w:val="nil"/>
              <w:right w:val="nil"/>
            </w:tcBorders>
            <w:shd w:val="clear" w:color="auto" w:fill="auto"/>
            <w:vAlign w:val="center"/>
          </w:tcPr>
          <w:p w14:paraId="17434074" w14:textId="77777777" w:rsidR="000524AE" w:rsidRPr="00F441A6" w:rsidRDefault="000524AE" w:rsidP="001D7EED">
            <w:pPr>
              <w:rPr>
                <w:rFonts w:cs="Tahoma"/>
                <w:sz w:val="22"/>
                <w:szCs w:val="22"/>
                <w:highlight w:val="yellow"/>
              </w:rPr>
            </w:pPr>
            <w:r w:rsidRPr="00F441A6">
              <w:rPr>
                <w:rFonts w:cs="Tahoma"/>
                <w:sz w:val="22"/>
                <w:szCs w:val="22"/>
              </w:rPr>
              <w:t xml:space="preserve">CZ </w:t>
            </w:r>
            <w:r w:rsidRPr="00F441A6">
              <w:rPr>
                <w:sz w:val="22"/>
                <w:szCs w:val="22"/>
              </w:rPr>
              <w:t>00001171</w:t>
            </w:r>
          </w:p>
        </w:tc>
      </w:tr>
      <w:tr w:rsidR="000524AE" w:rsidRPr="00F441A6" w14:paraId="1DAF90F6" w14:textId="77777777" w:rsidTr="005D4930">
        <w:tc>
          <w:tcPr>
            <w:tcW w:w="1418" w:type="dxa"/>
            <w:tcBorders>
              <w:top w:val="nil"/>
              <w:left w:val="nil"/>
              <w:bottom w:val="nil"/>
              <w:right w:val="nil"/>
            </w:tcBorders>
            <w:shd w:val="clear" w:color="auto" w:fill="auto"/>
          </w:tcPr>
          <w:p w14:paraId="1984BA4F" w14:textId="77777777" w:rsidR="000524AE" w:rsidRPr="00F441A6" w:rsidRDefault="000524AE" w:rsidP="004221E2">
            <w:pPr>
              <w:spacing w:line="240" w:lineRule="atLeast"/>
              <w:rPr>
                <w:rFonts w:cs="Calibri"/>
                <w:b/>
                <w:sz w:val="22"/>
                <w:szCs w:val="22"/>
              </w:rPr>
            </w:pPr>
            <w:r w:rsidRPr="00F441A6">
              <w:rPr>
                <w:rFonts w:cs="Calibri"/>
                <w:b/>
                <w:sz w:val="22"/>
                <w:szCs w:val="22"/>
              </w:rPr>
              <w:t>Registrace</w:t>
            </w:r>
          </w:p>
        </w:tc>
        <w:tc>
          <w:tcPr>
            <w:tcW w:w="3402" w:type="dxa"/>
            <w:tcBorders>
              <w:top w:val="nil"/>
              <w:left w:val="nil"/>
              <w:bottom w:val="nil"/>
              <w:right w:val="dotted" w:sz="4" w:space="0" w:color="808080"/>
            </w:tcBorders>
            <w:shd w:val="clear" w:color="auto" w:fill="auto"/>
            <w:vAlign w:val="center"/>
          </w:tcPr>
          <w:p w14:paraId="13EC3401" w14:textId="63823C6B" w:rsidR="000524AE" w:rsidRPr="00F441A6" w:rsidRDefault="00190B93" w:rsidP="0018456A">
            <w:pPr>
              <w:spacing w:line="240" w:lineRule="atLeast"/>
              <w:jc w:val="left"/>
              <w:rPr>
                <w:rFonts w:cs="Calibri"/>
                <w:sz w:val="22"/>
                <w:szCs w:val="22"/>
              </w:rPr>
            </w:pPr>
            <w:r>
              <w:rPr>
                <w:rFonts w:cs="Calibri"/>
                <w:sz w:val="22"/>
                <w:szCs w:val="22"/>
              </w:rPr>
              <w:t>Spisová značka C 118017 vedená u Krajského soudu v Brně</w:t>
            </w:r>
          </w:p>
        </w:tc>
        <w:tc>
          <w:tcPr>
            <w:tcW w:w="1318" w:type="dxa"/>
            <w:tcBorders>
              <w:top w:val="nil"/>
              <w:left w:val="dotted" w:sz="4" w:space="0" w:color="808080"/>
              <w:bottom w:val="nil"/>
              <w:right w:val="nil"/>
            </w:tcBorders>
            <w:shd w:val="clear" w:color="auto" w:fill="auto"/>
          </w:tcPr>
          <w:p w14:paraId="6793D2E4" w14:textId="77777777" w:rsidR="000524AE" w:rsidRPr="00F441A6" w:rsidRDefault="000524AE" w:rsidP="004221E2">
            <w:pPr>
              <w:spacing w:line="240" w:lineRule="atLeast"/>
              <w:rPr>
                <w:rFonts w:cs="Calibri"/>
                <w:b/>
                <w:sz w:val="22"/>
                <w:szCs w:val="22"/>
              </w:rPr>
            </w:pPr>
            <w:r w:rsidRPr="00F441A6">
              <w:rPr>
                <w:rFonts w:cs="Calibri"/>
                <w:b/>
                <w:sz w:val="22"/>
                <w:szCs w:val="22"/>
              </w:rPr>
              <w:t>Registrace</w:t>
            </w:r>
          </w:p>
        </w:tc>
        <w:tc>
          <w:tcPr>
            <w:tcW w:w="3496" w:type="dxa"/>
            <w:tcBorders>
              <w:top w:val="nil"/>
              <w:left w:val="nil"/>
              <w:bottom w:val="nil"/>
              <w:right w:val="nil"/>
            </w:tcBorders>
            <w:shd w:val="clear" w:color="auto" w:fill="auto"/>
            <w:vAlign w:val="center"/>
          </w:tcPr>
          <w:p w14:paraId="2D0E6E70" w14:textId="77777777" w:rsidR="000524AE" w:rsidRPr="00F441A6" w:rsidRDefault="005D4930" w:rsidP="005D4930">
            <w:pPr>
              <w:rPr>
                <w:rFonts w:cs="Tahoma"/>
                <w:sz w:val="20"/>
                <w:highlight w:val="yellow"/>
              </w:rPr>
            </w:pPr>
            <w:r w:rsidRPr="00F441A6">
              <w:rPr>
                <w:rFonts w:cs="Tahoma"/>
                <w:sz w:val="20"/>
              </w:rPr>
              <w:t>p</w:t>
            </w:r>
            <w:r w:rsidR="007F38A9" w:rsidRPr="00F441A6">
              <w:rPr>
                <w:rFonts w:cs="Tahoma"/>
                <w:sz w:val="20"/>
              </w:rPr>
              <w:t>říspěvková</w:t>
            </w:r>
            <w:r w:rsidRPr="00F441A6">
              <w:rPr>
                <w:rFonts w:cs="Tahoma"/>
                <w:sz w:val="20"/>
              </w:rPr>
              <w:t xml:space="preserve"> </w:t>
            </w:r>
            <w:r w:rsidR="007F38A9" w:rsidRPr="00F441A6">
              <w:rPr>
                <w:rFonts w:cs="Tahoma"/>
                <w:sz w:val="20"/>
              </w:rPr>
              <w:t>organizace nezapsaná v OR</w:t>
            </w:r>
          </w:p>
        </w:tc>
      </w:tr>
      <w:tr w:rsidR="000524AE" w:rsidRPr="00F441A6" w14:paraId="2F58E870" w14:textId="77777777" w:rsidTr="005D4930">
        <w:tc>
          <w:tcPr>
            <w:tcW w:w="1418" w:type="dxa"/>
            <w:tcBorders>
              <w:top w:val="nil"/>
              <w:left w:val="nil"/>
              <w:bottom w:val="nil"/>
              <w:right w:val="nil"/>
            </w:tcBorders>
            <w:shd w:val="clear" w:color="auto" w:fill="auto"/>
          </w:tcPr>
          <w:p w14:paraId="7358F1C6" w14:textId="77777777" w:rsidR="000524AE" w:rsidRPr="00F441A6" w:rsidRDefault="000524AE" w:rsidP="004221E2">
            <w:pPr>
              <w:spacing w:line="240" w:lineRule="atLeast"/>
              <w:rPr>
                <w:rFonts w:cs="Calibri"/>
                <w:b/>
                <w:sz w:val="22"/>
                <w:szCs w:val="22"/>
              </w:rPr>
            </w:pPr>
            <w:r w:rsidRPr="00F441A6">
              <w:rPr>
                <w:rFonts w:cs="Calibri"/>
                <w:b/>
                <w:sz w:val="22"/>
                <w:szCs w:val="22"/>
              </w:rPr>
              <w:t>Ze dne</w:t>
            </w:r>
          </w:p>
        </w:tc>
        <w:tc>
          <w:tcPr>
            <w:tcW w:w="3402" w:type="dxa"/>
            <w:tcBorders>
              <w:top w:val="nil"/>
              <w:left w:val="nil"/>
              <w:bottom w:val="nil"/>
              <w:right w:val="dotted" w:sz="4" w:space="0" w:color="808080"/>
            </w:tcBorders>
            <w:shd w:val="clear" w:color="auto" w:fill="auto"/>
            <w:vAlign w:val="center"/>
          </w:tcPr>
          <w:p w14:paraId="364032EA" w14:textId="3ED8760B" w:rsidR="000524AE" w:rsidRPr="00F441A6" w:rsidRDefault="00190B93" w:rsidP="0018456A">
            <w:pPr>
              <w:spacing w:line="240" w:lineRule="atLeast"/>
              <w:jc w:val="left"/>
              <w:rPr>
                <w:rFonts w:cs="Calibri"/>
                <w:sz w:val="22"/>
                <w:szCs w:val="22"/>
              </w:rPr>
            </w:pPr>
            <w:r>
              <w:rPr>
                <w:rFonts w:cs="Calibri"/>
                <w:sz w:val="22"/>
                <w:szCs w:val="22"/>
              </w:rPr>
              <w:t>12.6.2020</w:t>
            </w:r>
          </w:p>
        </w:tc>
        <w:tc>
          <w:tcPr>
            <w:tcW w:w="1318" w:type="dxa"/>
            <w:tcBorders>
              <w:top w:val="nil"/>
              <w:left w:val="dotted" w:sz="4" w:space="0" w:color="808080"/>
              <w:bottom w:val="nil"/>
              <w:right w:val="nil"/>
            </w:tcBorders>
            <w:shd w:val="clear" w:color="auto" w:fill="auto"/>
          </w:tcPr>
          <w:p w14:paraId="57EE09C2" w14:textId="77777777" w:rsidR="000524AE" w:rsidRPr="00F441A6" w:rsidRDefault="000524AE" w:rsidP="004221E2">
            <w:pPr>
              <w:spacing w:line="240" w:lineRule="atLeast"/>
              <w:rPr>
                <w:rFonts w:cs="Calibri"/>
                <w:b/>
                <w:sz w:val="22"/>
                <w:szCs w:val="22"/>
              </w:rPr>
            </w:pPr>
            <w:r w:rsidRPr="00F441A6">
              <w:rPr>
                <w:rFonts w:cs="Calibri"/>
                <w:b/>
                <w:sz w:val="22"/>
                <w:szCs w:val="22"/>
              </w:rPr>
              <w:t>Ze dne</w:t>
            </w:r>
          </w:p>
        </w:tc>
        <w:tc>
          <w:tcPr>
            <w:tcW w:w="3496" w:type="dxa"/>
            <w:tcBorders>
              <w:top w:val="nil"/>
              <w:left w:val="nil"/>
              <w:bottom w:val="nil"/>
              <w:right w:val="nil"/>
            </w:tcBorders>
            <w:shd w:val="clear" w:color="auto" w:fill="auto"/>
            <w:vAlign w:val="center"/>
          </w:tcPr>
          <w:p w14:paraId="61F92DA4" w14:textId="77777777" w:rsidR="000524AE" w:rsidRPr="00F441A6" w:rsidRDefault="000524AE" w:rsidP="00AE7200">
            <w:pPr>
              <w:rPr>
                <w:rFonts w:cs="Tahoma"/>
                <w:sz w:val="22"/>
                <w:szCs w:val="22"/>
                <w:highlight w:val="yellow"/>
              </w:rPr>
            </w:pPr>
            <w:r w:rsidRPr="00F441A6">
              <w:rPr>
                <w:sz w:val="22"/>
                <w:szCs w:val="22"/>
              </w:rPr>
              <w:t>1.</w:t>
            </w:r>
            <w:r w:rsidR="007F38A9" w:rsidRPr="00F441A6">
              <w:rPr>
                <w:sz w:val="22"/>
                <w:szCs w:val="22"/>
              </w:rPr>
              <w:t>5</w:t>
            </w:r>
            <w:r w:rsidRPr="00F441A6">
              <w:rPr>
                <w:sz w:val="22"/>
                <w:szCs w:val="22"/>
              </w:rPr>
              <w:t>.19</w:t>
            </w:r>
            <w:r w:rsidR="007F38A9" w:rsidRPr="00F441A6">
              <w:rPr>
                <w:sz w:val="22"/>
                <w:szCs w:val="22"/>
              </w:rPr>
              <w:t>97</w:t>
            </w:r>
          </w:p>
        </w:tc>
      </w:tr>
      <w:tr w:rsidR="000524AE" w:rsidRPr="00F441A6" w14:paraId="530EADCD" w14:textId="77777777" w:rsidTr="005D4930">
        <w:tc>
          <w:tcPr>
            <w:tcW w:w="1418" w:type="dxa"/>
            <w:tcBorders>
              <w:top w:val="nil"/>
              <w:left w:val="nil"/>
              <w:bottom w:val="nil"/>
              <w:right w:val="nil"/>
            </w:tcBorders>
            <w:shd w:val="clear" w:color="auto" w:fill="auto"/>
          </w:tcPr>
          <w:p w14:paraId="00D9CDD5" w14:textId="77777777" w:rsidR="000524AE" w:rsidRPr="00F441A6" w:rsidRDefault="000524AE" w:rsidP="004221E2">
            <w:pPr>
              <w:spacing w:line="240" w:lineRule="atLeast"/>
              <w:rPr>
                <w:rFonts w:cs="Calibri"/>
                <w:b/>
                <w:sz w:val="22"/>
                <w:szCs w:val="22"/>
              </w:rPr>
            </w:pPr>
            <w:r w:rsidRPr="00F441A6">
              <w:rPr>
                <w:rFonts w:cs="Calibri"/>
                <w:b/>
                <w:sz w:val="22"/>
                <w:szCs w:val="22"/>
              </w:rPr>
              <w:t>Bankovní spojení</w:t>
            </w:r>
          </w:p>
        </w:tc>
        <w:tc>
          <w:tcPr>
            <w:tcW w:w="3402" w:type="dxa"/>
            <w:tcBorders>
              <w:top w:val="nil"/>
              <w:left w:val="nil"/>
              <w:bottom w:val="nil"/>
              <w:right w:val="dotted" w:sz="4" w:space="0" w:color="808080"/>
            </w:tcBorders>
            <w:shd w:val="clear" w:color="auto" w:fill="auto"/>
            <w:vAlign w:val="center"/>
          </w:tcPr>
          <w:p w14:paraId="3EBA203F" w14:textId="744B4798" w:rsidR="000524AE" w:rsidRPr="00F441A6" w:rsidRDefault="000524AE" w:rsidP="0018456A">
            <w:pPr>
              <w:spacing w:line="240" w:lineRule="atLeast"/>
              <w:jc w:val="left"/>
              <w:rPr>
                <w:rFonts w:cs="Calibri"/>
                <w:sz w:val="22"/>
                <w:szCs w:val="22"/>
              </w:rPr>
            </w:pPr>
          </w:p>
        </w:tc>
        <w:tc>
          <w:tcPr>
            <w:tcW w:w="1318" w:type="dxa"/>
            <w:tcBorders>
              <w:top w:val="nil"/>
              <w:left w:val="dotted" w:sz="4" w:space="0" w:color="808080"/>
              <w:bottom w:val="nil"/>
              <w:right w:val="nil"/>
            </w:tcBorders>
            <w:shd w:val="clear" w:color="auto" w:fill="auto"/>
          </w:tcPr>
          <w:p w14:paraId="0573EFC0" w14:textId="77777777" w:rsidR="000524AE" w:rsidRPr="00F441A6" w:rsidRDefault="000524AE" w:rsidP="004221E2">
            <w:pPr>
              <w:spacing w:line="240" w:lineRule="atLeast"/>
              <w:rPr>
                <w:rFonts w:cs="Calibri"/>
                <w:b/>
                <w:sz w:val="22"/>
                <w:szCs w:val="22"/>
              </w:rPr>
            </w:pPr>
            <w:r w:rsidRPr="00F441A6">
              <w:rPr>
                <w:rFonts w:cs="Calibri"/>
                <w:b/>
                <w:sz w:val="22"/>
                <w:szCs w:val="22"/>
              </w:rPr>
              <w:t>Bankovní spojení</w:t>
            </w:r>
          </w:p>
        </w:tc>
        <w:tc>
          <w:tcPr>
            <w:tcW w:w="3496" w:type="dxa"/>
            <w:tcBorders>
              <w:top w:val="nil"/>
              <w:left w:val="nil"/>
              <w:bottom w:val="nil"/>
              <w:right w:val="nil"/>
            </w:tcBorders>
            <w:shd w:val="clear" w:color="auto" w:fill="auto"/>
          </w:tcPr>
          <w:p w14:paraId="4BC1560A" w14:textId="0706810B" w:rsidR="000524AE" w:rsidRPr="00F441A6" w:rsidRDefault="000524AE" w:rsidP="004221E2">
            <w:pPr>
              <w:spacing w:line="240" w:lineRule="atLeast"/>
              <w:rPr>
                <w:rFonts w:cs="Calibri"/>
                <w:sz w:val="22"/>
                <w:szCs w:val="22"/>
              </w:rPr>
            </w:pPr>
          </w:p>
        </w:tc>
      </w:tr>
      <w:tr w:rsidR="000524AE" w:rsidRPr="00F441A6" w14:paraId="5BA95808" w14:textId="77777777" w:rsidTr="005D4930">
        <w:tc>
          <w:tcPr>
            <w:tcW w:w="1418" w:type="dxa"/>
            <w:tcBorders>
              <w:top w:val="nil"/>
              <w:left w:val="nil"/>
              <w:bottom w:val="nil"/>
              <w:right w:val="nil"/>
            </w:tcBorders>
            <w:shd w:val="clear" w:color="auto" w:fill="auto"/>
          </w:tcPr>
          <w:p w14:paraId="752E6816" w14:textId="77777777" w:rsidR="000524AE" w:rsidRPr="00F441A6" w:rsidRDefault="000524AE" w:rsidP="004221E2">
            <w:pPr>
              <w:spacing w:line="240" w:lineRule="atLeast"/>
              <w:rPr>
                <w:rFonts w:cs="Calibri"/>
                <w:b/>
                <w:sz w:val="22"/>
                <w:szCs w:val="22"/>
              </w:rPr>
            </w:pPr>
            <w:r w:rsidRPr="00F441A6">
              <w:rPr>
                <w:rFonts w:cs="Calibri"/>
                <w:b/>
                <w:sz w:val="22"/>
                <w:szCs w:val="22"/>
              </w:rPr>
              <w:t>Číslo účtu</w:t>
            </w:r>
          </w:p>
        </w:tc>
        <w:tc>
          <w:tcPr>
            <w:tcW w:w="3402" w:type="dxa"/>
            <w:tcBorders>
              <w:top w:val="nil"/>
              <w:left w:val="nil"/>
              <w:bottom w:val="nil"/>
              <w:right w:val="dotted" w:sz="4" w:space="0" w:color="808080"/>
            </w:tcBorders>
            <w:shd w:val="clear" w:color="auto" w:fill="auto"/>
            <w:vAlign w:val="center"/>
          </w:tcPr>
          <w:p w14:paraId="105C134C" w14:textId="7F86DFF9" w:rsidR="000524AE" w:rsidRPr="00F441A6" w:rsidRDefault="000524AE" w:rsidP="0018456A">
            <w:pPr>
              <w:spacing w:line="240" w:lineRule="atLeast"/>
              <w:jc w:val="left"/>
              <w:rPr>
                <w:rFonts w:cs="Calibri"/>
                <w:sz w:val="22"/>
                <w:szCs w:val="22"/>
              </w:rPr>
            </w:pPr>
          </w:p>
        </w:tc>
        <w:tc>
          <w:tcPr>
            <w:tcW w:w="1318" w:type="dxa"/>
            <w:tcBorders>
              <w:top w:val="nil"/>
              <w:left w:val="dotted" w:sz="4" w:space="0" w:color="808080"/>
              <w:bottom w:val="nil"/>
              <w:right w:val="nil"/>
            </w:tcBorders>
            <w:shd w:val="clear" w:color="auto" w:fill="auto"/>
          </w:tcPr>
          <w:p w14:paraId="375D1577" w14:textId="77777777" w:rsidR="000524AE" w:rsidRPr="00F441A6" w:rsidRDefault="000524AE" w:rsidP="004221E2">
            <w:pPr>
              <w:spacing w:line="240" w:lineRule="atLeast"/>
              <w:rPr>
                <w:rFonts w:cs="Calibri"/>
                <w:b/>
                <w:sz w:val="22"/>
                <w:szCs w:val="22"/>
              </w:rPr>
            </w:pPr>
            <w:r w:rsidRPr="00F441A6">
              <w:rPr>
                <w:rFonts w:cs="Calibri"/>
                <w:b/>
                <w:sz w:val="22"/>
                <w:szCs w:val="22"/>
              </w:rPr>
              <w:t>Číslo účtu</w:t>
            </w:r>
          </w:p>
        </w:tc>
        <w:tc>
          <w:tcPr>
            <w:tcW w:w="3496" w:type="dxa"/>
            <w:tcBorders>
              <w:top w:val="nil"/>
              <w:left w:val="nil"/>
              <w:bottom w:val="nil"/>
              <w:right w:val="nil"/>
            </w:tcBorders>
            <w:shd w:val="clear" w:color="auto" w:fill="auto"/>
          </w:tcPr>
          <w:p w14:paraId="090D3B51" w14:textId="195225F5" w:rsidR="000524AE" w:rsidRPr="00F441A6" w:rsidRDefault="000524AE" w:rsidP="004221E2">
            <w:pPr>
              <w:spacing w:line="240" w:lineRule="atLeast"/>
              <w:rPr>
                <w:rFonts w:cs="Calibri"/>
                <w:sz w:val="22"/>
                <w:szCs w:val="22"/>
              </w:rPr>
            </w:pPr>
          </w:p>
        </w:tc>
      </w:tr>
      <w:tr w:rsidR="000524AE" w:rsidRPr="00F441A6" w14:paraId="23148F4C" w14:textId="77777777" w:rsidTr="008009F0">
        <w:tc>
          <w:tcPr>
            <w:tcW w:w="1418" w:type="dxa"/>
            <w:tcBorders>
              <w:top w:val="nil"/>
              <w:left w:val="nil"/>
              <w:bottom w:val="nil"/>
              <w:right w:val="nil"/>
            </w:tcBorders>
            <w:shd w:val="clear" w:color="auto" w:fill="auto"/>
          </w:tcPr>
          <w:p w14:paraId="0AA3214C" w14:textId="77777777" w:rsidR="000524AE" w:rsidRPr="00F441A6" w:rsidRDefault="000524AE" w:rsidP="004221E2">
            <w:pPr>
              <w:spacing w:line="240" w:lineRule="atLeast"/>
              <w:rPr>
                <w:rFonts w:cs="Calibri"/>
                <w:b/>
                <w:sz w:val="22"/>
                <w:szCs w:val="22"/>
              </w:rPr>
            </w:pPr>
            <w:r w:rsidRPr="00F441A6">
              <w:rPr>
                <w:rFonts w:cs="Calibri"/>
                <w:b/>
                <w:sz w:val="22"/>
                <w:szCs w:val="22"/>
              </w:rPr>
              <w:t>Zastoupen</w:t>
            </w:r>
          </w:p>
        </w:tc>
        <w:tc>
          <w:tcPr>
            <w:tcW w:w="3402" w:type="dxa"/>
            <w:tcBorders>
              <w:top w:val="nil"/>
              <w:left w:val="nil"/>
              <w:bottom w:val="nil"/>
              <w:right w:val="dotted" w:sz="4" w:space="0" w:color="808080"/>
            </w:tcBorders>
            <w:shd w:val="clear" w:color="auto" w:fill="auto"/>
            <w:vAlign w:val="center"/>
          </w:tcPr>
          <w:p w14:paraId="2F4113C9" w14:textId="51ED6268" w:rsidR="000524AE" w:rsidRPr="00F441A6" w:rsidRDefault="00190B93" w:rsidP="0018456A">
            <w:pPr>
              <w:spacing w:line="240" w:lineRule="atLeast"/>
              <w:jc w:val="left"/>
              <w:rPr>
                <w:rFonts w:cs="Calibri"/>
                <w:sz w:val="22"/>
                <w:szCs w:val="22"/>
              </w:rPr>
            </w:pPr>
            <w:r>
              <w:rPr>
                <w:rFonts w:cs="Calibri"/>
                <w:sz w:val="22"/>
                <w:szCs w:val="22"/>
              </w:rPr>
              <w:t>Ing. Stanislav Fiala</w:t>
            </w:r>
          </w:p>
        </w:tc>
        <w:tc>
          <w:tcPr>
            <w:tcW w:w="1318" w:type="dxa"/>
            <w:tcBorders>
              <w:top w:val="nil"/>
              <w:left w:val="dotted" w:sz="4" w:space="0" w:color="808080"/>
              <w:bottom w:val="nil"/>
              <w:right w:val="nil"/>
            </w:tcBorders>
            <w:shd w:val="clear" w:color="auto" w:fill="auto"/>
          </w:tcPr>
          <w:p w14:paraId="6EA0E22E" w14:textId="77777777" w:rsidR="000524AE" w:rsidRPr="00F441A6" w:rsidRDefault="000524AE" w:rsidP="004221E2">
            <w:pPr>
              <w:spacing w:line="240" w:lineRule="atLeast"/>
              <w:rPr>
                <w:rFonts w:cs="Calibri"/>
                <w:b/>
                <w:sz w:val="22"/>
                <w:szCs w:val="22"/>
              </w:rPr>
            </w:pPr>
            <w:r w:rsidRPr="00F441A6">
              <w:rPr>
                <w:rFonts w:cs="Calibri"/>
                <w:b/>
                <w:sz w:val="22"/>
                <w:szCs w:val="22"/>
              </w:rPr>
              <w:t>Zastoupen</w:t>
            </w:r>
          </w:p>
        </w:tc>
        <w:tc>
          <w:tcPr>
            <w:tcW w:w="3496" w:type="dxa"/>
            <w:tcBorders>
              <w:top w:val="nil"/>
              <w:left w:val="nil"/>
              <w:bottom w:val="nil"/>
              <w:right w:val="nil"/>
            </w:tcBorders>
            <w:shd w:val="clear" w:color="auto" w:fill="auto"/>
          </w:tcPr>
          <w:p w14:paraId="2D11E896" w14:textId="77777777" w:rsidR="000524AE" w:rsidRPr="00F441A6" w:rsidRDefault="007F38A9" w:rsidP="004221E2">
            <w:pPr>
              <w:spacing w:line="240" w:lineRule="atLeast"/>
              <w:rPr>
                <w:rFonts w:cs="Calibri"/>
                <w:sz w:val="22"/>
                <w:szCs w:val="22"/>
              </w:rPr>
            </w:pPr>
            <w:r w:rsidRPr="00F441A6">
              <w:rPr>
                <w:rFonts w:cs="Calibri"/>
                <w:sz w:val="22"/>
                <w:szCs w:val="22"/>
              </w:rPr>
              <w:t xml:space="preserve">Ing. </w:t>
            </w:r>
            <w:r w:rsidR="003A7C90">
              <w:rPr>
                <w:rFonts w:cs="Calibri"/>
                <w:sz w:val="22"/>
                <w:szCs w:val="22"/>
              </w:rPr>
              <w:t>Radomil Doležal</w:t>
            </w:r>
            <w:r w:rsidRPr="00F441A6">
              <w:rPr>
                <w:rFonts w:cs="Calibri"/>
                <w:sz w:val="22"/>
                <w:szCs w:val="22"/>
              </w:rPr>
              <w:t>, MBA</w:t>
            </w:r>
          </w:p>
        </w:tc>
      </w:tr>
      <w:tr w:rsidR="000524AE" w:rsidRPr="00F441A6" w14:paraId="1B8961B8" w14:textId="77777777" w:rsidTr="008009F0">
        <w:tc>
          <w:tcPr>
            <w:tcW w:w="1418" w:type="dxa"/>
            <w:tcBorders>
              <w:top w:val="nil"/>
              <w:left w:val="nil"/>
              <w:bottom w:val="single" w:sz="4" w:space="0" w:color="808080" w:themeColor="background1" w:themeShade="80"/>
              <w:right w:val="nil"/>
            </w:tcBorders>
            <w:shd w:val="clear" w:color="auto" w:fill="auto"/>
          </w:tcPr>
          <w:p w14:paraId="66CA110D" w14:textId="77777777" w:rsidR="000524AE" w:rsidRPr="00F441A6" w:rsidRDefault="000524AE" w:rsidP="004221E2">
            <w:pPr>
              <w:spacing w:line="240" w:lineRule="atLeast"/>
              <w:rPr>
                <w:rFonts w:cs="Calibri"/>
                <w:b/>
                <w:sz w:val="22"/>
                <w:szCs w:val="22"/>
              </w:rPr>
            </w:pPr>
            <w:r w:rsidRPr="00F441A6">
              <w:rPr>
                <w:rFonts w:cs="Calibri"/>
                <w:b/>
                <w:sz w:val="22"/>
                <w:szCs w:val="22"/>
              </w:rPr>
              <w:t>Funkce</w:t>
            </w:r>
          </w:p>
        </w:tc>
        <w:tc>
          <w:tcPr>
            <w:tcW w:w="3402" w:type="dxa"/>
            <w:tcBorders>
              <w:top w:val="nil"/>
              <w:left w:val="nil"/>
              <w:bottom w:val="single" w:sz="4" w:space="0" w:color="808080" w:themeColor="background1" w:themeShade="80"/>
              <w:right w:val="nil"/>
            </w:tcBorders>
            <w:shd w:val="clear" w:color="auto" w:fill="auto"/>
            <w:vAlign w:val="center"/>
          </w:tcPr>
          <w:p w14:paraId="70FD13A2" w14:textId="5D7455DF" w:rsidR="000524AE" w:rsidRPr="00F441A6" w:rsidRDefault="00190B93" w:rsidP="0018456A">
            <w:pPr>
              <w:spacing w:line="240" w:lineRule="atLeast"/>
              <w:jc w:val="left"/>
              <w:rPr>
                <w:rFonts w:cs="Calibri"/>
                <w:sz w:val="22"/>
                <w:szCs w:val="22"/>
              </w:rPr>
            </w:pPr>
            <w:r>
              <w:rPr>
                <w:rFonts w:cs="Calibri"/>
                <w:sz w:val="22"/>
                <w:szCs w:val="22"/>
              </w:rPr>
              <w:t>Jednatel společnosti</w:t>
            </w:r>
          </w:p>
        </w:tc>
        <w:tc>
          <w:tcPr>
            <w:tcW w:w="1318" w:type="dxa"/>
            <w:tcBorders>
              <w:top w:val="nil"/>
              <w:left w:val="nil"/>
              <w:bottom w:val="single" w:sz="4" w:space="0" w:color="808080" w:themeColor="background1" w:themeShade="80"/>
              <w:right w:val="nil"/>
            </w:tcBorders>
            <w:shd w:val="clear" w:color="auto" w:fill="auto"/>
          </w:tcPr>
          <w:p w14:paraId="37E72DFB" w14:textId="77777777" w:rsidR="000524AE" w:rsidRPr="00F441A6" w:rsidRDefault="000524AE" w:rsidP="004221E2">
            <w:pPr>
              <w:spacing w:line="240" w:lineRule="atLeast"/>
              <w:rPr>
                <w:rFonts w:cs="Calibri"/>
                <w:b/>
                <w:sz w:val="22"/>
                <w:szCs w:val="22"/>
              </w:rPr>
            </w:pPr>
            <w:r w:rsidRPr="00F441A6">
              <w:rPr>
                <w:rFonts w:cs="Calibri"/>
                <w:b/>
                <w:sz w:val="22"/>
                <w:szCs w:val="22"/>
              </w:rPr>
              <w:t>Funkce</w:t>
            </w:r>
          </w:p>
        </w:tc>
        <w:tc>
          <w:tcPr>
            <w:tcW w:w="3496" w:type="dxa"/>
            <w:tcBorders>
              <w:top w:val="nil"/>
              <w:left w:val="nil"/>
              <w:bottom w:val="single" w:sz="4" w:space="0" w:color="808080" w:themeColor="background1" w:themeShade="80"/>
              <w:right w:val="nil"/>
            </w:tcBorders>
            <w:shd w:val="clear" w:color="auto" w:fill="auto"/>
          </w:tcPr>
          <w:p w14:paraId="3ADBC10A" w14:textId="77777777" w:rsidR="000524AE" w:rsidRPr="00F441A6" w:rsidRDefault="00494D1B" w:rsidP="00494D1B">
            <w:pPr>
              <w:spacing w:line="240" w:lineRule="atLeast"/>
              <w:rPr>
                <w:rFonts w:cs="Calibri"/>
                <w:sz w:val="22"/>
                <w:szCs w:val="22"/>
              </w:rPr>
            </w:pPr>
            <w:r w:rsidRPr="00F441A6">
              <w:rPr>
                <w:rFonts w:cs="Calibri"/>
                <w:sz w:val="22"/>
                <w:szCs w:val="22"/>
              </w:rPr>
              <w:t>G</w:t>
            </w:r>
            <w:r w:rsidR="007F38A9" w:rsidRPr="00F441A6">
              <w:rPr>
                <w:rFonts w:cs="Calibri"/>
                <w:sz w:val="22"/>
                <w:szCs w:val="22"/>
              </w:rPr>
              <w:t>enerální ředitel</w:t>
            </w:r>
          </w:p>
        </w:tc>
      </w:tr>
    </w:tbl>
    <w:p w14:paraId="00769575" w14:textId="77777777" w:rsidR="005B3EE7" w:rsidRPr="00F441A6" w:rsidRDefault="00B13389" w:rsidP="004221E2">
      <w:pPr>
        <w:pStyle w:val="Nadpis1"/>
        <w:spacing w:after="0"/>
        <w:rPr>
          <w:color w:val="auto"/>
        </w:rPr>
      </w:pPr>
      <w:r w:rsidRPr="00F441A6">
        <w:rPr>
          <w:color w:val="auto"/>
        </w:rPr>
        <w:t>Předmět smlouvy</w:t>
      </w:r>
    </w:p>
    <w:p w14:paraId="6050532A" w14:textId="77777777" w:rsidR="00B13389" w:rsidRPr="00F441A6" w:rsidRDefault="00B13389" w:rsidP="005B3EE7">
      <w:pPr>
        <w:pStyle w:val="Nadpis2"/>
      </w:pPr>
      <w:r w:rsidRPr="00F441A6">
        <w:t xml:space="preserve">Předmětem smlouvy je poskytování </w:t>
      </w:r>
      <w:r w:rsidR="005A266F" w:rsidRPr="00F441A6">
        <w:t>souboru služeb spojených se</w:t>
      </w:r>
      <w:r w:rsidR="008403F3" w:rsidRPr="00F441A6">
        <w:t xml:space="preserve"> </w:t>
      </w:r>
      <w:r w:rsidR="005A266F" w:rsidRPr="00F441A6">
        <w:t>zajištěním</w:t>
      </w:r>
      <w:r w:rsidR="00703AB3" w:rsidRPr="00F441A6">
        <w:t xml:space="preserve"> průběžné a řádné</w:t>
      </w:r>
      <w:r w:rsidR="005A266F" w:rsidRPr="00F441A6">
        <w:t xml:space="preserve"> </w:t>
      </w:r>
      <w:r w:rsidR="00981FED" w:rsidRPr="00F441A6">
        <w:rPr>
          <w:b/>
        </w:rPr>
        <w:t>Ad</w:t>
      </w:r>
      <w:r w:rsidR="00703AB3" w:rsidRPr="00F441A6">
        <w:rPr>
          <w:b/>
        </w:rPr>
        <w:t>ministrativní s</w:t>
      </w:r>
      <w:r w:rsidR="005A266F" w:rsidRPr="00F441A6">
        <w:rPr>
          <w:b/>
        </w:rPr>
        <w:t xml:space="preserve">právy interního archivu </w:t>
      </w:r>
      <w:r w:rsidR="005A266F" w:rsidRPr="00F441A6">
        <w:t>a/nebo</w:t>
      </w:r>
      <w:r w:rsidR="00100F76" w:rsidRPr="00F441A6">
        <w:t xml:space="preserve"> </w:t>
      </w:r>
      <w:r w:rsidR="005A266F" w:rsidRPr="00F441A6">
        <w:t xml:space="preserve">spisovny odběratele </w:t>
      </w:r>
      <w:r w:rsidR="00703AB3" w:rsidRPr="00F441A6">
        <w:t xml:space="preserve">a souvisejících níže uvedených služeb </w:t>
      </w:r>
      <w:r w:rsidRPr="00F441A6">
        <w:t>dodavatelem</w:t>
      </w:r>
      <w:r w:rsidR="006A0C12" w:rsidRPr="00F441A6">
        <w:t>, a to:</w:t>
      </w:r>
    </w:p>
    <w:p w14:paraId="04934BCD" w14:textId="77777777" w:rsidR="003A7C90" w:rsidRPr="003A7C90" w:rsidRDefault="005B292C" w:rsidP="007D1C2B">
      <w:pPr>
        <w:pStyle w:val="Nadpis3"/>
      </w:pPr>
      <w:r>
        <w:t>a</w:t>
      </w:r>
      <w:r w:rsidR="003A7C90">
        <w:t xml:space="preserve">nalýza stavu spisové služby dle platné </w:t>
      </w:r>
      <w:proofErr w:type="gramStart"/>
      <w:r w:rsidR="003A7C90">
        <w:t xml:space="preserve">legislativy - </w:t>
      </w:r>
      <w:r w:rsidR="003A7C90" w:rsidRPr="003A7C90">
        <w:t>zjištění</w:t>
      </w:r>
      <w:proofErr w:type="gramEnd"/>
      <w:r w:rsidR="003A7C90" w:rsidRPr="003A7C90">
        <w:t xml:space="preserve"> stavu vedení spisové služby v elektronické I písemné podobě v organizaci,</w:t>
      </w:r>
      <w:r w:rsidR="003A7C90">
        <w:t xml:space="preserve"> </w:t>
      </w:r>
      <w:r w:rsidR="003A7C90" w:rsidRPr="003A7C90">
        <w:t>zanalyzování a porovnání stavu s požadavky zákona kladenými na vedení spisové služby v elektronické podobě,</w:t>
      </w:r>
      <w:r w:rsidR="003A7C90">
        <w:t xml:space="preserve"> </w:t>
      </w:r>
      <w:r w:rsidR="003A7C90" w:rsidRPr="003A7C90">
        <w:t>navržení nápravy případných nedostatků v rámci zjištěného stavu,</w:t>
      </w:r>
      <w:r w:rsidR="003A7C90">
        <w:t xml:space="preserve"> </w:t>
      </w:r>
      <w:r w:rsidR="003A7C90" w:rsidRPr="003A7C90">
        <w:t>navržení optimalizace procesů spojených se spisovou službou</w:t>
      </w:r>
      <w:r>
        <w:t>,</w:t>
      </w:r>
    </w:p>
    <w:p w14:paraId="21CFB8BD" w14:textId="77777777" w:rsidR="003A7C90" w:rsidRDefault="005B292C" w:rsidP="00B13389">
      <w:pPr>
        <w:pStyle w:val="Nadpis3"/>
      </w:pPr>
      <w:r>
        <w:t>n</w:t>
      </w:r>
      <w:r w:rsidR="003A7C90">
        <w:t>astavení procesů pro vedení spisové služby v elektronické i listinné podobě – dohled a kontrola nastavení systému dle zjištění v analýze, konzultace v průběhu prováděných změn</w:t>
      </w:r>
      <w:r>
        <w:t>,</w:t>
      </w:r>
    </w:p>
    <w:p w14:paraId="38EEE627" w14:textId="77777777" w:rsidR="005B3EE7" w:rsidRPr="00F441A6" w:rsidRDefault="00CA446E" w:rsidP="00B13389">
      <w:pPr>
        <w:pStyle w:val="Nadpis3"/>
      </w:pPr>
      <w:r w:rsidRPr="00F441A6">
        <w:t xml:space="preserve">průběžná </w:t>
      </w:r>
      <w:r w:rsidR="00CA511E" w:rsidRPr="00F441A6">
        <w:t>k</w:t>
      </w:r>
      <w:r w:rsidR="00976C95" w:rsidRPr="00F441A6">
        <w:t xml:space="preserve">ontrola </w:t>
      </w:r>
      <w:r w:rsidR="0009555D" w:rsidRPr="00F441A6">
        <w:t xml:space="preserve">správností skartačních znaků a lhůt a evidenčních záznamů o </w:t>
      </w:r>
      <w:proofErr w:type="gramStart"/>
      <w:r w:rsidR="0009555D" w:rsidRPr="00F441A6">
        <w:t>dokumentech</w:t>
      </w:r>
      <w:proofErr w:type="gramEnd"/>
      <w:r w:rsidR="0009555D" w:rsidRPr="00F441A6">
        <w:t xml:space="preserve"> resp. spisech odběratele</w:t>
      </w:r>
      <w:r w:rsidR="00703AB3" w:rsidRPr="00F441A6">
        <w:t xml:space="preserve">, které budou předmětem předání k uložení </w:t>
      </w:r>
      <w:r w:rsidR="0009555D" w:rsidRPr="00F441A6">
        <w:t>v interním archivu odběratele</w:t>
      </w:r>
      <w:r w:rsidR="00703AB3" w:rsidRPr="00F441A6">
        <w:t xml:space="preserve"> dle platné legislativy</w:t>
      </w:r>
      <w:r w:rsidRPr="00F441A6">
        <w:t xml:space="preserve"> a interních směrnic odběratele</w:t>
      </w:r>
      <w:r w:rsidR="008403F3" w:rsidRPr="00F441A6">
        <w:t>,</w:t>
      </w:r>
    </w:p>
    <w:p w14:paraId="4000488D" w14:textId="77777777" w:rsidR="00703AB3" w:rsidRPr="00F441A6" w:rsidRDefault="00703AB3" w:rsidP="00703AB3">
      <w:pPr>
        <w:pStyle w:val="Nadpis3"/>
      </w:pPr>
      <w:r w:rsidRPr="00F441A6">
        <w:t>uspořádán</w:t>
      </w:r>
      <w:r w:rsidR="00A11793" w:rsidRPr="00F441A6">
        <w:t xml:space="preserve">í a fyzické uložení přírůstků nových </w:t>
      </w:r>
      <w:proofErr w:type="gramStart"/>
      <w:r w:rsidRPr="00F441A6">
        <w:t>dokumentů</w:t>
      </w:r>
      <w:proofErr w:type="gramEnd"/>
      <w:r w:rsidRPr="00F441A6">
        <w:t xml:space="preserve"> resp. spisů odběratele v interním archivu odběratele</w:t>
      </w:r>
      <w:r w:rsidR="008403F3" w:rsidRPr="00F441A6">
        <w:t>,</w:t>
      </w:r>
    </w:p>
    <w:p w14:paraId="65EC0FA7" w14:textId="77777777" w:rsidR="000478D0" w:rsidRPr="00F441A6" w:rsidRDefault="000478D0" w:rsidP="000478D0">
      <w:pPr>
        <w:pStyle w:val="Nadpis3"/>
      </w:pPr>
      <w:r w:rsidRPr="00F441A6">
        <w:t>průběžný metodický dohled a kontrola dodržování zásad stanovených interní směrnicí Spisový a skartační řád odběratele dle platné legislativy, obvyklé praxe a interních potřeb</w:t>
      </w:r>
      <w:r w:rsidR="00703AB3" w:rsidRPr="00F441A6">
        <w:t xml:space="preserve"> odběratele</w:t>
      </w:r>
      <w:r w:rsidR="008403F3" w:rsidRPr="00F441A6">
        <w:t>,</w:t>
      </w:r>
    </w:p>
    <w:p w14:paraId="2C216FFB" w14:textId="77777777" w:rsidR="00CA446E" w:rsidRPr="00645666" w:rsidRDefault="00CA446E" w:rsidP="00AB248C">
      <w:pPr>
        <w:pStyle w:val="Nadpis3"/>
        <w:tabs>
          <w:tab w:val="clear" w:pos="1004"/>
          <w:tab w:val="num" w:pos="993"/>
        </w:tabs>
        <w:ind w:left="993" w:hanging="709"/>
      </w:pPr>
      <w:r w:rsidRPr="00645666">
        <w:t xml:space="preserve">kontrola </w:t>
      </w:r>
      <w:r w:rsidR="001521D5" w:rsidRPr="00645666">
        <w:t>správnosti</w:t>
      </w:r>
      <w:r w:rsidR="00B76EBA" w:rsidRPr="00645666">
        <w:t>,</w:t>
      </w:r>
      <w:r w:rsidR="001521D5" w:rsidRPr="00645666">
        <w:t xml:space="preserve"> tj. </w:t>
      </w:r>
      <w:r w:rsidRPr="00645666">
        <w:t>shody interní směrnice Spisový a skartační řád odběratele s platnou legislativou a obvyklou praxí</w:t>
      </w:r>
      <w:r w:rsidR="001521D5" w:rsidRPr="00645666">
        <w:t xml:space="preserve"> a její aktualizace</w:t>
      </w:r>
      <w:r w:rsidR="005412AD" w:rsidRPr="00645666">
        <w:t>, přičemž aktualizací se rozumí předložení přehledu nedostatků a návrh změn na aktualizaci</w:t>
      </w:r>
      <w:r w:rsidR="008403F3" w:rsidRPr="00645666">
        <w:t>,</w:t>
      </w:r>
    </w:p>
    <w:p w14:paraId="19D1C2C2" w14:textId="77777777" w:rsidR="00A17CA4" w:rsidRPr="00F441A6" w:rsidRDefault="0009555D" w:rsidP="00A17CA4">
      <w:pPr>
        <w:pStyle w:val="Nadpis3"/>
      </w:pPr>
      <w:r w:rsidRPr="00F441A6">
        <w:t>zpracování skartační</w:t>
      </w:r>
      <w:r w:rsidR="00703AB3" w:rsidRPr="00F441A6">
        <w:t>ho</w:t>
      </w:r>
      <w:r w:rsidRPr="00F441A6">
        <w:t xml:space="preserve"> návrh</w:t>
      </w:r>
      <w:r w:rsidR="00703AB3" w:rsidRPr="00F441A6">
        <w:t xml:space="preserve">u </w:t>
      </w:r>
      <w:r w:rsidRPr="00F441A6">
        <w:t>dle zásad stanovených platnou legislativou a interními předpisy odběratele a jeho projednání s Národním a/nebo věcně a místně příslušným Státním archivem</w:t>
      </w:r>
      <w:r w:rsidR="008403F3" w:rsidRPr="00F441A6">
        <w:t>,</w:t>
      </w:r>
    </w:p>
    <w:p w14:paraId="1F294666" w14:textId="77777777" w:rsidR="00A17CA4" w:rsidRPr="00F441A6" w:rsidRDefault="0009555D" w:rsidP="00A17CA4">
      <w:pPr>
        <w:pStyle w:val="Nadpis3"/>
      </w:pPr>
      <w:r w:rsidRPr="00F441A6">
        <w:t>vyřazení dokumentů s uplynulou lhůtou skartace dle schváleného Skartačního návrhu a provedení důvěrné skartace dokumentů a/nebo předání vytypovaných dokumentů do Národního a/nebo věcně a místně příslušného Státního archivu</w:t>
      </w:r>
      <w:r w:rsidR="00976C95" w:rsidRPr="00F441A6">
        <w:t xml:space="preserve"> včetně zajištění odvozu dokumentů</w:t>
      </w:r>
      <w:r w:rsidR="008403F3" w:rsidRPr="00F441A6">
        <w:t>,</w:t>
      </w:r>
    </w:p>
    <w:p w14:paraId="0D7E7A32" w14:textId="77777777" w:rsidR="001F2591" w:rsidRPr="00F441A6" w:rsidRDefault="0009555D" w:rsidP="0002156E">
      <w:pPr>
        <w:pStyle w:val="Nadpis3"/>
      </w:pPr>
      <w:r w:rsidRPr="00F441A6">
        <w:t xml:space="preserve">odborné poradenství v souvislosti s vedením </w:t>
      </w:r>
      <w:proofErr w:type="gramStart"/>
      <w:r w:rsidRPr="00F441A6">
        <w:t>spisovny</w:t>
      </w:r>
      <w:proofErr w:type="gramEnd"/>
      <w:r w:rsidRPr="00F441A6">
        <w:t xml:space="preserve"> resp. interního archivu odběratele a </w:t>
      </w:r>
      <w:r w:rsidR="00CF173B" w:rsidRPr="00F441A6">
        <w:t xml:space="preserve">zajištěním </w:t>
      </w:r>
      <w:r w:rsidRPr="00F441A6">
        <w:t>shody interní směrnice Spisový a skartační řád odběratele s legislativou, obvyklou praxí a interními potřebami odběratele</w:t>
      </w:r>
      <w:r w:rsidR="00415577" w:rsidRPr="00F441A6">
        <w:t>.</w:t>
      </w:r>
    </w:p>
    <w:p w14:paraId="48227A0C" w14:textId="77777777" w:rsidR="005A266F" w:rsidRPr="00F441A6" w:rsidRDefault="005A266F" w:rsidP="005B3EE7">
      <w:pPr>
        <w:pStyle w:val="Nadpis1"/>
        <w:rPr>
          <w:color w:val="auto"/>
        </w:rPr>
      </w:pPr>
      <w:r w:rsidRPr="00F441A6">
        <w:rPr>
          <w:color w:val="auto"/>
        </w:rPr>
        <w:t xml:space="preserve">Místo </w:t>
      </w:r>
      <w:r w:rsidR="00703AB3" w:rsidRPr="00F441A6">
        <w:rPr>
          <w:color w:val="auto"/>
        </w:rPr>
        <w:t xml:space="preserve">a termíny </w:t>
      </w:r>
      <w:r w:rsidRPr="00F441A6">
        <w:rPr>
          <w:color w:val="auto"/>
        </w:rPr>
        <w:t>plnění</w:t>
      </w:r>
    </w:p>
    <w:p w14:paraId="6DB10CCD" w14:textId="77777777" w:rsidR="005A266F" w:rsidRPr="00F441A6" w:rsidRDefault="005A266F" w:rsidP="00E11BB8">
      <w:pPr>
        <w:pStyle w:val="Nadpis2"/>
        <w:rPr>
          <w:strike/>
        </w:rPr>
      </w:pPr>
      <w:r w:rsidRPr="00F441A6">
        <w:t xml:space="preserve">Místem plnění se pro účely této smlouvy rozumí interní archiv a/nebo spisovna </w:t>
      </w:r>
      <w:r w:rsidR="00405C6B" w:rsidRPr="00F441A6">
        <w:t xml:space="preserve">odběratele </w:t>
      </w:r>
      <w:r w:rsidRPr="00F441A6">
        <w:t>na adrese sídla odběratele</w:t>
      </w:r>
      <w:r w:rsidR="007F38A9" w:rsidRPr="00F441A6">
        <w:t>,</w:t>
      </w:r>
      <w:r w:rsidRPr="00F441A6">
        <w:t xml:space="preserve"> tj. </w:t>
      </w:r>
      <w:r w:rsidR="003A7C90">
        <w:t>Štěpánská 567/15</w:t>
      </w:r>
      <w:r w:rsidRPr="00F441A6">
        <w:t>, Praha 2</w:t>
      </w:r>
      <w:r w:rsidR="00E11BB8">
        <w:t>.</w:t>
      </w:r>
    </w:p>
    <w:p w14:paraId="3C450AA3" w14:textId="77777777" w:rsidR="005B292C" w:rsidRPr="005B292C" w:rsidRDefault="005B292C" w:rsidP="00F73D3C">
      <w:pPr>
        <w:pStyle w:val="Nadpis2"/>
      </w:pPr>
      <w:r>
        <w:lastRenderedPageBreak/>
        <w:t>Analýza stavu spisové služby dle platné legislativy bude prováděna v průběhu 1. měsíce spolupráce v předpokládaném maximálním rozsahu</w:t>
      </w:r>
      <w:r w:rsidR="0060429B">
        <w:t xml:space="preserve"> 80 hodin.</w:t>
      </w:r>
    </w:p>
    <w:p w14:paraId="3FB5D3ED" w14:textId="77777777" w:rsidR="005B292C" w:rsidRDefault="005B292C" w:rsidP="00703AB3">
      <w:pPr>
        <w:pStyle w:val="Nadpis2"/>
      </w:pPr>
      <w:r>
        <w:t>Nastavení procesů pro vedení spisové služby v elektronické i listinné podobě bude prováděna v průběhu 2. měsíce spolupráce v předpokládaném maximálním rozsahu</w:t>
      </w:r>
      <w:r w:rsidR="0060429B">
        <w:t xml:space="preserve"> 120 hodin.</w:t>
      </w:r>
    </w:p>
    <w:p w14:paraId="3D8FF43A" w14:textId="77777777" w:rsidR="00703AB3" w:rsidRPr="00F441A6" w:rsidRDefault="00703AB3" w:rsidP="00703AB3">
      <w:pPr>
        <w:pStyle w:val="Nadpis2"/>
      </w:pPr>
      <w:r w:rsidRPr="00F441A6">
        <w:t>Administrativní správa interního archivu a/nebo spisovny odb</w:t>
      </w:r>
      <w:r w:rsidRPr="003630DC">
        <w:t>ě</w:t>
      </w:r>
      <w:r w:rsidRPr="00F441A6">
        <w:t xml:space="preserve">ratele bude </w:t>
      </w:r>
      <w:r w:rsidR="001A214D" w:rsidRPr="00F441A6">
        <w:t xml:space="preserve">prováděna </w:t>
      </w:r>
      <w:r w:rsidRPr="00F441A6">
        <w:t xml:space="preserve">1 pracovníkem dodavatele </w:t>
      </w:r>
      <w:r w:rsidR="00CF173B" w:rsidRPr="00F441A6">
        <w:t>na základě odběratelem definovaných potřeb</w:t>
      </w:r>
      <w:r w:rsidR="00CA446E" w:rsidRPr="003630DC">
        <w:t>,</w:t>
      </w:r>
      <w:r w:rsidR="00CA446E" w:rsidRPr="00F441A6">
        <w:t xml:space="preserve"> zpravidla </w:t>
      </w:r>
      <w:r w:rsidR="00B76EBA" w:rsidRPr="00F441A6">
        <w:t xml:space="preserve">v </w:t>
      </w:r>
      <w:proofErr w:type="gramStart"/>
      <w:r w:rsidR="001521D5" w:rsidRPr="00F441A6">
        <w:t xml:space="preserve">předpokládaném </w:t>
      </w:r>
      <w:r w:rsidRPr="00F441A6">
        <w:t> rozsahu</w:t>
      </w:r>
      <w:proofErr w:type="gramEnd"/>
      <w:r w:rsidRPr="00F441A6">
        <w:t xml:space="preserve"> </w:t>
      </w:r>
      <w:r w:rsidR="0060429B">
        <w:t>18</w:t>
      </w:r>
      <w:r w:rsidRPr="00F441A6">
        <w:t xml:space="preserve"> hodin měsíčně</w:t>
      </w:r>
      <w:r w:rsidR="00CF173B" w:rsidRPr="00F441A6">
        <w:t xml:space="preserve"> nebo dle předchozí písemné dohody smluvních stran.</w:t>
      </w:r>
    </w:p>
    <w:p w14:paraId="569939B3" w14:textId="77777777" w:rsidR="00314E80" w:rsidRPr="00F441A6" w:rsidRDefault="00314E80" w:rsidP="00CF173B">
      <w:pPr>
        <w:pStyle w:val="Nadpis2"/>
      </w:pPr>
      <w:r w:rsidRPr="00F441A6">
        <w:t>Služby uvedené v čl. 2.1.</w:t>
      </w:r>
      <w:r w:rsidR="005B292C">
        <w:t>3</w:t>
      </w:r>
      <w:r w:rsidRPr="00F441A6">
        <w:t xml:space="preserve"> až 2.1.</w:t>
      </w:r>
      <w:r w:rsidR="005B292C">
        <w:t>6</w:t>
      </w:r>
      <w:r w:rsidRPr="00F441A6">
        <w:t xml:space="preserve"> budou dodavatelem poskytovány společně a v rámci plnění dle čl. 3.</w:t>
      </w:r>
      <w:r w:rsidR="005B292C">
        <w:t>4</w:t>
      </w:r>
      <w:r w:rsidRPr="00F441A6">
        <w:t xml:space="preserve"> této smlouvy.</w:t>
      </w:r>
    </w:p>
    <w:p w14:paraId="4F475FB1" w14:textId="77777777" w:rsidR="00CF173B" w:rsidRPr="00F441A6" w:rsidRDefault="00704AC8" w:rsidP="00CF173B">
      <w:pPr>
        <w:pStyle w:val="Nadpis2"/>
      </w:pPr>
      <w:r w:rsidRPr="00F441A6">
        <w:t>Služby</w:t>
      </w:r>
      <w:r w:rsidR="004221E2" w:rsidRPr="00F441A6">
        <w:t xml:space="preserve"> uvedené v čl. </w:t>
      </w:r>
      <w:r w:rsidR="00314E80" w:rsidRPr="00F441A6">
        <w:t>2.1.</w:t>
      </w:r>
      <w:r w:rsidR="005B292C">
        <w:t>7</w:t>
      </w:r>
      <w:r w:rsidR="00314E80" w:rsidRPr="00F441A6">
        <w:t xml:space="preserve"> </w:t>
      </w:r>
      <w:r w:rsidR="001E5576" w:rsidRPr="00F441A6">
        <w:t>a 2.1.</w:t>
      </w:r>
      <w:r w:rsidR="005B292C">
        <w:t>8</w:t>
      </w:r>
      <w:r w:rsidR="001E5576" w:rsidRPr="00F441A6">
        <w:t xml:space="preserve"> </w:t>
      </w:r>
      <w:r w:rsidR="004221E2" w:rsidRPr="00F441A6">
        <w:t>této smlouvy</w:t>
      </w:r>
      <w:r w:rsidRPr="00F441A6">
        <w:t xml:space="preserve"> budou dodavatelem poskytovány s odkazem na obvyklou praxi v intervalu 1x</w:t>
      </w:r>
      <w:r w:rsidR="002C1252" w:rsidRPr="00F441A6">
        <w:t xml:space="preserve"> </w:t>
      </w:r>
      <w:r w:rsidRPr="00F441A6">
        <w:t>ročně v</w:t>
      </w:r>
      <w:r w:rsidR="00AE7200" w:rsidRPr="00F441A6">
        <w:t> </w:t>
      </w:r>
      <w:r w:rsidRPr="00F441A6">
        <w:t>průběhu</w:t>
      </w:r>
      <w:r w:rsidR="00AE7200" w:rsidRPr="00F441A6">
        <w:t xml:space="preserve"> </w:t>
      </w:r>
      <w:r w:rsidRPr="00F441A6">
        <w:t>1.</w:t>
      </w:r>
      <w:r w:rsidR="00063564" w:rsidRPr="00F441A6">
        <w:t xml:space="preserve"> </w:t>
      </w:r>
      <w:r w:rsidRPr="00F441A6">
        <w:t>čtvrtletí kalendářního roku</w:t>
      </w:r>
      <w:r w:rsidR="00665B6E" w:rsidRPr="00F441A6">
        <w:t>.</w:t>
      </w:r>
    </w:p>
    <w:p w14:paraId="002EF713" w14:textId="77777777" w:rsidR="00CF173B" w:rsidRPr="00F441A6" w:rsidRDefault="00704AC8" w:rsidP="00CF173B">
      <w:pPr>
        <w:pStyle w:val="Nadpis2"/>
      </w:pPr>
      <w:r w:rsidRPr="00F441A6">
        <w:t xml:space="preserve">Služby uvedené v čl. </w:t>
      </w:r>
      <w:r w:rsidR="001E5576" w:rsidRPr="00F441A6">
        <w:t>2.1.</w:t>
      </w:r>
      <w:r w:rsidR="005B292C">
        <w:t>7</w:t>
      </w:r>
      <w:r w:rsidR="001E5576" w:rsidRPr="00F441A6">
        <w:t xml:space="preserve"> </w:t>
      </w:r>
      <w:r w:rsidR="008A2854" w:rsidRPr="00F441A6">
        <w:t>a 2.1.</w:t>
      </w:r>
      <w:r w:rsidR="005B292C">
        <w:t>8</w:t>
      </w:r>
      <w:r w:rsidR="008A2854" w:rsidRPr="00F441A6">
        <w:t xml:space="preserve"> </w:t>
      </w:r>
      <w:r w:rsidRPr="00F441A6">
        <w:t>této smlouvy budou dodavatelem p</w:t>
      </w:r>
      <w:r w:rsidR="00E94A84" w:rsidRPr="00F441A6">
        <w:t xml:space="preserve">oskytovány na základě </w:t>
      </w:r>
      <w:r w:rsidRPr="00F441A6">
        <w:t xml:space="preserve">dohody smluvních stran a odběratelem definovaných </w:t>
      </w:r>
      <w:r w:rsidR="00794D7F" w:rsidRPr="00F441A6">
        <w:t xml:space="preserve">písemných </w:t>
      </w:r>
      <w:r w:rsidRPr="00F441A6">
        <w:t>požadavků (objednávek)</w:t>
      </w:r>
      <w:r w:rsidR="00CA511E" w:rsidRPr="00F441A6">
        <w:t>.</w:t>
      </w:r>
    </w:p>
    <w:p w14:paraId="24C94B5A" w14:textId="1C9AE3E6" w:rsidR="00CA511E" w:rsidRPr="00F441A6" w:rsidRDefault="00CA511E" w:rsidP="00CA511E">
      <w:pPr>
        <w:pStyle w:val="Nadpis2"/>
        <w:ind w:left="578" w:hanging="578"/>
      </w:pPr>
      <w:r w:rsidRPr="00F441A6">
        <w:t>Požadavky (objednávky) odběratele musí být určit</w:t>
      </w:r>
      <w:r w:rsidR="001521D5" w:rsidRPr="00F441A6">
        <w:t>é</w:t>
      </w:r>
      <w:r w:rsidRPr="00F441A6">
        <w:t>, srozumitelné a konkrétní, současně mus</w:t>
      </w:r>
      <w:r w:rsidR="005B292C">
        <w:t>ej</w:t>
      </w:r>
      <w:r w:rsidRPr="00F441A6">
        <w:t xml:space="preserve">í být dodavateli doručeny dodavateli emailem na adresu </w:t>
      </w:r>
      <w:hyperlink r:id="rId8" w:history="1">
        <w:r w:rsidR="00705F85">
          <w:rPr>
            <w:rStyle w:val="Hypertextovodkaz"/>
          </w:rPr>
          <w:t>…</w:t>
        </w:r>
        <w:proofErr w:type="gramStart"/>
        <w:r w:rsidR="00705F85">
          <w:rPr>
            <w:rStyle w:val="Hypertextovodkaz"/>
          </w:rPr>
          <w:t>…….</w:t>
        </w:r>
        <w:proofErr w:type="gramEnd"/>
        <w:r w:rsidR="00705F85">
          <w:rPr>
            <w:rStyle w:val="Hypertextovodkaz"/>
          </w:rPr>
          <w:t>.</w:t>
        </w:r>
      </w:hyperlink>
      <w:r w:rsidRPr="00F441A6">
        <w:t xml:space="preserve"> nejméně 3</w:t>
      </w:r>
      <w:r w:rsidR="00361D13">
        <w:t xml:space="preserve"> kalendářní </w:t>
      </w:r>
      <w:r w:rsidRPr="00F441A6">
        <w:t>dny před požadovaným termínem plnění.</w:t>
      </w:r>
    </w:p>
    <w:p w14:paraId="595C7F0E" w14:textId="77777777" w:rsidR="00CA511E" w:rsidRPr="00F441A6" w:rsidRDefault="00CA511E" w:rsidP="00CA511E">
      <w:pPr>
        <w:pStyle w:val="Nadpis2"/>
      </w:pPr>
      <w:r w:rsidRPr="00F441A6">
        <w:t xml:space="preserve">Každý požadavek (objednávka) odběratele dle této smlouvy musí být ze strany dodavatele potvrzen odesláním </w:t>
      </w:r>
      <w:r w:rsidR="00CA446E" w:rsidRPr="00F441A6">
        <w:t xml:space="preserve">termínu zahájení, předpokládané časové náročnosti a kvalifikovaného odhadu celkové ceny poskytnutých služeb a prací. Pokud nebude ze strany odběratele tento cenový návrh do </w:t>
      </w:r>
      <w:r w:rsidR="00B76EBA" w:rsidRPr="00F441A6">
        <w:t xml:space="preserve">2 pracovních dnů </w:t>
      </w:r>
      <w:r w:rsidR="00CA446E" w:rsidRPr="00F441A6">
        <w:t>od jeho odeslání písemně odmítnut, má se za to, že je odběratel s cenovým návrhem dodavatele srozuměn a souhlasí</w:t>
      </w:r>
      <w:r w:rsidR="001521D5" w:rsidRPr="00F441A6">
        <w:t xml:space="preserve"> s ním</w:t>
      </w:r>
      <w:r w:rsidR="00CA446E" w:rsidRPr="00F441A6">
        <w:t>.</w:t>
      </w:r>
    </w:p>
    <w:p w14:paraId="4C832FA0" w14:textId="77777777" w:rsidR="00345D90" w:rsidRPr="00F441A6" w:rsidRDefault="00A06812" w:rsidP="005B3EE7">
      <w:pPr>
        <w:pStyle w:val="Nadpis1"/>
        <w:rPr>
          <w:color w:val="auto"/>
        </w:rPr>
      </w:pPr>
      <w:r w:rsidRPr="00F441A6">
        <w:rPr>
          <w:color w:val="auto"/>
        </w:rPr>
        <w:t>Práva a povinnosti smluvních stran</w:t>
      </w:r>
    </w:p>
    <w:p w14:paraId="5FC6EA69" w14:textId="77777777" w:rsidR="005B292C" w:rsidRDefault="00665B6E" w:rsidP="003B19B7">
      <w:pPr>
        <w:pStyle w:val="Nadpis2"/>
      </w:pPr>
      <w:r w:rsidRPr="00F441A6">
        <w:t>Odběratel</w:t>
      </w:r>
      <w:r w:rsidR="00FE5C62" w:rsidRPr="00F441A6">
        <w:t xml:space="preserve"> se po celou dobu platnosti a účinnosti této smlouvy zavazuje:</w:t>
      </w:r>
    </w:p>
    <w:p w14:paraId="6D1B9D73" w14:textId="77777777" w:rsidR="002A1BEB" w:rsidRDefault="002A1BEB">
      <w:pPr>
        <w:jc w:val="left"/>
        <w:rPr>
          <w:rFonts w:cs="Arial"/>
          <w:bCs/>
          <w:sz w:val="22"/>
          <w:szCs w:val="26"/>
        </w:rPr>
      </w:pPr>
      <w:r>
        <w:br w:type="page"/>
      </w:r>
    </w:p>
    <w:p w14:paraId="577446C7" w14:textId="77777777" w:rsidR="00FE5C62" w:rsidRPr="00F441A6" w:rsidRDefault="0009555D" w:rsidP="005B292C">
      <w:pPr>
        <w:pStyle w:val="Nadpis3"/>
      </w:pPr>
      <w:r w:rsidRPr="00F441A6">
        <w:lastRenderedPageBreak/>
        <w:t>h</w:t>
      </w:r>
      <w:r w:rsidR="00FE5C62" w:rsidRPr="00F441A6">
        <w:t xml:space="preserve">radit dle podmínek a pravidel stanovených touto smlouvou řádně a včas platby za </w:t>
      </w:r>
      <w:r w:rsidR="00102370" w:rsidRPr="00F441A6">
        <w:t>dodavatele</w:t>
      </w:r>
      <w:r w:rsidR="00463C05" w:rsidRPr="00F441A6">
        <w:t>m</w:t>
      </w:r>
      <w:r w:rsidR="00102370" w:rsidRPr="00F441A6">
        <w:t xml:space="preserve"> dle této smlouvy </w:t>
      </w:r>
      <w:r w:rsidR="00FE5C62" w:rsidRPr="00F441A6">
        <w:t>poskytnuté služby a práce,</w:t>
      </w:r>
    </w:p>
    <w:p w14:paraId="22CC1FD4" w14:textId="77777777" w:rsidR="0015527D" w:rsidRPr="00F441A6" w:rsidRDefault="00FE5C62" w:rsidP="00FE5C62">
      <w:pPr>
        <w:pStyle w:val="Nadpis3"/>
      </w:pPr>
      <w:r w:rsidRPr="00F441A6">
        <w:t xml:space="preserve">poskytovat </w:t>
      </w:r>
      <w:r w:rsidR="00463C05" w:rsidRPr="00F441A6">
        <w:t xml:space="preserve">dodavateli </w:t>
      </w:r>
      <w:r w:rsidRPr="00F441A6">
        <w:t xml:space="preserve">účinnou a nezbytně nutnou součinnost </w:t>
      </w:r>
      <w:r w:rsidR="00DB1AF2" w:rsidRPr="00F441A6">
        <w:t xml:space="preserve">potřebnou </w:t>
      </w:r>
      <w:r w:rsidRPr="00F441A6">
        <w:t xml:space="preserve">pro dosažení účelu této smlouvy, </w:t>
      </w:r>
      <w:r w:rsidR="00DB1AF2" w:rsidRPr="00F441A6">
        <w:t>řádné</w:t>
      </w:r>
      <w:r w:rsidRPr="00F441A6">
        <w:t xml:space="preserve"> plnění předmětu této smlouvy a </w:t>
      </w:r>
      <w:r w:rsidR="00DB1AF2" w:rsidRPr="00F441A6">
        <w:t>správné</w:t>
      </w:r>
      <w:r w:rsidRPr="00F441A6">
        <w:t xml:space="preserve"> a včasné plnění povinností </w:t>
      </w:r>
      <w:r w:rsidR="00102370" w:rsidRPr="00F441A6">
        <w:t>dodavatele</w:t>
      </w:r>
      <w:r w:rsidRPr="00F441A6">
        <w:t xml:space="preserve"> stanovených touto smlouvou,</w:t>
      </w:r>
    </w:p>
    <w:p w14:paraId="0BEDD233" w14:textId="77777777" w:rsidR="00FE5C62" w:rsidRPr="00F441A6" w:rsidRDefault="0015527D" w:rsidP="00FE5C62">
      <w:pPr>
        <w:pStyle w:val="Nadpis3"/>
      </w:pPr>
      <w:r w:rsidRPr="00F441A6">
        <w:t xml:space="preserve">poskytnout </w:t>
      </w:r>
      <w:r w:rsidR="002852AB" w:rsidRPr="00F441A6">
        <w:t xml:space="preserve">a předat </w:t>
      </w:r>
      <w:r w:rsidRPr="00F441A6">
        <w:t>do</w:t>
      </w:r>
      <w:r w:rsidR="00D42109" w:rsidRPr="00F441A6">
        <w:t>davateli řádně a včas</w:t>
      </w:r>
      <w:r w:rsidR="00D42109" w:rsidRPr="00F441A6">
        <w:rPr>
          <w:strike/>
        </w:rPr>
        <w:t xml:space="preserve"> </w:t>
      </w:r>
      <w:r w:rsidR="00D42109" w:rsidRPr="00F441A6">
        <w:t>veškeré podkla</w:t>
      </w:r>
      <w:r w:rsidR="00DB1AF2" w:rsidRPr="00F441A6">
        <w:t>dy</w:t>
      </w:r>
      <w:r w:rsidR="002852AB" w:rsidRPr="00F441A6">
        <w:t xml:space="preserve"> a/nebo další informace</w:t>
      </w:r>
      <w:r w:rsidR="00DB1AF2" w:rsidRPr="00F441A6">
        <w:t xml:space="preserve">, které jsou a/nebo mohou být </w:t>
      </w:r>
      <w:r w:rsidR="00D42109" w:rsidRPr="00F441A6">
        <w:t xml:space="preserve">potřebné pro </w:t>
      </w:r>
      <w:r w:rsidR="00DB1AF2" w:rsidRPr="00F441A6">
        <w:t xml:space="preserve">řádné a včasné </w:t>
      </w:r>
      <w:r w:rsidR="00D42109" w:rsidRPr="00F441A6">
        <w:t>poskytnutí služeb dle této smlouvy,</w:t>
      </w:r>
    </w:p>
    <w:p w14:paraId="3DA59B43" w14:textId="77777777" w:rsidR="00DB1AF2" w:rsidRPr="00F441A6" w:rsidRDefault="00DB1AF2" w:rsidP="00FE5C62">
      <w:pPr>
        <w:pStyle w:val="Nadpis3"/>
      </w:pPr>
      <w:r w:rsidRPr="00F441A6">
        <w:t>zajistit veškerou potřebnou součinnost pracovníků odběratele při předávání potřebných informací a</w:t>
      </w:r>
      <w:r w:rsidR="002852AB" w:rsidRPr="00F441A6">
        <w:t>/nebo</w:t>
      </w:r>
      <w:r w:rsidRPr="00F441A6">
        <w:t xml:space="preserve"> podkladů dodavateli a jiném plnění povinností dodavatele dle této smlouvy</w:t>
      </w:r>
      <w:r w:rsidR="00665B6E" w:rsidRPr="00F441A6">
        <w:t>,</w:t>
      </w:r>
    </w:p>
    <w:p w14:paraId="15421DAD" w14:textId="77777777" w:rsidR="00D42109" w:rsidRPr="00F441A6" w:rsidRDefault="00D42109" w:rsidP="00FE5C62">
      <w:pPr>
        <w:pStyle w:val="Nadpis3"/>
      </w:pPr>
      <w:r w:rsidRPr="00F441A6">
        <w:t>umožnit dodavateli plnohodnotný přístup do všech instalovaných modulů IS</w:t>
      </w:r>
      <w:r w:rsidR="00415577" w:rsidRPr="00F441A6">
        <w:t>,</w:t>
      </w:r>
      <w:r w:rsidRPr="00F441A6">
        <w:t xml:space="preserve"> </w:t>
      </w:r>
      <w:r w:rsidR="0009555D" w:rsidRPr="00F441A6">
        <w:t xml:space="preserve">ve kterém jsou vedeny záznamy o dokumentech </w:t>
      </w:r>
      <w:r w:rsidR="00405C6B" w:rsidRPr="00F441A6">
        <w:t xml:space="preserve">odběratele </w:t>
      </w:r>
      <w:r w:rsidR="0009555D" w:rsidRPr="00F441A6">
        <w:t xml:space="preserve">uložených v interním archivu a/nebo spisovně odběratele a/nebo které jsou a/nebo mají být předmětem předání </w:t>
      </w:r>
      <w:r w:rsidR="0079433A" w:rsidRPr="00F441A6">
        <w:t xml:space="preserve">k úschově v interním </w:t>
      </w:r>
      <w:proofErr w:type="gramStart"/>
      <w:r w:rsidR="0079433A" w:rsidRPr="00F441A6">
        <w:t>archivu</w:t>
      </w:r>
      <w:proofErr w:type="gramEnd"/>
      <w:r w:rsidR="0079433A" w:rsidRPr="00F441A6">
        <w:t xml:space="preserve"> resp. spisovně odběratele dle platné legislativy, interních směrnic odběratele a/nebo této smlouvy o poskytování služeb</w:t>
      </w:r>
      <w:r w:rsidRPr="00F441A6">
        <w:t>,</w:t>
      </w:r>
    </w:p>
    <w:p w14:paraId="24794280" w14:textId="77777777" w:rsidR="001B3A29" w:rsidRPr="00F441A6" w:rsidRDefault="001B3A29" w:rsidP="00FE5C62">
      <w:pPr>
        <w:pStyle w:val="Nadpis3"/>
      </w:pPr>
      <w:r w:rsidRPr="00F441A6">
        <w:t xml:space="preserve">písemně informovat dodavatele o zahájení, průběhu a výsledku </w:t>
      </w:r>
      <w:r w:rsidR="0079433A" w:rsidRPr="00F441A6">
        <w:t xml:space="preserve">případné </w:t>
      </w:r>
      <w:r w:rsidRPr="00F441A6">
        <w:t xml:space="preserve">kontroly </w:t>
      </w:r>
      <w:r w:rsidR="0079433A" w:rsidRPr="00F441A6">
        <w:t xml:space="preserve">a dohledu Národního archivu </w:t>
      </w:r>
      <w:r w:rsidR="00D15242" w:rsidRPr="00F441A6">
        <w:t xml:space="preserve">a předat dodavateli kopie </w:t>
      </w:r>
      <w:r w:rsidR="0079433A" w:rsidRPr="00F441A6">
        <w:t xml:space="preserve">zápisů, </w:t>
      </w:r>
      <w:r w:rsidR="00D15242" w:rsidRPr="00F441A6">
        <w:t xml:space="preserve">kontrolních protokolů a rozhodnutí </w:t>
      </w:r>
      <w:r w:rsidR="002D50F7" w:rsidRPr="00F441A6">
        <w:t xml:space="preserve">Národního archivu </w:t>
      </w:r>
      <w:r w:rsidR="00D15242" w:rsidRPr="00F441A6">
        <w:t>v dan</w:t>
      </w:r>
      <w:r w:rsidR="00665B6E" w:rsidRPr="00F441A6">
        <w:t>é</w:t>
      </w:r>
      <w:r w:rsidR="00D15242" w:rsidRPr="00F441A6">
        <w:t xml:space="preserve"> věci</w:t>
      </w:r>
      <w:r w:rsidRPr="00F441A6">
        <w:t xml:space="preserve">, a to i v případě, že kontrola probíhá </w:t>
      </w:r>
      <w:r w:rsidR="008776CB" w:rsidRPr="00F441A6">
        <w:t xml:space="preserve">do jednoho roku </w:t>
      </w:r>
      <w:r w:rsidRPr="00F441A6">
        <w:t>po skončení účinnosti této smlouvy</w:t>
      </w:r>
      <w:r w:rsidR="0079433A" w:rsidRPr="00F441A6">
        <w:t>, a která přímo souvisí s dodavatelem poskytnutými a/nebo poskytovanými službami dle této smlouvy</w:t>
      </w:r>
      <w:r w:rsidRPr="00F441A6">
        <w:t>,</w:t>
      </w:r>
    </w:p>
    <w:p w14:paraId="5AF8FB5F" w14:textId="77777777" w:rsidR="001B3A29" w:rsidRPr="00F441A6" w:rsidRDefault="00463C05" w:rsidP="001B3A29">
      <w:pPr>
        <w:pStyle w:val="Nadpis3"/>
      </w:pPr>
      <w:r w:rsidRPr="00F441A6">
        <w:t xml:space="preserve">bez zbytečného odkladu </w:t>
      </w:r>
      <w:r w:rsidR="001B3A29" w:rsidRPr="00F441A6">
        <w:t>informovat dodavatele o jakýchkoliv svých písemných i ústních úkonech vůči správ</w:t>
      </w:r>
      <w:r w:rsidR="0079433A" w:rsidRPr="00F441A6">
        <w:t xml:space="preserve">nímu orgánu provádějícímu dohled v oblasti </w:t>
      </w:r>
      <w:r w:rsidR="002D50F7" w:rsidRPr="00F441A6">
        <w:t>a</w:t>
      </w:r>
      <w:r w:rsidR="0079433A" w:rsidRPr="00F441A6">
        <w:t>rchivnictví a spisové služby</w:t>
      </w:r>
      <w:r w:rsidR="001B3A29" w:rsidRPr="00F441A6">
        <w:t xml:space="preserve">, které </w:t>
      </w:r>
      <w:r w:rsidR="0079433A" w:rsidRPr="00F441A6">
        <w:t xml:space="preserve">přímo či nepřímo </w:t>
      </w:r>
      <w:r w:rsidR="001B3A29" w:rsidRPr="00F441A6">
        <w:t xml:space="preserve">souvisí s dodavatelem poskytnutými </w:t>
      </w:r>
      <w:r w:rsidR="00DB1AF2" w:rsidRPr="00F441A6">
        <w:t xml:space="preserve">a/nebo poskytovanými </w:t>
      </w:r>
      <w:r w:rsidR="001B3A29" w:rsidRPr="00F441A6">
        <w:t>službami dle této smlouvy,</w:t>
      </w:r>
    </w:p>
    <w:p w14:paraId="1CD0414F" w14:textId="4520B3F6" w:rsidR="00FE5C62" w:rsidRPr="00F441A6" w:rsidRDefault="00FE5C62" w:rsidP="00FE5C62">
      <w:pPr>
        <w:pStyle w:val="Nadpis3"/>
      </w:pPr>
      <w:r w:rsidRPr="00F441A6">
        <w:t xml:space="preserve">bez zbytečného odkladu upozornit </w:t>
      </w:r>
      <w:r w:rsidR="00102370" w:rsidRPr="00F441A6">
        <w:t>dodavatele</w:t>
      </w:r>
      <w:r w:rsidRPr="00F441A6">
        <w:t xml:space="preserve"> písemně, e-mailem na adresu</w:t>
      </w:r>
      <w:r w:rsidR="00102370" w:rsidRPr="00F441A6">
        <w:t xml:space="preserve"> </w:t>
      </w:r>
      <w:hyperlink r:id="rId9" w:history="1">
        <w:r w:rsidR="00705F85">
          <w:rPr>
            <w:rStyle w:val="Hypertextovodkaz"/>
          </w:rPr>
          <w:t>……</w:t>
        </w:r>
        <w:proofErr w:type="gramStart"/>
        <w:r w:rsidR="00705F85">
          <w:rPr>
            <w:rStyle w:val="Hypertextovodkaz"/>
          </w:rPr>
          <w:t>…….</w:t>
        </w:r>
        <w:proofErr w:type="gramEnd"/>
        <w:r w:rsidR="00705F85">
          <w:rPr>
            <w:rStyle w:val="Hypertextovodkaz"/>
          </w:rPr>
          <w:t>.</w:t>
        </w:r>
      </w:hyperlink>
      <w:r w:rsidR="00190B93">
        <w:t xml:space="preserve">, </w:t>
      </w:r>
      <w:r w:rsidRPr="00F441A6">
        <w:t xml:space="preserve"> na prokazatelné a nikoliv subjektivní vady </w:t>
      </w:r>
      <w:r w:rsidR="00102370" w:rsidRPr="00F441A6">
        <w:t>dodavatelem</w:t>
      </w:r>
      <w:r w:rsidRPr="00F441A6">
        <w:t xml:space="preserve"> </w:t>
      </w:r>
      <w:r w:rsidR="00102370" w:rsidRPr="00F441A6">
        <w:t xml:space="preserve">dle této smlouvy </w:t>
      </w:r>
      <w:r w:rsidRPr="00F441A6">
        <w:t>poskytovaných služeb a prací,</w:t>
      </w:r>
    </w:p>
    <w:p w14:paraId="7C662659" w14:textId="77777777" w:rsidR="00FE5C62" w:rsidRPr="00F441A6" w:rsidRDefault="00FE5C62" w:rsidP="00FE5C62">
      <w:pPr>
        <w:pStyle w:val="Nadpis3"/>
      </w:pPr>
      <w:r w:rsidRPr="00F441A6">
        <w:t xml:space="preserve">dodržovat a dbát na důsledné dodržování </w:t>
      </w:r>
      <w:r w:rsidR="00102370" w:rsidRPr="00F441A6">
        <w:t xml:space="preserve">povinností, </w:t>
      </w:r>
      <w:r w:rsidRPr="00F441A6">
        <w:t xml:space="preserve">podmínek, pravidel a zásad </w:t>
      </w:r>
      <w:r w:rsidR="00102370" w:rsidRPr="00F441A6">
        <w:t>vyplývajících z</w:t>
      </w:r>
      <w:r w:rsidRPr="00F441A6">
        <w:t xml:space="preserve"> </w:t>
      </w:r>
      <w:r w:rsidR="00102370" w:rsidRPr="00F441A6">
        <w:t xml:space="preserve">platné právní úpravy, zejména zákona č. </w:t>
      </w:r>
      <w:r w:rsidR="0079433A" w:rsidRPr="00F441A6">
        <w:t>499</w:t>
      </w:r>
      <w:r w:rsidR="00102370" w:rsidRPr="00F441A6">
        <w:t>/</w:t>
      </w:r>
      <w:r w:rsidR="0079433A" w:rsidRPr="00F441A6">
        <w:t>2004</w:t>
      </w:r>
      <w:r w:rsidR="00102370" w:rsidRPr="00F441A6">
        <w:t xml:space="preserve"> Sb., </w:t>
      </w:r>
      <w:r w:rsidR="00AE7200" w:rsidRPr="00F441A6">
        <w:t xml:space="preserve">o </w:t>
      </w:r>
      <w:r w:rsidR="0079433A" w:rsidRPr="00F441A6">
        <w:t>archivnictví a spisové službě</w:t>
      </w:r>
      <w:r w:rsidR="00102370" w:rsidRPr="00F441A6">
        <w:t xml:space="preserve"> a související legislativy </w:t>
      </w:r>
      <w:r w:rsidR="0079433A" w:rsidRPr="00F441A6">
        <w:t xml:space="preserve">v platném znění </w:t>
      </w:r>
      <w:r w:rsidRPr="00F441A6">
        <w:t>a interní</w:t>
      </w:r>
      <w:r w:rsidR="002D50F7" w:rsidRPr="00F441A6">
        <w:t>ch</w:t>
      </w:r>
      <w:r w:rsidRPr="00F441A6">
        <w:t xml:space="preserve"> směrnic </w:t>
      </w:r>
      <w:r w:rsidR="00102370" w:rsidRPr="00F441A6">
        <w:t>odběratele</w:t>
      </w:r>
      <w:r w:rsidRPr="00F441A6">
        <w:t xml:space="preserve">, případně obsažených v pokynech </w:t>
      </w:r>
      <w:r w:rsidR="00102370" w:rsidRPr="00F441A6">
        <w:t>dodavatele</w:t>
      </w:r>
      <w:r w:rsidR="00F27B5B">
        <w:t xml:space="preserve"> a dále z případných dalších obecně závazných právních předpisů</w:t>
      </w:r>
      <w:r w:rsidRPr="00F441A6">
        <w:t>.</w:t>
      </w:r>
    </w:p>
    <w:p w14:paraId="75DA1C70" w14:textId="77777777" w:rsidR="00FE5C62" w:rsidRPr="00F441A6" w:rsidRDefault="00665B6E" w:rsidP="00FE5C62">
      <w:pPr>
        <w:pStyle w:val="Nadpis2"/>
      </w:pPr>
      <w:r w:rsidRPr="00F441A6">
        <w:t>Odběratel</w:t>
      </w:r>
      <w:r w:rsidR="00FE5C62" w:rsidRPr="00F441A6">
        <w:t xml:space="preserve"> má po celou dobu </w:t>
      </w:r>
      <w:r w:rsidR="00102370" w:rsidRPr="00F441A6">
        <w:t xml:space="preserve">platnosti a účinnosti </w:t>
      </w:r>
      <w:r w:rsidR="00E71143" w:rsidRPr="00F441A6">
        <w:t>této smlouvy právo</w:t>
      </w:r>
      <w:r w:rsidR="00FE5C62" w:rsidRPr="00F441A6">
        <w:t>:</w:t>
      </w:r>
    </w:p>
    <w:p w14:paraId="4B81FB7C" w14:textId="77777777" w:rsidR="00E71143" w:rsidRPr="00F441A6" w:rsidRDefault="00ED16EE" w:rsidP="00794D7F">
      <w:pPr>
        <w:pStyle w:val="Nadpis3"/>
      </w:pPr>
      <w:r w:rsidRPr="00F441A6">
        <w:t>d</w:t>
      </w:r>
      <w:r w:rsidR="00E71143" w:rsidRPr="00F441A6">
        <w:t>ávat dodavateli pokyny, které budou mít, požádá-li o to dodavatel</w:t>
      </w:r>
      <w:r w:rsidR="002D50F7" w:rsidRPr="00F441A6">
        <w:t>,</w:t>
      </w:r>
      <w:r w:rsidR="00E71143" w:rsidRPr="00F441A6">
        <w:t xml:space="preserve"> písemnou podobu</w:t>
      </w:r>
      <w:r w:rsidR="00C4768F" w:rsidRPr="00F441A6">
        <w:t>,</w:t>
      </w:r>
    </w:p>
    <w:p w14:paraId="54999531" w14:textId="77777777" w:rsidR="00794D7F" w:rsidRPr="00962EA5" w:rsidRDefault="00E71143" w:rsidP="00C2058C">
      <w:pPr>
        <w:pStyle w:val="Nadpis3"/>
        <w:spacing w:after="120"/>
        <w:jc w:val="left"/>
      </w:pPr>
      <w:r w:rsidRPr="00F441A6">
        <w:t xml:space="preserve">na </w:t>
      </w:r>
      <w:r w:rsidR="00FE5C62" w:rsidRPr="00F441A6">
        <w:t xml:space="preserve">bezplatné odstranění </w:t>
      </w:r>
      <w:proofErr w:type="gramStart"/>
      <w:r w:rsidR="00FE5C62" w:rsidRPr="00F441A6">
        <w:t>zjevných</w:t>
      </w:r>
      <w:proofErr w:type="gramEnd"/>
      <w:r w:rsidR="00FE5C62" w:rsidRPr="00F441A6">
        <w:t xml:space="preserve"> a nikoliv subjektivních vad dodavatelem </w:t>
      </w:r>
      <w:r w:rsidR="000E1AF1" w:rsidRPr="00F441A6">
        <w:t xml:space="preserve">poskytnutých služeb a prací, </w:t>
      </w:r>
      <w:r w:rsidR="00FE5C62" w:rsidRPr="00F441A6">
        <w:t>jejichž příčina tkví prokazatelně na straně dodavatele</w:t>
      </w:r>
      <w:r w:rsidR="00956366" w:rsidRPr="00F441A6">
        <w:t>.</w:t>
      </w:r>
      <w:r w:rsidR="00794D7F" w:rsidRPr="00F441A6">
        <w:br w:type="page"/>
      </w:r>
    </w:p>
    <w:p w14:paraId="22FD6E24" w14:textId="77777777" w:rsidR="00FB3481" w:rsidRPr="00F441A6" w:rsidRDefault="00FB3481" w:rsidP="006D232B">
      <w:pPr>
        <w:pStyle w:val="Nadpis2"/>
      </w:pPr>
      <w:r w:rsidRPr="00F441A6">
        <w:lastRenderedPageBreak/>
        <w:t>D</w:t>
      </w:r>
      <w:r w:rsidR="0079433A" w:rsidRPr="00F441A6">
        <w:t>o</w:t>
      </w:r>
      <w:r w:rsidRPr="00F441A6">
        <w:t>davatel se po celou dobu platnosti a účinnosti této smlouvy zavazuje:</w:t>
      </w:r>
    </w:p>
    <w:p w14:paraId="6F771FC9" w14:textId="77777777" w:rsidR="0073503F" w:rsidRPr="00F441A6" w:rsidRDefault="0079433A" w:rsidP="0073503F">
      <w:pPr>
        <w:pStyle w:val="Nadpis3"/>
      </w:pPr>
      <w:r w:rsidRPr="00F441A6">
        <w:t>p</w:t>
      </w:r>
      <w:r w:rsidR="00ED16EE" w:rsidRPr="00F441A6">
        <w:t xml:space="preserve">oskytovat služby odběrateli </w:t>
      </w:r>
      <w:r w:rsidR="0073503F" w:rsidRPr="00F441A6">
        <w:t>dle této smlouvy ve stanovených nebo dohodnutých termínech, řádně</w:t>
      </w:r>
      <w:r w:rsidR="00767FD3">
        <w:t>, profesionálně, v nejvyšší jakosti</w:t>
      </w:r>
      <w:r w:rsidR="0073503F" w:rsidRPr="00F441A6">
        <w:t xml:space="preserve"> a s odbornou péčí, s přihlédnutím k účelu tét</w:t>
      </w:r>
      <w:r w:rsidR="00ED16EE" w:rsidRPr="00F441A6">
        <w:t>o smlouvy a pokynům</w:t>
      </w:r>
      <w:r w:rsidR="0073503F" w:rsidRPr="00F441A6">
        <w:t xml:space="preserve"> odběratele</w:t>
      </w:r>
      <w:r w:rsidR="00ED16EE" w:rsidRPr="00F441A6">
        <w:t xml:space="preserve"> a využívat všechny zákonné prostředky a uplatňovat vše, co podle svého přesvědčení a pokynu odběratele pokládá za prospěšné</w:t>
      </w:r>
      <w:r w:rsidR="001F2591" w:rsidRPr="00F441A6">
        <w:t>,</w:t>
      </w:r>
    </w:p>
    <w:p w14:paraId="480B5183" w14:textId="77777777" w:rsidR="00E71143" w:rsidRPr="00F441A6" w:rsidRDefault="00E71143" w:rsidP="0073503F">
      <w:pPr>
        <w:pStyle w:val="Nadpis3"/>
      </w:pPr>
      <w:r w:rsidRPr="00F441A6">
        <w:t xml:space="preserve">upozornit odběratele na nevhodnost jeho pokynů. V případě, že odběratel přes upozornění dodavatele na vydaných pokynech trvá, není dodavatel odpovědný </w:t>
      </w:r>
      <w:r w:rsidR="00ED16EE" w:rsidRPr="00F441A6">
        <w:t>za případnou škodu</w:t>
      </w:r>
      <w:r w:rsidR="00665B6E" w:rsidRPr="00F441A6">
        <w:t>,</w:t>
      </w:r>
    </w:p>
    <w:p w14:paraId="7542F337" w14:textId="77777777" w:rsidR="0073503F" w:rsidRPr="00F441A6" w:rsidRDefault="0073503F" w:rsidP="0073503F">
      <w:pPr>
        <w:pStyle w:val="Nadpis3"/>
      </w:pPr>
      <w:r w:rsidRPr="00F441A6">
        <w:t>informovat neodkladně odběratele o všech skutečnostech, které by mohly mít vliv n</w:t>
      </w:r>
      <w:r w:rsidR="00E71143" w:rsidRPr="00F441A6">
        <w:t>a plnění předmětu této smlouvy,</w:t>
      </w:r>
    </w:p>
    <w:p w14:paraId="24798303" w14:textId="77777777" w:rsidR="00FB3481" w:rsidRPr="00F441A6" w:rsidRDefault="00FB3481" w:rsidP="00FB3481">
      <w:pPr>
        <w:pStyle w:val="Nadpis2"/>
      </w:pPr>
      <w:r w:rsidRPr="00F441A6">
        <w:t xml:space="preserve">Dodavatel má po celou dobu platnosti a účinnosti </w:t>
      </w:r>
      <w:r w:rsidR="00ED16EE" w:rsidRPr="00F441A6">
        <w:t>této smlouvy právo</w:t>
      </w:r>
      <w:r w:rsidRPr="00F441A6">
        <w:t>:</w:t>
      </w:r>
    </w:p>
    <w:p w14:paraId="64A3D1A5" w14:textId="77777777" w:rsidR="0099100F" w:rsidRPr="00F441A6" w:rsidRDefault="0099100F" w:rsidP="00C2058C">
      <w:pPr>
        <w:pStyle w:val="Nadpis3"/>
        <w:tabs>
          <w:tab w:val="clear" w:pos="1004"/>
          <w:tab w:val="num" w:pos="567"/>
        </w:tabs>
      </w:pPr>
      <w:r w:rsidRPr="00F441A6">
        <w:t>na včasnou a řádnou úhradu sjednané smluvní odměny za poskytnuté služby dle této smlouvy</w:t>
      </w:r>
      <w:r w:rsidR="002D50F7" w:rsidRPr="00F441A6">
        <w:t>,</w:t>
      </w:r>
    </w:p>
    <w:p w14:paraId="7BAE92AF" w14:textId="77777777" w:rsidR="001F2591" w:rsidRPr="00F441A6" w:rsidRDefault="0099100F" w:rsidP="00C2058C">
      <w:pPr>
        <w:pStyle w:val="Nadpis3"/>
        <w:tabs>
          <w:tab w:val="clear" w:pos="1004"/>
          <w:tab w:val="num" w:pos="567"/>
        </w:tabs>
      </w:pPr>
      <w:r w:rsidRPr="003630DC">
        <w:t>p</w:t>
      </w:r>
      <w:r w:rsidR="001F2591" w:rsidRPr="003630DC">
        <w:t xml:space="preserve">onechat si kopie </w:t>
      </w:r>
      <w:r w:rsidR="00ED4822" w:rsidRPr="003630DC">
        <w:t xml:space="preserve">směrnic a písemných pokynů odběratele </w:t>
      </w:r>
      <w:r w:rsidR="00703A73" w:rsidRPr="003630DC">
        <w:t xml:space="preserve">a </w:t>
      </w:r>
      <w:r w:rsidR="00ED4822" w:rsidRPr="003630DC">
        <w:t xml:space="preserve">případně dalších </w:t>
      </w:r>
      <w:r w:rsidR="00703A73" w:rsidRPr="003630DC">
        <w:t>materiálů</w:t>
      </w:r>
      <w:r w:rsidR="001F2591" w:rsidRPr="003630DC">
        <w:t xml:space="preserve">, které mu </w:t>
      </w:r>
      <w:r w:rsidR="001F2591" w:rsidRPr="00F441A6">
        <w:t>odběratel předá za účelem poskytnutí služeb dle této smlouvy</w:t>
      </w:r>
      <w:r w:rsidR="00ED4822" w:rsidRPr="00F441A6">
        <w:t>,</w:t>
      </w:r>
    </w:p>
    <w:p w14:paraId="733E4B6B" w14:textId="77777777" w:rsidR="0073503F" w:rsidRPr="00F441A6" w:rsidRDefault="0099100F" w:rsidP="00C2058C">
      <w:pPr>
        <w:pStyle w:val="Nadpis3"/>
        <w:tabs>
          <w:tab w:val="clear" w:pos="1004"/>
          <w:tab w:val="num" w:pos="567"/>
        </w:tabs>
      </w:pPr>
      <w:r w:rsidRPr="00F441A6">
        <w:t>o</w:t>
      </w:r>
      <w:r w:rsidR="00ED16EE" w:rsidRPr="00F441A6">
        <w:t>dmítnout poskytnutí takové služby, která by vedla k porušení právních předpisů.</w:t>
      </w:r>
    </w:p>
    <w:p w14:paraId="37E02DD9" w14:textId="77777777" w:rsidR="002852AB" w:rsidRPr="00F441A6" w:rsidRDefault="001F2591" w:rsidP="001F2591">
      <w:pPr>
        <w:pStyle w:val="Nadpis2"/>
      </w:pPr>
      <w:r w:rsidRPr="00F441A6">
        <w:t xml:space="preserve">Dodavatel </w:t>
      </w:r>
      <w:r w:rsidR="0002156E" w:rsidRPr="00F441A6">
        <w:t>není povinen</w:t>
      </w:r>
      <w:r w:rsidR="00A11793" w:rsidRPr="00F441A6">
        <w:t xml:space="preserve"> </w:t>
      </w:r>
      <w:r w:rsidR="00405C6B" w:rsidRPr="00F441A6">
        <w:t>provádět kontrolu pravosti,</w:t>
      </w:r>
      <w:r w:rsidR="002852AB" w:rsidRPr="00F441A6">
        <w:t xml:space="preserve"> pravdivosti </w:t>
      </w:r>
      <w:r w:rsidR="00405C6B" w:rsidRPr="00F441A6">
        <w:t xml:space="preserve">a úplnosti </w:t>
      </w:r>
      <w:r w:rsidR="000478D0" w:rsidRPr="00F441A6">
        <w:t xml:space="preserve">dokumentů, </w:t>
      </w:r>
      <w:r w:rsidR="0099100F" w:rsidRPr="00F441A6">
        <w:t xml:space="preserve">dokladů, </w:t>
      </w:r>
      <w:r w:rsidR="000478D0" w:rsidRPr="00F441A6">
        <w:t xml:space="preserve">spisů a/nebo jiných </w:t>
      </w:r>
      <w:r w:rsidR="0099100F" w:rsidRPr="00F441A6">
        <w:t>podkladů</w:t>
      </w:r>
      <w:r w:rsidR="00703A73" w:rsidRPr="00F441A6">
        <w:t>, materiálů</w:t>
      </w:r>
      <w:r w:rsidR="0099100F" w:rsidRPr="00F441A6">
        <w:t xml:space="preserve"> a informací, které mu odběratel</w:t>
      </w:r>
      <w:r w:rsidR="002852AB" w:rsidRPr="00F441A6">
        <w:t xml:space="preserve"> </w:t>
      </w:r>
      <w:r w:rsidR="0099100F" w:rsidRPr="00F441A6">
        <w:t>předá za účelem poskytnutí</w:t>
      </w:r>
      <w:r w:rsidR="002852AB" w:rsidRPr="00F441A6">
        <w:t xml:space="preserve"> </w:t>
      </w:r>
      <w:r w:rsidR="0099100F" w:rsidRPr="00F441A6">
        <w:t>služeb dle této smlouvy.</w:t>
      </w:r>
    </w:p>
    <w:p w14:paraId="2E4BBFEA" w14:textId="77777777" w:rsidR="00794D7F" w:rsidRPr="00F441A6" w:rsidRDefault="00794D7F" w:rsidP="00794D7F">
      <w:pPr>
        <w:pStyle w:val="Nadpis2"/>
      </w:pPr>
      <w:r w:rsidRPr="00F441A6">
        <w:t xml:space="preserve">Dodavatel </w:t>
      </w:r>
      <w:r w:rsidR="0045317C" w:rsidRPr="00F441A6">
        <w:t xml:space="preserve">není a nemůže být účastníkem interního legislativního procesu odběratele, proto </w:t>
      </w:r>
      <w:r w:rsidRPr="00F441A6">
        <w:t xml:space="preserve">neodpovídá </w:t>
      </w:r>
      <w:r w:rsidR="0045317C" w:rsidRPr="00F441A6">
        <w:t xml:space="preserve">a nemůže odpovídat </w:t>
      </w:r>
      <w:r w:rsidRPr="00F441A6">
        <w:t xml:space="preserve">za správnost a úplnost odběratelem </w:t>
      </w:r>
      <w:r w:rsidR="0045317C" w:rsidRPr="00F441A6">
        <w:t>zapracovaných změn a odstranění</w:t>
      </w:r>
      <w:r w:rsidRPr="00F441A6">
        <w:t xml:space="preserve"> nedostatků</w:t>
      </w:r>
      <w:r w:rsidR="0045317C" w:rsidRPr="00F441A6">
        <w:t>,</w:t>
      </w:r>
      <w:r w:rsidRPr="00F441A6">
        <w:t xml:space="preserve"> na které dodavatel při plnění této smlouvy odběratele písemně upozornil. Dodavatel dále neodpovídá za správnost a dodržení interního legislativního procesu.</w:t>
      </w:r>
    </w:p>
    <w:p w14:paraId="2B0E44EF" w14:textId="77777777" w:rsidR="00EB6DFE" w:rsidRPr="00F441A6" w:rsidRDefault="00EB6DFE" w:rsidP="00EB6DFE">
      <w:pPr>
        <w:pStyle w:val="Nadpis1"/>
        <w:rPr>
          <w:color w:val="auto"/>
        </w:rPr>
      </w:pPr>
      <w:r w:rsidRPr="00F441A6">
        <w:rPr>
          <w:color w:val="auto"/>
        </w:rPr>
        <w:t>Smluvní odměna</w:t>
      </w:r>
      <w:r w:rsidR="0032737C" w:rsidRPr="00F441A6">
        <w:rPr>
          <w:color w:val="auto"/>
        </w:rPr>
        <w:t xml:space="preserve"> a platební podmínky</w:t>
      </w:r>
    </w:p>
    <w:p w14:paraId="5D773EE4" w14:textId="77777777" w:rsidR="000478D0" w:rsidRPr="00F441A6" w:rsidRDefault="00E731E3" w:rsidP="00900756">
      <w:pPr>
        <w:pStyle w:val="Nadpis2"/>
        <w:spacing w:after="0"/>
        <w:rPr>
          <w:rFonts w:cs="Tahoma"/>
          <w:szCs w:val="18"/>
        </w:rPr>
      </w:pPr>
      <w:r w:rsidRPr="00F441A6">
        <w:rPr>
          <w:rFonts w:cs="Tahoma"/>
          <w:szCs w:val="18"/>
        </w:rPr>
        <w:t>Ceny služeb a prací spojených s</w:t>
      </w:r>
      <w:r w:rsidR="00A11793" w:rsidRPr="00F441A6">
        <w:rPr>
          <w:rFonts w:cs="Tahoma"/>
          <w:szCs w:val="18"/>
        </w:rPr>
        <w:t> </w:t>
      </w:r>
      <w:r w:rsidR="006A46B1" w:rsidRPr="00F441A6">
        <w:rPr>
          <w:rFonts w:cs="Tahoma"/>
          <w:szCs w:val="18"/>
        </w:rPr>
        <w:t>A</w:t>
      </w:r>
      <w:r w:rsidR="00A11793" w:rsidRPr="00F441A6">
        <w:rPr>
          <w:rFonts w:cs="Tahoma"/>
          <w:szCs w:val="18"/>
        </w:rPr>
        <w:t xml:space="preserve">dministrativní správou interního </w:t>
      </w:r>
      <w:proofErr w:type="gramStart"/>
      <w:r w:rsidR="00A11793" w:rsidRPr="00F441A6">
        <w:rPr>
          <w:rFonts w:cs="Tahoma"/>
          <w:szCs w:val="18"/>
        </w:rPr>
        <w:t>archivu</w:t>
      </w:r>
      <w:proofErr w:type="gramEnd"/>
      <w:r w:rsidR="00A11793" w:rsidRPr="00F441A6">
        <w:rPr>
          <w:rFonts w:cs="Tahoma"/>
          <w:szCs w:val="18"/>
        </w:rPr>
        <w:t xml:space="preserve"> resp. spisovny odběratele</w:t>
      </w:r>
      <w:r w:rsidRPr="00F441A6">
        <w:rPr>
          <w:rFonts w:cs="Tahoma"/>
          <w:szCs w:val="18"/>
        </w:rPr>
        <w:t xml:space="preserve"> </w:t>
      </w:r>
      <w:r w:rsidR="0012119A" w:rsidRPr="00F441A6">
        <w:rPr>
          <w:rFonts w:cs="Tahoma"/>
          <w:szCs w:val="18"/>
        </w:rPr>
        <w:t xml:space="preserve">dle čl. 2 této smlouvy </w:t>
      </w:r>
      <w:r w:rsidRPr="00F441A6">
        <w:rPr>
          <w:rFonts w:cs="Tahoma"/>
          <w:szCs w:val="18"/>
        </w:rPr>
        <w:t>j</w:t>
      </w:r>
      <w:r w:rsidR="0012119A" w:rsidRPr="00F441A6">
        <w:rPr>
          <w:rFonts w:cs="Tahoma"/>
          <w:szCs w:val="18"/>
        </w:rPr>
        <w:t>sou</w:t>
      </w:r>
      <w:r w:rsidRPr="00F441A6">
        <w:rPr>
          <w:rFonts w:cs="Tahoma"/>
          <w:szCs w:val="18"/>
        </w:rPr>
        <w:t xml:space="preserve"> po vzájemné dohodě obou smluvních stran sjednán</w:t>
      </w:r>
      <w:r w:rsidR="0012119A" w:rsidRPr="00F441A6">
        <w:rPr>
          <w:rFonts w:cs="Tahoma"/>
          <w:szCs w:val="18"/>
        </w:rPr>
        <w:t>y</w:t>
      </w:r>
      <w:r w:rsidRPr="00F441A6">
        <w:rPr>
          <w:rFonts w:cs="Tahoma"/>
          <w:szCs w:val="18"/>
        </w:rPr>
        <w:t xml:space="preserve"> takto:</w:t>
      </w:r>
    </w:p>
    <w:p w14:paraId="42B4A844" w14:textId="77777777" w:rsidR="00976C95" w:rsidRPr="00F441A6" w:rsidRDefault="00976C95" w:rsidP="00976C95"/>
    <w:tbl>
      <w:tblPr>
        <w:tblW w:w="9923" w:type="dxa"/>
        <w:tblInd w:w="108" w:type="dxa"/>
        <w:tblBorders>
          <w:top w:val="single" w:sz="4" w:space="0" w:color="808080"/>
          <w:left w:val="single" w:sz="4" w:space="0" w:color="808080"/>
          <w:bottom w:val="single" w:sz="4" w:space="0" w:color="808080"/>
          <w:right w:val="single" w:sz="4" w:space="0" w:color="808080"/>
          <w:insideH w:val="dotted" w:sz="4" w:space="0" w:color="auto"/>
          <w:insideV w:val="dotted" w:sz="4" w:space="0" w:color="auto"/>
        </w:tblBorders>
        <w:tblLayout w:type="fixed"/>
        <w:tblLook w:val="01E0" w:firstRow="1" w:lastRow="1" w:firstColumn="1" w:lastColumn="1" w:noHBand="0" w:noVBand="0"/>
      </w:tblPr>
      <w:tblGrid>
        <w:gridCol w:w="3261"/>
        <w:gridCol w:w="850"/>
        <w:gridCol w:w="992"/>
        <w:gridCol w:w="709"/>
        <w:gridCol w:w="4111"/>
      </w:tblGrid>
      <w:tr w:rsidR="005D4930" w:rsidRPr="00F441A6" w14:paraId="155C053B" w14:textId="77777777" w:rsidTr="006D29F3">
        <w:trPr>
          <w:trHeight w:val="614"/>
        </w:trPr>
        <w:tc>
          <w:tcPr>
            <w:tcW w:w="4111" w:type="dxa"/>
            <w:gridSpan w:val="2"/>
            <w:vAlign w:val="center"/>
          </w:tcPr>
          <w:p w14:paraId="27A800B6" w14:textId="77777777" w:rsidR="005D4930" w:rsidRPr="00F441A6" w:rsidRDefault="005D4930" w:rsidP="005D4930">
            <w:pPr>
              <w:spacing w:before="30" w:after="30"/>
              <w:jc w:val="center"/>
              <w:rPr>
                <w:rFonts w:cs="Calibri"/>
                <w:b/>
                <w:sz w:val="20"/>
              </w:rPr>
            </w:pPr>
            <w:r w:rsidRPr="00F441A6">
              <w:rPr>
                <w:rFonts w:cs="Calibri"/>
                <w:b/>
                <w:sz w:val="20"/>
              </w:rPr>
              <w:t>Služba</w:t>
            </w:r>
          </w:p>
        </w:tc>
        <w:tc>
          <w:tcPr>
            <w:tcW w:w="992" w:type="dxa"/>
            <w:vAlign w:val="center"/>
          </w:tcPr>
          <w:p w14:paraId="73300EF2" w14:textId="77777777" w:rsidR="005D4930" w:rsidRPr="00F441A6" w:rsidRDefault="005D4930" w:rsidP="006A46B1">
            <w:pPr>
              <w:spacing w:before="30" w:after="30"/>
              <w:jc w:val="right"/>
              <w:rPr>
                <w:rFonts w:cs="Calibri"/>
                <w:b/>
                <w:sz w:val="20"/>
              </w:rPr>
            </w:pPr>
            <w:r w:rsidRPr="00F441A6">
              <w:rPr>
                <w:rFonts w:cs="Calibri"/>
                <w:b/>
                <w:sz w:val="20"/>
              </w:rPr>
              <w:t>Kč /MJ</w:t>
            </w:r>
          </w:p>
        </w:tc>
        <w:tc>
          <w:tcPr>
            <w:tcW w:w="709" w:type="dxa"/>
            <w:vAlign w:val="center"/>
          </w:tcPr>
          <w:p w14:paraId="15BA4909" w14:textId="77777777" w:rsidR="005D4930" w:rsidRPr="00F441A6" w:rsidRDefault="005D4930" w:rsidP="000478D0">
            <w:pPr>
              <w:spacing w:before="30" w:after="30"/>
              <w:rPr>
                <w:rFonts w:cs="Calibri"/>
                <w:b/>
                <w:sz w:val="20"/>
              </w:rPr>
            </w:pPr>
            <w:r w:rsidRPr="00F441A6">
              <w:rPr>
                <w:rFonts w:cs="Calibri"/>
                <w:b/>
                <w:sz w:val="20"/>
              </w:rPr>
              <w:t>MJ</w:t>
            </w:r>
          </w:p>
        </w:tc>
        <w:tc>
          <w:tcPr>
            <w:tcW w:w="4111" w:type="dxa"/>
            <w:vAlign w:val="center"/>
          </w:tcPr>
          <w:p w14:paraId="2690A022" w14:textId="77777777" w:rsidR="005D4930" w:rsidRPr="00F441A6" w:rsidRDefault="005D4930" w:rsidP="000478D0">
            <w:pPr>
              <w:spacing w:before="30" w:after="30"/>
              <w:rPr>
                <w:rFonts w:cs="Calibri"/>
                <w:b/>
                <w:sz w:val="20"/>
                <w:highlight w:val="yellow"/>
              </w:rPr>
            </w:pPr>
            <w:r w:rsidRPr="00F441A6">
              <w:rPr>
                <w:rFonts w:cs="Calibri"/>
                <w:b/>
                <w:sz w:val="20"/>
              </w:rPr>
              <w:t>Specifikace</w:t>
            </w:r>
          </w:p>
        </w:tc>
      </w:tr>
      <w:tr w:rsidR="00B75A63" w:rsidRPr="00F441A6" w14:paraId="6307C44F" w14:textId="77777777" w:rsidTr="006D29F3">
        <w:tc>
          <w:tcPr>
            <w:tcW w:w="3261" w:type="dxa"/>
            <w:vAlign w:val="center"/>
          </w:tcPr>
          <w:p w14:paraId="064169DA" w14:textId="77777777" w:rsidR="00B75A63" w:rsidRPr="00F441A6" w:rsidRDefault="00AE1D2E" w:rsidP="00B75A63">
            <w:pPr>
              <w:rPr>
                <w:rFonts w:cs="Calibri"/>
                <w:bCs/>
                <w:sz w:val="20"/>
              </w:rPr>
            </w:pPr>
            <w:r>
              <w:rPr>
                <w:rFonts w:cs="Calibri"/>
                <w:bCs/>
                <w:sz w:val="20"/>
              </w:rPr>
              <w:t>Analýza stavu spisové služby</w:t>
            </w:r>
            <w:r w:rsidR="00B75A63" w:rsidRPr="00F441A6">
              <w:rPr>
                <w:rFonts w:cs="Calibri"/>
                <w:bCs/>
                <w:sz w:val="20"/>
              </w:rPr>
              <w:t xml:space="preserve">  </w:t>
            </w:r>
          </w:p>
        </w:tc>
        <w:tc>
          <w:tcPr>
            <w:tcW w:w="850" w:type="dxa"/>
            <w:vAlign w:val="center"/>
          </w:tcPr>
          <w:p w14:paraId="16867344" w14:textId="77777777" w:rsidR="00B75A63" w:rsidRPr="00F441A6" w:rsidRDefault="00B75A63" w:rsidP="00B75A63">
            <w:pPr>
              <w:jc w:val="center"/>
              <w:rPr>
                <w:rFonts w:cs="Calibri"/>
                <w:bCs/>
                <w:szCs w:val="18"/>
                <w:highlight w:val="yellow"/>
              </w:rPr>
            </w:pPr>
            <w:r w:rsidRPr="00F441A6">
              <w:rPr>
                <w:rFonts w:cs="Calibri"/>
                <w:bCs/>
                <w:szCs w:val="18"/>
              </w:rPr>
              <w:t>2.1.1</w:t>
            </w:r>
            <w:r w:rsidR="00B57221" w:rsidRPr="00F441A6">
              <w:rPr>
                <w:rFonts w:cs="Calibri"/>
                <w:bCs/>
                <w:szCs w:val="18"/>
              </w:rPr>
              <w:t xml:space="preserve"> </w:t>
            </w:r>
          </w:p>
        </w:tc>
        <w:tc>
          <w:tcPr>
            <w:tcW w:w="992" w:type="dxa"/>
            <w:vAlign w:val="center"/>
          </w:tcPr>
          <w:p w14:paraId="3F00AB7B" w14:textId="28A95FC1" w:rsidR="00B75A63" w:rsidRPr="00F441A6" w:rsidRDefault="00190B93" w:rsidP="000478D0">
            <w:pPr>
              <w:jc w:val="right"/>
              <w:rPr>
                <w:rFonts w:cs="Calibri"/>
                <w:bCs/>
                <w:sz w:val="20"/>
              </w:rPr>
            </w:pPr>
            <w:r>
              <w:rPr>
                <w:rFonts w:cs="Calibri"/>
                <w:bCs/>
                <w:sz w:val="20"/>
              </w:rPr>
              <w:t>1 588,67</w:t>
            </w:r>
          </w:p>
        </w:tc>
        <w:tc>
          <w:tcPr>
            <w:tcW w:w="709" w:type="dxa"/>
            <w:vAlign w:val="center"/>
          </w:tcPr>
          <w:p w14:paraId="17BF54DE" w14:textId="77777777" w:rsidR="00B75A63" w:rsidRPr="00F441A6" w:rsidRDefault="00B75A63" w:rsidP="000478D0">
            <w:pPr>
              <w:rPr>
                <w:rFonts w:cs="Calibri"/>
                <w:sz w:val="20"/>
              </w:rPr>
            </w:pPr>
            <w:r w:rsidRPr="00F441A6">
              <w:rPr>
                <w:rFonts w:cs="Calibri"/>
                <w:sz w:val="20"/>
              </w:rPr>
              <w:t>hod.</w:t>
            </w:r>
          </w:p>
        </w:tc>
        <w:tc>
          <w:tcPr>
            <w:tcW w:w="4111" w:type="dxa"/>
            <w:vAlign w:val="center"/>
          </w:tcPr>
          <w:p w14:paraId="2227918E" w14:textId="77777777" w:rsidR="00B75A63" w:rsidRPr="00AE1D2E" w:rsidRDefault="00AE1D2E" w:rsidP="005A4A25">
            <w:pPr>
              <w:spacing w:before="30" w:after="30"/>
              <w:rPr>
                <w:rFonts w:cs="Calibri"/>
                <w:b/>
                <w:szCs w:val="18"/>
              </w:rPr>
            </w:pPr>
            <w:r>
              <w:rPr>
                <w:rFonts w:cs="Calibri"/>
                <w:szCs w:val="18"/>
              </w:rPr>
              <w:t xml:space="preserve">Analýza dle platné </w:t>
            </w:r>
            <w:proofErr w:type="gramStart"/>
            <w:r>
              <w:rPr>
                <w:rFonts w:cs="Calibri"/>
                <w:szCs w:val="18"/>
              </w:rPr>
              <w:t xml:space="preserve">legislativy - </w:t>
            </w:r>
            <w:r w:rsidRPr="00F441A6">
              <w:rPr>
                <w:rFonts w:cs="Calibri"/>
                <w:szCs w:val="18"/>
              </w:rPr>
              <w:t>kontrola</w:t>
            </w:r>
            <w:proofErr w:type="gramEnd"/>
            <w:r w:rsidRPr="00F441A6">
              <w:rPr>
                <w:rFonts w:cs="Calibri"/>
                <w:szCs w:val="18"/>
              </w:rPr>
              <w:t xml:space="preserve"> shody s legislativou a </w:t>
            </w:r>
            <w:r w:rsidRPr="003630DC">
              <w:rPr>
                <w:rFonts w:cs="Calibri"/>
                <w:szCs w:val="18"/>
              </w:rPr>
              <w:t>obvyklou praxí</w:t>
            </w:r>
          </w:p>
        </w:tc>
      </w:tr>
      <w:tr w:rsidR="00B75A63" w:rsidRPr="00F441A6" w14:paraId="61FE6C09" w14:textId="77777777" w:rsidTr="006D29F3">
        <w:tc>
          <w:tcPr>
            <w:tcW w:w="3261" w:type="dxa"/>
            <w:vAlign w:val="center"/>
          </w:tcPr>
          <w:p w14:paraId="3C02EEBB" w14:textId="77777777" w:rsidR="00B75A63" w:rsidRPr="00F441A6" w:rsidRDefault="00AE1D2E" w:rsidP="00AE7200">
            <w:pPr>
              <w:rPr>
                <w:rFonts w:cs="Calibri"/>
                <w:bCs/>
                <w:sz w:val="20"/>
              </w:rPr>
            </w:pPr>
            <w:r>
              <w:rPr>
                <w:rFonts w:cs="Calibri"/>
                <w:bCs/>
                <w:sz w:val="20"/>
              </w:rPr>
              <w:t>Nastavení procesů pro vedení spisové služby</w:t>
            </w:r>
          </w:p>
        </w:tc>
        <w:tc>
          <w:tcPr>
            <w:tcW w:w="850" w:type="dxa"/>
            <w:vAlign w:val="center"/>
          </w:tcPr>
          <w:p w14:paraId="578D4237" w14:textId="77777777" w:rsidR="00B75A63" w:rsidRPr="00F441A6" w:rsidRDefault="00B75A63" w:rsidP="00B75A63">
            <w:pPr>
              <w:jc w:val="center"/>
              <w:rPr>
                <w:rFonts w:cs="Calibri"/>
                <w:bCs/>
                <w:szCs w:val="18"/>
                <w:highlight w:val="yellow"/>
              </w:rPr>
            </w:pPr>
            <w:r w:rsidRPr="00F441A6">
              <w:rPr>
                <w:rFonts w:cs="Calibri"/>
                <w:bCs/>
                <w:szCs w:val="18"/>
              </w:rPr>
              <w:t>2.1.</w:t>
            </w:r>
            <w:r w:rsidR="00AE1D2E">
              <w:rPr>
                <w:rFonts w:cs="Calibri"/>
                <w:bCs/>
                <w:szCs w:val="18"/>
              </w:rPr>
              <w:t>2</w:t>
            </w:r>
          </w:p>
        </w:tc>
        <w:tc>
          <w:tcPr>
            <w:tcW w:w="992" w:type="dxa"/>
            <w:vAlign w:val="center"/>
          </w:tcPr>
          <w:p w14:paraId="6132205B" w14:textId="354E20DF" w:rsidR="00B75A63" w:rsidRPr="00F441A6" w:rsidRDefault="00190B93" w:rsidP="000478D0">
            <w:pPr>
              <w:jc w:val="right"/>
              <w:rPr>
                <w:rFonts w:cs="Calibri"/>
                <w:bCs/>
                <w:sz w:val="20"/>
              </w:rPr>
            </w:pPr>
            <w:r>
              <w:rPr>
                <w:rFonts w:cs="Calibri"/>
                <w:bCs/>
                <w:sz w:val="20"/>
              </w:rPr>
              <w:t>1 248,98</w:t>
            </w:r>
          </w:p>
        </w:tc>
        <w:tc>
          <w:tcPr>
            <w:tcW w:w="709" w:type="dxa"/>
            <w:vAlign w:val="center"/>
          </w:tcPr>
          <w:p w14:paraId="5B101DDF" w14:textId="77777777" w:rsidR="00B75A63" w:rsidRPr="00F441A6" w:rsidRDefault="00B75A63" w:rsidP="000478D0">
            <w:pPr>
              <w:rPr>
                <w:rFonts w:cs="Calibri"/>
                <w:sz w:val="20"/>
              </w:rPr>
            </w:pPr>
            <w:r w:rsidRPr="00F441A6">
              <w:rPr>
                <w:rFonts w:cs="Calibri"/>
                <w:sz w:val="20"/>
              </w:rPr>
              <w:t>hod.</w:t>
            </w:r>
          </w:p>
        </w:tc>
        <w:tc>
          <w:tcPr>
            <w:tcW w:w="4111" w:type="dxa"/>
            <w:vAlign w:val="center"/>
          </w:tcPr>
          <w:p w14:paraId="1456D38C" w14:textId="77777777" w:rsidR="00B75A63" w:rsidRPr="00F441A6" w:rsidRDefault="00AE1D2E" w:rsidP="00962EA5">
            <w:pPr>
              <w:spacing w:before="30" w:after="30"/>
              <w:rPr>
                <w:rFonts w:cs="Calibri"/>
                <w:szCs w:val="18"/>
              </w:rPr>
            </w:pPr>
            <w:r>
              <w:rPr>
                <w:rFonts w:cs="Calibri"/>
                <w:szCs w:val="18"/>
              </w:rPr>
              <w:t>Procesy musejí být nastaveny pro elektronickou i listinnou podobu</w:t>
            </w:r>
            <w:r w:rsidR="00962EA5" w:rsidRPr="003630DC">
              <w:rPr>
                <w:rFonts w:cs="Calibri"/>
                <w:szCs w:val="18"/>
              </w:rPr>
              <w:t xml:space="preserve"> </w:t>
            </w:r>
          </w:p>
        </w:tc>
      </w:tr>
      <w:tr w:rsidR="00B75A63" w:rsidRPr="00F441A6" w14:paraId="6E3CAC71" w14:textId="77777777" w:rsidTr="006D29F3">
        <w:tc>
          <w:tcPr>
            <w:tcW w:w="3261" w:type="dxa"/>
            <w:vAlign w:val="center"/>
          </w:tcPr>
          <w:p w14:paraId="78838EBA" w14:textId="77777777" w:rsidR="00B75A63" w:rsidRPr="00F441A6" w:rsidRDefault="0060429B" w:rsidP="0060429B">
            <w:pPr>
              <w:pStyle w:val="Nadpis2"/>
              <w:numPr>
                <w:ilvl w:val="0"/>
                <w:numId w:val="0"/>
              </w:numPr>
              <w:rPr>
                <w:rFonts w:cs="Calibri"/>
                <w:sz w:val="20"/>
              </w:rPr>
            </w:pPr>
            <w:r w:rsidRPr="00F441A6">
              <w:rPr>
                <w:rFonts w:cs="Calibri"/>
                <w:bCs/>
                <w:sz w:val="20"/>
              </w:rPr>
              <w:t xml:space="preserve">Administrativní správa </w:t>
            </w:r>
            <w:proofErr w:type="gramStart"/>
            <w:r w:rsidRPr="00F441A6">
              <w:rPr>
                <w:rFonts w:cs="Calibri"/>
                <w:bCs/>
                <w:sz w:val="20"/>
              </w:rPr>
              <w:t xml:space="preserve">archivu  </w:t>
            </w:r>
            <w:r>
              <w:rPr>
                <w:rFonts w:cs="Calibri"/>
                <w:bCs/>
                <w:sz w:val="20"/>
              </w:rPr>
              <w:t>vč.</w:t>
            </w:r>
            <w:proofErr w:type="gramEnd"/>
            <w:r>
              <w:rPr>
                <w:rFonts w:cs="Calibri"/>
                <w:bCs/>
                <w:sz w:val="20"/>
              </w:rPr>
              <w:t xml:space="preserve"> skartačního řízení</w:t>
            </w:r>
          </w:p>
        </w:tc>
        <w:tc>
          <w:tcPr>
            <w:tcW w:w="850" w:type="dxa"/>
            <w:vAlign w:val="center"/>
          </w:tcPr>
          <w:p w14:paraId="6A076044" w14:textId="77777777" w:rsidR="00B75A63" w:rsidRPr="00F441A6" w:rsidRDefault="00B75A63" w:rsidP="00B75A63">
            <w:pPr>
              <w:jc w:val="center"/>
              <w:rPr>
                <w:rFonts w:cs="Calibri"/>
                <w:bCs/>
                <w:szCs w:val="18"/>
                <w:highlight w:val="yellow"/>
              </w:rPr>
            </w:pPr>
            <w:r w:rsidRPr="00F441A6">
              <w:rPr>
                <w:rFonts w:cs="Calibri"/>
                <w:szCs w:val="18"/>
              </w:rPr>
              <w:t>2.1.</w:t>
            </w:r>
            <w:r w:rsidR="00AE1D2E">
              <w:rPr>
                <w:rFonts w:cs="Calibri"/>
                <w:szCs w:val="18"/>
              </w:rPr>
              <w:t>3-2.1.9</w:t>
            </w:r>
          </w:p>
        </w:tc>
        <w:tc>
          <w:tcPr>
            <w:tcW w:w="992" w:type="dxa"/>
            <w:vAlign w:val="center"/>
          </w:tcPr>
          <w:p w14:paraId="380503B8" w14:textId="7C3736BD" w:rsidR="00B75A63" w:rsidRPr="00F441A6" w:rsidRDefault="00190B93" w:rsidP="00900756">
            <w:pPr>
              <w:jc w:val="right"/>
              <w:rPr>
                <w:rFonts w:cs="Calibri"/>
                <w:bCs/>
                <w:sz w:val="20"/>
              </w:rPr>
            </w:pPr>
            <w:r>
              <w:rPr>
                <w:rFonts w:cs="Calibri"/>
                <w:bCs/>
                <w:sz w:val="20"/>
              </w:rPr>
              <w:t>998,99</w:t>
            </w:r>
          </w:p>
        </w:tc>
        <w:tc>
          <w:tcPr>
            <w:tcW w:w="709" w:type="dxa"/>
            <w:vAlign w:val="center"/>
          </w:tcPr>
          <w:p w14:paraId="336C7CB7" w14:textId="77777777" w:rsidR="00B75A63" w:rsidRPr="00F441A6" w:rsidRDefault="00AE1D2E" w:rsidP="000478D0">
            <w:pPr>
              <w:rPr>
                <w:rFonts w:cs="Calibri"/>
                <w:sz w:val="20"/>
              </w:rPr>
            </w:pPr>
            <w:r>
              <w:rPr>
                <w:rFonts w:cs="Calibri"/>
                <w:sz w:val="20"/>
              </w:rPr>
              <w:t>hod.</w:t>
            </w:r>
          </w:p>
        </w:tc>
        <w:tc>
          <w:tcPr>
            <w:tcW w:w="4111" w:type="dxa"/>
            <w:vAlign w:val="center"/>
          </w:tcPr>
          <w:p w14:paraId="63F94E46" w14:textId="77777777" w:rsidR="00B75A63" w:rsidRPr="00F441A6" w:rsidRDefault="00B75A63" w:rsidP="000478D0">
            <w:pPr>
              <w:spacing w:before="30" w:after="30"/>
              <w:rPr>
                <w:rFonts w:cs="Calibri"/>
                <w:szCs w:val="18"/>
              </w:rPr>
            </w:pPr>
          </w:p>
        </w:tc>
      </w:tr>
    </w:tbl>
    <w:p w14:paraId="28B0632A" w14:textId="77777777" w:rsidR="0012119A" w:rsidRPr="00F441A6" w:rsidRDefault="0012119A" w:rsidP="000A31DF">
      <w:pPr>
        <w:ind w:left="340"/>
        <w:rPr>
          <w:rFonts w:cs="Tahoma"/>
          <w:szCs w:val="18"/>
        </w:rPr>
      </w:pPr>
    </w:p>
    <w:p w14:paraId="11D8FC55" w14:textId="77777777" w:rsidR="0045317C" w:rsidRPr="00F441A6" w:rsidRDefault="0045317C" w:rsidP="0032737C">
      <w:pPr>
        <w:pStyle w:val="Nadpis2"/>
        <w:rPr>
          <w:rFonts w:cs="Tahoma"/>
          <w:szCs w:val="22"/>
        </w:rPr>
      </w:pPr>
      <w:r w:rsidRPr="00F441A6">
        <w:rPr>
          <w:rFonts w:cs="Tahoma"/>
          <w:szCs w:val="22"/>
        </w:rPr>
        <w:t xml:space="preserve">Všechny </w:t>
      </w:r>
      <w:r w:rsidR="004E6572" w:rsidRPr="00F441A6">
        <w:rPr>
          <w:rFonts w:cs="Tahoma"/>
          <w:szCs w:val="22"/>
        </w:rPr>
        <w:t xml:space="preserve">výše </w:t>
      </w:r>
      <w:r w:rsidRPr="00F441A6">
        <w:rPr>
          <w:rFonts w:cs="Tahoma"/>
          <w:szCs w:val="22"/>
        </w:rPr>
        <w:t>uvedené ceny jsou ceny v Kč a bez DPH a jsou konečné a maximální.</w:t>
      </w:r>
    </w:p>
    <w:p w14:paraId="4C54F396" w14:textId="0FB82BD7" w:rsidR="006D29F3" w:rsidRPr="00F441A6" w:rsidRDefault="00B07E2A" w:rsidP="003B555C">
      <w:pPr>
        <w:pStyle w:val="Nadpis2"/>
      </w:pPr>
      <w:r w:rsidRPr="00F441A6">
        <w:t>Provedení prvotní kontroly správnosti</w:t>
      </w:r>
      <w:r w:rsidR="004E6572" w:rsidRPr="00F441A6">
        <w:t xml:space="preserve">, </w:t>
      </w:r>
      <w:r w:rsidRPr="00F441A6">
        <w:t>tj. shody interní směrnice Spisový a skartační řád odběratele dle čl. 2.1.</w:t>
      </w:r>
      <w:r w:rsidR="00AE1D2E">
        <w:t>5</w:t>
      </w:r>
      <w:r w:rsidRPr="00F441A6">
        <w:t xml:space="preserve"> bezprostředně po podpisu smlouvy bude ze strany dodavatele poskytnuta zdarma</w:t>
      </w:r>
      <w:r w:rsidR="00AE1D2E">
        <w:t xml:space="preserve"> v rámci bodu 2.1.1 či 2.1.2</w:t>
      </w:r>
      <w:r w:rsidRPr="00F441A6">
        <w:t xml:space="preserve">. Cena uvedená v čl. 5.1 této smlouvy </w:t>
      </w:r>
      <w:r w:rsidR="003B555C" w:rsidRPr="00F441A6">
        <w:t xml:space="preserve">tak bude dodavatelem účtována a fakturována za </w:t>
      </w:r>
      <w:r w:rsidRPr="00F441A6">
        <w:t xml:space="preserve">každé další dle této smlouvy odběratelem řádně </w:t>
      </w:r>
      <w:proofErr w:type="gramStart"/>
      <w:r w:rsidRPr="00F441A6">
        <w:t>vyžádané</w:t>
      </w:r>
      <w:proofErr w:type="gramEnd"/>
      <w:r w:rsidRPr="00F441A6">
        <w:t xml:space="preserve"> resp. objednané činnosti dle předmětného článku této smlouvy</w:t>
      </w:r>
      <w:r w:rsidR="00846AE2">
        <w:t xml:space="preserve"> a součástí faktury bude i rozpis opracovaných hodin</w:t>
      </w:r>
      <w:r w:rsidRPr="00F441A6">
        <w:t>.</w:t>
      </w:r>
    </w:p>
    <w:p w14:paraId="7211AFDC" w14:textId="77777777" w:rsidR="0032737C" w:rsidRPr="00F441A6" w:rsidRDefault="0032737C" w:rsidP="0032737C">
      <w:pPr>
        <w:pStyle w:val="Nadpis2"/>
      </w:pPr>
      <w:r w:rsidRPr="00F441A6">
        <w:t xml:space="preserve">Odměna </w:t>
      </w:r>
      <w:r w:rsidR="009F6F84" w:rsidRPr="00F441A6">
        <w:t xml:space="preserve">za dodavatelem poskytnuté služby dle </w:t>
      </w:r>
      <w:r w:rsidR="00A17CA4" w:rsidRPr="00F441A6">
        <w:t>čl. 2.1.1 až 2.1.</w:t>
      </w:r>
      <w:r w:rsidR="00AE1D2E">
        <w:t>6</w:t>
      </w:r>
      <w:r w:rsidR="00E34933" w:rsidRPr="00F441A6">
        <w:t xml:space="preserve"> </w:t>
      </w:r>
      <w:r w:rsidR="009F6F84" w:rsidRPr="00F441A6">
        <w:t xml:space="preserve">této smlouvy </w:t>
      </w:r>
      <w:r w:rsidRPr="00F441A6">
        <w:t>je splatná měsíčně pozadu a bude uhrazena na základě faktury dodavatele, která musí mít náležitosti účetního a daňového dokladu a bude odběrateli zaslána vždy do 5. dne následujícího kalendářního měsíce.</w:t>
      </w:r>
    </w:p>
    <w:p w14:paraId="2B947A1E" w14:textId="77777777" w:rsidR="00DC33B2" w:rsidRPr="00F441A6" w:rsidRDefault="00DC33B2" w:rsidP="0032737C">
      <w:pPr>
        <w:pStyle w:val="Nadpis2"/>
      </w:pPr>
      <w:r w:rsidRPr="00F441A6">
        <w:t>Odměna za dodavatelem poskytnuté služby dle čl. 2.1.</w:t>
      </w:r>
      <w:r w:rsidR="00AE1D2E">
        <w:t>7</w:t>
      </w:r>
      <w:r w:rsidRPr="00F441A6">
        <w:t xml:space="preserve"> až 2.1.</w:t>
      </w:r>
      <w:r w:rsidR="00AE1D2E">
        <w:t>9</w:t>
      </w:r>
      <w:r w:rsidRPr="00F441A6">
        <w:t xml:space="preserve"> této smlouvy bude </w:t>
      </w:r>
      <w:r w:rsidR="0045317C" w:rsidRPr="00F441A6">
        <w:t xml:space="preserve">odběratelem </w:t>
      </w:r>
      <w:r w:rsidRPr="00F441A6">
        <w:t xml:space="preserve">uhrazena na základě faktury dodavatele, která musí mít náležitosti účetního a daňového dokladu a bude </w:t>
      </w:r>
      <w:r w:rsidR="0045317C" w:rsidRPr="00F441A6">
        <w:t xml:space="preserve">vystavena a </w:t>
      </w:r>
      <w:r w:rsidR="0060478F" w:rsidRPr="00F441A6">
        <w:t xml:space="preserve">odběrateli </w:t>
      </w:r>
      <w:r w:rsidR="009D0294" w:rsidRPr="00F441A6">
        <w:t xml:space="preserve">zaslána vždy do 14 </w:t>
      </w:r>
      <w:r w:rsidRPr="00F441A6">
        <w:t xml:space="preserve">dní od </w:t>
      </w:r>
      <w:proofErr w:type="gramStart"/>
      <w:r w:rsidRPr="00F441A6">
        <w:t>DUZP</w:t>
      </w:r>
      <w:proofErr w:type="gramEnd"/>
      <w:r w:rsidRPr="00F441A6">
        <w:t xml:space="preserve"> resp. dne poskytnutí služby.</w:t>
      </w:r>
    </w:p>
    <w:p w14:paraId="7A1D99A7" w14:textId="77777777" w:rsidR="00767FD3" w:rsidRPr="00767FD3" w:rsidRDefault="0032737C" w:rsidP="00767FD3">
      <w:pPr>
        <w:pStyle w:val="Nadpis2"/>
      </w:pPr>
      <w:r w:rsidRPr="00F441A6">
        <w:t>Faktur</w:t>
      </w:r>
      <w:r w:rsidR="00E34933" w:rsidRPr="00F441A6">
        <w:t>y</w:t>
      </w:r>
      <w:r w:rsidRPr="00F441A6">
        <w:t xml:space="preserve"> </w:t>
      </w:r>
      <w:r w:rsidR="00E34933" w:rsidRPr="00F441A6">
        <w:t>vystavené dodavatelem dle této smlouvy budou</w:t>
      </w:r>
      <w:r w:rsidRPr="00F441A6">
        <w:t xml:space="preserve"> ze strany odběratele</w:t>
      </w:r>
      <w:r w:rsidR="00E34933" w:rsidRPr="00F441A6">
        <w:t xml:space="preserve"> řádně a v plné výši </w:t>
      </w:r>
      <w:r w:rsidR="00E71143" w:rsidRPr="00F441A6">
        <w:t xml:space="preserve">tzn. </w:t>
      </w:r>
      <w:r w:rsidR="00E34933" w:rsidRPr="00F441A6">
        <w:t>včetně příslušné DPH hrazeny</w:t>
      </w:r>
      <w:r w:rsidRPr="00F441A6">
        <w:t xml:space="preserve"> bezhotovostním převodem ve prospěch účtu dodavatele, uvedeného v záhlaví této smlouvy</w:t>
      </w:r>
      <w:r w:rsidR="00E34933" w:rsidRPr="00F441A6">
        <w:t>, nebude-li dohodnuto jinak a jsou splatné</w:t>
      </w:r>
      <w:r w:rsidRPr="00F441A6">
        <w:t xml:space="preserve"> do </w:t>
      </w:r>
      <w:r w:rsidRPr="00F441A6">
        <w:rPr>
          <w:b/>
        </w:rPr>
        <w:t>1</w:t>
      </w:r>
      <w:r w:rsidR="00E115AC" w:rsidRPr="00F441A6">
        <w:rPr>
          <w:b/>
        </w:rPr>
        <w:t>4</w:t>
      </w:r>
      <w:r w:rsidRPr="00F441A6">
        <w:t xml:space="preserve"> dnů ode dne </w:t>
      </w:r>
      <w:r w:rsidR="00E34933" w:rsidRPr="00F441A6">
        <w:t xml:space="preserve">jejich </w:t>
      </w:r>
      <w:r w:rsidRPr="00F441A6">
        <w:t>doručení.</w:t>
      </w:r>
    </w:p>
    <w:p w14:paraId="5C9C83D1" w14:textId="77777777" w:rsidR="00815DD4" w:rsidRPr="00F441A6" w:rsidRDefault="00815DD4" w:rsidP="00815DD4">
      <w:pPr>
        <w:pStyle w:val="Nadpis2"/>
      </w:pPr>
      <w:r w:rsidRPr="00F441A6">
        <w:lastRenderedPageBreak/>
        <w:t xml:space="preserve">V případě prodlení </w:t>
      </w:r>
      <w:r w:rsidR="00062B3A" w:rsidRPr="00F441A6">
        <w:t xml:space="preserve">odběratele </w:t>
      </w:r>
      <w:r w:rsidRPr="00F441A6">
        <w:t>s plněním jeho peněžitých závazk</w:t>
      </w:r>
      <w:r w:rsidR="00062B3A" w:rsidRPr="00F441A6">
        <w:t>ů</w:t>
      </w:r>
      <w:r w:rsidRPr="00F441A6">
        <w:t xml:space="preserve"> vůči dodavateli je dodavatel oprávněn požadovat po odběrateli smluvní pokutu ve výši 0,05</w:t>
      </w:r>
      <w:r w:rsidR="002C5C72" w:rsidRPr="00F441A6">
        <w:t xml:space="preserve"> </w:t>
      </w:r>
      <w:r w:rsidRPr="00F441A6">
        <w:t>% z dlužné částky za každý započatý den prodlení. Nárok na náhradu škody tím není dotčen.</w:t>
      </w:r>
    </w:p>
    <w:p w14:paraId="7B79D558" w14:textId="77777777" w:rsidR="003B4057" w:rsidRPr="00F441A6" w:rsidRDefault="003B4057" w:rsidP="003B4057">
      <w:pPr>
        <w:pStyle w:val="Nadpis2"/>
      </w:pPr>
      <w:r w:rsidRPr="00F441A6">
        <w:t>Je-li odběratel v prodlení s plněním svých závazků a povinností i přesto, že byl dodavatelem k jejich plnění písemně vyzván, je dodavatel oprávněn přerušit poskytování služeb dle této smlouvy, a to do doby splnění veškerých peněžitých závazků odběratele vůči dodavateli po lhůtě splatnosti. Za škodu či jiné důsledky vyplývající z přerušení poskytování služeb dle tohoto článku dodavatel žádným způsobem neodpovídá.</w:t>
      </w:r>
    </w:p>
    <w:p w14:paraId="0BFA8ACE" w14:textId="77777777" w:rsidR="00EB6DFE" w:rsidRPr="00F441A6" w:rsidRDefault="00EB6DFE" w:rsidP="00EB6DFE">
      <w:pPr>
        <w:pStyle w:val="Nadpis1"/>
        <w:rPr>
          <w:color w:val="auto"/>
        </w:rPr>
      </w:pPr>
      <w:r w:rsidRPr="00F441A6">
        <w:rPr>
          <w:color w:val="auto"/>
        </w:rPr>
        <w:t>Odpovědnost za škody</w:t>
      </w:r>
      <w:r w:rsidR="002C5C72" w:rsidRPr="00F441A6">
        <w:rPr>
          <w:color w:val="auto"/>
        </w:rPr>
        <w:t>, s</w:t>
      </w:r>
      <w:r w:rsidR="003360F3" w:rsidRPr="00F441A6">
        <w:rPr>
          <w:color w:val="auto"/>
        </w:rPr>
        <w:t>mluvní pokuta</w:t>
      </w:r>
    </w:p>
    <w:p w14:paraId="25ABC1CD" w14:textId="77777777" w:rsidR="002E63D3" w:rsidRPr="00F441A6" w:rsidRDefault="003B4057" w:rsidP="002E63D3">
      <w:pPr>
        <w:pStyle w:val="Nadpis2"/>
      </w:pPr>
      <w:r w:rsidRPr="00F441A6">
        <w:t>Dodavatel odpovídá za škodu na věcech převzatých od odběratele nebo od třetích osob pro odběratele, ledaže tuto škodu nemohl odvrátit ani při vynaložení veškeré odborné péče.</w:t>
      </w:r>
    </w:p>
    <w:p w14:paraId="49369B75" w14:textId="4EA57BFA" w:rsidR="003B4057" w:rsidRPr="00F441A6" w:rsidRDefault="003B4057" w:rsidP="002E63D3">
      <w:pPr>
        <w:pStyle w:val="Nadpis2"/>
      </w:pPr>
      <w:r w:rsidRPr="00F441A6">
        <w:t>Dodavatel odpovídá odběrateli za škodu, která mu vznikla v souvislosti s poskytnutím služeb dle této smlouvy</w:t>
      </w:r>
      <w:r w:rsidR="002E63D3" w:rsidRPr="00F441A6">
        <w:t xml:space="preserve"> v plné výši</w:t>
      </w:r>
      <w:r w:rsidRPr="00F441A6">
        <w:t xml:space="preserve">. </w:t>
      </w:r>
      <w:r w:rsidR="002E63D3" w:rsidRPr="00F441A6">
        <w:rPr>
          <w:spacing w:val="2"/>
          <w:szCs w:val="22"/>
        </w:rPr>
        <w:t xml:space="preserve">Odpovědnost za škodu je </w:t>
      </w:r>
      <w:r w:rsidR="002E63D3" w:rsidRPr="00F441A6">
        <w:rPr>
          <w:szCs w:val="22"/>
        </w:rPr>
        <w:t xml:space="preserve">dána podle obecně závazných právních předpisů České republiky (občanský zákoník, trestní zákon). </w:t>
      </w:r>
      <w:r w:rsidRPr="00F441A6">
        <w:t>Dodavatel se odpovědnosti zprostí, prokáže-li, že škodě nemohl zabránit</w:t>
      </w:r>
      <w:r w:rsidR="00D21584" w:rsidRPr="00F441A6">
        <w:t xml:space="preserve"> ani </w:t>
      </w:r>
      <w:r w:rsidRPr="00F441A6">
        <w:t>při vynaložení veškerého úsilí, které je možné na něm požadovat.</w:t>
      </w:r>
    </w:p>
    <w:p w14:paraId="4EF6A401" w14:textId="77777777" w:rsidR="00767FD3" w:rsidRPr="00767FD3" w:rsidRDefault="00ED16EE" w:rsidP="00767FD3">
      <w:pPr>
        <w:pStyle w:val="Nadpis2"/>
      </w:pPr>
      <w:r w:rsidRPr="00F441A6">
        <w:t>Dodavatel</w:t>
      </w:r>
      <w:r w:rsidR="00062B3A" w:rsidRPr="00F441A6">
        <w:t>em</w:t>
      </w:r>
      <w:r w:rsidRPr="00F441A6">
        <w:t xml:space="preserve"> poskytované služby jsou založeny na </w:t>
      </w:r>
      <w:r w:rsidR="009D0294" w:rsidRPr="00F441A6">
        <w:t>obvyklé interpretaci platné legislativy a obvyklé praxe</w:t>
      </w:r>
      <w:r w:rsidRPr="00F441A6">
        <w:t>.</w:t>
      </w:r>
    </w:p>
    <w:p w14:paraId="66FEA5A9" w14:textId="77777777" w:rsidR="003B4057" w:rsidRPr="00F441A6" w:rsidRDefault="003B4057" w:rsidP="00D15242">
      <w:pPr>
        <w:pStyle w:val="Nadpis2"/>
      </w:pPr>
      <w:r w:rsidRPr="00F441A6">
        <w:t>Dodavatel není odpovědný za škodu, která odběrateli vznikla v souvislosti s poskytnutím nesprávných, neúplných či nepravdivých informací a podkladů ze strany odběratele nebo byla způsobena prodlením odběratele s plněním povinností dle této smlouvy.</w:t>
      </w:r>
    </w:p>
    <w:p w14:paraId="5226226E" w14:textId="77777777" w:rsidR="00D15242" w:rsidRPr="00F441A6" w:rsidRDefault="00D15242" w:rsidP="00071174">
      <w:pPr>
        <w:pStyle w:val="Nadpis2"/>
      </w:pPr>
      <w:r w:rsidRPr="00F441A6">
        <w:t>Odběratel nemá nárok na náhradu škody, která mu vznikla v souvislosti s poskytnutím služeb dle této smlouvy, jestliže včas nesplnil informační povinnost dle této smlouvy a/nebo pokud jednal v rozporu s písemnými radami a doporučeními dodavatele či neodstranil dodavatelem zjištěné vady a nedostatky na které byl dodavatelem písemně dle této smlouvy upozorněn.</w:t>
      </w:r>
    </w:p>
    <w:p w14:paraId="1C03AE3B" w14:textId="77777777" w:rsidR="00FA5C60" w:rsidRPr="00F441A6" w:rsidRDefault="00FA5C60" w:rsidP="00071174">
      <w:pPr>
        <w:pStyle w:val="Nadpis2"/>
      </w:pPr>
      <w:r w:rsidRPr="00F441A6">
        <w:t>Dodavatel neodpovídá za škodu, která odběrateli vznikla v souvislosti s pokyny odběratele, které dodavatel neprovedl pro jejich rozpor se zákony nebo obcházení zákona.</w:t>
      </w:r>
    </w:p>
    <w:p w14:paraId="543FBFDC" w14:textId="77777777" w:rsidR="003360F3" w:rsidRPr="00F441A6" w:rsidRDefault="007E287A" w:rsidP="003360F3">
      <w:pPr>
        <w:pStyle w:val="Nadpis2"/>
      </w:pPr>
      <w:r w:rsidRPr="00F441A6">
        <w:t xml:space="preserve">Dodavatel neodpovídá za pravost, pravdivost ani úplnost dokumentů, dokladů, spisů, které jsou a/nebo mají nebo měly by být uloženy v interním </w:t>
      </w:r>
      <w:proofErr w:type="gramStart"/>
      <w:r w:rsidRPr="00F441A6">
        <w:t>archivu</w:t>
      </w:r>
      <w:proofErr w:type="gramEnd"/>
      <w:r w:rsidRPr="00F441A6">
        <w:t xml:space="preserve"> resp. spisovně odběratele dle interních směrnic odběratele.</w:t>
      </w:r>
    </w:p>
    <w:p w14:paraId="2CB03E21" w14:textId="77777777" w:rsidR="00FA5C60" w:rsidRPr="00F441A6" w:rsidRDefault="00ED0825" w:rsidP="00764576">
      <w:pPr>
        <w:pStyle w:val="Nadpis2"/>
        <w:rPr>
          <w:rFonts w:cs="Arial"/>
        </w:rPr>
      </w:pPr>
      <w:r w:rsidRPr="00F441A6">
        <w:rPr>
          <w:rFonts w:cs="Arial"/>
        </w:rPr>
        <w:t xml:space="preserve">V případě, že dodavatel poruší některou ze svých povinností stanovenou mu touto smlouvou v čl. 2. a na takové porušení jej odběratel písemně upozorní se stanovením lhůty k nápravě, je dodavatel povinen ve stanovené lhůtě nápravu zjednat. Pokud dodavatel toto porušení nenapraví v dodatečné stanovené lhůtě, je povinen zaplatit odběrateli smluvní pokutu ve výši </w:t>
      </w:r>
      <w:r w:rsidR="00F22EC9" w:rsidRPr="00F441A6">
        <w:rPr>
          <w:rFonts w:cs="Arial"/>
        </w:rPr>
        <w:t xml:space="preserve">1000,- Kč </w:t>
      </w:r>
      <w:r w:rsidR="002E63D3" w:rsidRPr="00F441A6">
        <w:rPr>
          <w:rFonts w:cs="Arial"/>
        </w:rPr>
        <w:t xml:space="preserve">bez DPH </w:t>
      </w:r>
      <w:r w:rsidRPr="00F441A6">
        <w:rPr>
          <w:rFonts w:cs="Arial"/>
        </w:rPr>
        <w:t xml:space="preserve">za každou nesplněnou povinnost. Zaplacením smluvní pokuty dále není dotčena povinnost dodavatele splnit závazky vyplývající z této smlouvy. </w:t>
      </w:r>
    </w:p>
    <w:p w14:paraId="004C3E5A" w14:textId="77777777" w:rsidR="00FA5C60" w:rsidRPr="00F441A6" w:rsidRDefault="00FA5C60" w:rsidP="00071174">
      <w:pPr>
        <w:pStyle w:val="Nadpis2"/>
      </w:pPr>
      <w:r w:rsidRPr="00F441A6">
        <w:t xml:space="preserve">Dodavatel v žádném případě neodpovídá za jakékoliv užití výsledku poskytnutých služeb (rad a doporučení) v jiném případě či pro jiný účel, než který konkrétně posuzoval, ani za jakékoliv důsledky plynoucí </w:t>
      </w:r>
      <w:proofErr w:type="gramStart"/>
      <w:r w:rsidRPr="00F441A6">
        <w:t>ze</w:t>
      </w:r>
      <w:proofErr w:type="gramEnd"/>
      <w:r w:rsidRPr="00F441A6">
        <w:t xml:space="preserve"> zobecnění závěrů poskytnutých služeb odběratelem.</w:t>
      </w:r>
    </w:p>
    <w:p w14:paraId="0800A551" w14:textId="77777777" w:rsidR="00FA5C60" w:rsidRPr="00F441A6" w:rsidRDefault="00FA5C60" w:rsidP="00071174">
      <w:pPr>
        <w:pStyle w:val="Nadpis2"/>
      </w:pPr>
      <w:r w:rsidRPr="00F441A6">
        <w:t>Dodavatel je pro případ odpovědnosti za škodu vzniklou v souvislosti s poskytováním služeb dle této smlouvy pojištěn</w:t>
      </w:r>
      <w:r w:rsidR="00071174" w:rsidRPr="00F441A6">
        <w:t xml:space="preserve"> a zavazuje se toto pojištění udržovat po celou dobu platnosti a účinnosti této smlouvy.</w:t>
      </w:r>
    </w:p>
    <w:p w14:paraId="1BD2C4C2" w14:textId="77777777" w:rsidR="00071174" w:rsidRPr="00F441A6" w:rsidRDefault="00071174" w:rsidP="00EB6DFE">
      <w:pPr>
        <w:pStyle w:val="Nadpis1"/>
        <w:rPr>
          <w:color w:val="auto"/>
        </w:rPr>
      </w:pPr>
      <w:r w:rsidRPr="00F441A6">
        <w:rPr>
          <w:color w:val="auto"/>
        </w:rPr>
        <w:t>Povinnost mlčenlivosti</w:t>
      </w:r>
    </w:p>
    <w:p w14:paraId="7FD30E65" w14:textId="77777777" w:rsidR="00071174" w:rsidRPr="00F441A6" w:rsidRDefault="0006119A" w:rsidP="00071174">
      <w:pPr>
        <w:pStyle w:val="Nadpis2"/>
      </w:pPr>
      <w:r w:rsidRPr="00F441A6">
        <w:t>Smluvní strany se vzájemně zavazují zachovávat mlčenlivost o všech podstatných skutečnostech získaných při své činnosti vyplývající z této smlouvy, a to zejména o skutečnostech, které tvoří jejich obchodní tajemství a důvěrné informace.</w:t>
      </w:r>
    </w:p>
    <w:p w14:paraId="5EDC3808" w14:textId="77777777" w:rsidR="0006119A" w:rsidRPr="00F441A6" w:rsidRDefault="0006119A" w:rsidP="0006119A">
      <w:pPr>
        <w:pStyle w:val="Nadpis2"/>
      </w:pPr>
      <w:r w:rsidRPr="00F441A6">
        <w:t>Obchodním tajemstvím a důvěrnými informacemi jsou veškeré skutečnosti zejména obchodní povahy související s činností odběratele a/nebo dodavatele, které mají materiální či nemateriální hodnotu, nejsou v příslušných obchodních kruzích běžně dostupné, mají být podle vůle těchto subjektů utajeny a tyto odpovídajícím způsobem jejich utajení zajišťují.</w:t>
      </w:r>
    </w:p>
    <w:p w14:paraId="415E6C63" w14:textId="77777777" w:rsidR="0006119A" w:rsidRPr="00F441A6" w:rsidRDefault="0006119A" w:rsidP="0006119A">
      <w:pPr>
        <w:pStyle w:val="Nadpis2"/>
      </w:pPr>
      <w:r w:rsidRPr="00F441A6">
        <w:lastRenderedPageBreak/>
        <w:t>Za obchodní tajemství nebo důvěrné informace dle této smlouvy smluvní strany považují zejména veškeré písemné dokumenty a podklady smluvními stranami vzájemně poskytnuté, především obsah této smlouvy.</w:t>
      </w:r>
    </w:p>
    <w:p w14:paraId="5E70F7DE" w14:textId="77777777" w:rsidR="0006119A" w:rsidRPr="00F441A6" w:rsidRDefault="0006119A" w:rsidP="0006119A">
      <w:pPr>
        <w:pStyle w:val="Nadpis2"/>
      </w:pPr>
      <w:r w:rsidRPr="00F441A6">
        <w:t>Za porušení obchodního tajemství a důvěrných informací je kvalifikováno jednání, jímž jedna smluvní strana jiné osobě neoprávněně sdělí, zpřístupní, pro sebe nebo pro jiného využije obchodní tajemství či důvěrné informace získané při své činnosti od druhé smluvní strany, pokud je to v rozporu se zájmy druhé smluvní strany, a tak učiní bez jejího souhlasu. Porušením povinnosti mlčenlivosti není jednání v souladu s touto smlouvou.</w:t>
      </w:r>
    </w:p>
    <w:p w14:paraId="2EE1DAB0" w14:textId="77777777" w:rsidR="0006119A" w:rsidRPr="00F441A6" w:rsidRDefault="0006119A" w:rsidP="0006119A">
      <w:pPr>
        <w:pStyle w:val="Nadpis2"/>
      </w:pPr>
      <w:r w:rsidRPr="00F441A6">
        <w:t xml:space="preserve">Touto povinností mlčenlivosti jsou smluvní strany vázány také </w:t>
      </w:r>
      <w:r w:rsidR="00424299">
        <w:t xml:space="preserve">tři (3) roky </w:t>
      </w:r>
      <w:r w:rsidRPr="00F441A6">
        <w:t>po skončení této smlouvy, pokud nebudou mlčenlivosti zproštěny.</w:t>
      </w:r>
    </w:p>
    <w:p w14:paraId="298F6004" w14:textId="77777777" w:rsidR="00071174" w:rsidRPr="00F441A6" w:rsidRDefault="00071174" w:rsidP="00071174">
      <w:pPr>
        <w:pStyle w:val="Nadpis2"/>
      </w:pPr>
      <w:r w:rsidRPr="00F441A6">
        <w:t>Povinnost mlčenlivosti dodavatele se nevztahuje na případy zákonem uložené povinnosti překazit a oznámit spáchání trestného činu a ostatní případy stanovené obecně platnými obecně závaznými právními předpisy.</w:t>
      </w:r>
    </w:p>
    <w:p w14:paraId="7C633744" w14:textId="77777777" w:rsidR="00071174" w:rsidRPr="00F441A6" w:rsidRDefault="009D0294" w:rsidP="00071174">
      <w:pPr>
        <w:pStyle w:val="Nadpis2"/>
      </w:pPr>
      <w:r w:rsidRPr="00F441A6">
        <w:t>Dodavatel</w:t>
      </w:r>
      <w:r w:rsidR="00071174" w:rsidRPr="00F441A6">
        <w:t xml:space="preserve"> je zproštěn povinnosti mlčenlivosti v případě, je-li podle smluvních podmínek pojišťovny, u které uplatňuje nárok na pojistné plnění z pojištění odpovědnosti za škodu způsobenou v souvislosti s poskytnutím služeb dle této smlouvy, povinen pojišťovně sdělit okolnosti škodní události či poskytnout jinou součinnost nebo, je-li to nutné pro jeho obranu vůči uplatněným nárokům odběratele.</w:t>
      </w:r>
    </w:p>
    <w:p w14:paraId="054C264A" w14:textId="77777777" w:rsidR="00071174" w:rsidRPr="00F441A6" w:rsidRDefault="00071174" w:rsidP="00071174">
      <w:pPr>
        <w:pStyle w:val="Nadpis2"/>
      </w:pPr>
      <w:r w:rsidRPr="00F441A6">
        <w:t>Odběratel souhlasí s tím, že dodavatel je oprávněn uvádět odběratele (obchodní firmu a jeho vztah k dodavateli) jako referenci.</w:t>
      </w:r>
    </w:p>
    <w:p w14:paraId="55659EA7" w14:textId="77777777" w:rsidR="00EB6DFE" w:rsidRPr="00F441A6" w:rsidRDefault="00025D3C" w:rsidP="00EB6DFE">
      <w:pPr>
        <w:pStyle w:val="Nadpis1"/>
        <w:rPr>
          <w:color w:val="auto"/>
        </w:rPr>
      </w:pPr>
      <w:r w:rsidRPr="00F441A6">
        <w:rPr>
          <w:color w:val="auto"/>
        </w:rPr>
        <w:t>P</w:t>
      </w:r>
      <w:r w:rsidR="00EB6DFE" w:rsidRPr="00F441A6">
        <w:rPr>
          <w:color w:val="auto"/>
        </w:rPr>
        <w:t>latnost a zrušení či zánik smlouvy</w:t>
      </w:r>
    </w:p>
    <w:p w14:paraId="3684483B" w14:textId="1F80892B" w:rsidR="00EB6DFE" w:rsidRPr="00AE1D2E" w:rsidRDefault="00EB6DFE" w:rsidP="00846AE2">
      <w:pPr>
        <w:pStyle w:val="Nadpis2"/>
      </w:pPr>
      <w:r w:rsidRPr="00AE1D2E">
        <w:t>Tato smlouva se uzavírá na dobu určitou</w:t>
      </w:r>
      <w:r w:rsidR="00E94A84" w:rsidRPr="00AE1D2E">
        <w:t xml:space="preserve">, a to </w:t>
      </w:r>
      <w:r w:rsidR="00846AE2">
        <w:t xml:space="preserve">na období 12 měsíců. </w:t>
      </w:r>
      <w:r w:rsidR="00846AE2" w:rsidRPr="00846AE2">
        <w:t>Smluvní strany se dohodly, že smlouva nabývá platnosti dnem podpisu oběma smluvními stranami, účinnosti nejdříve dnem uveřejnění v registru smluv ve smyslu zákona č. 340/2015 Sb., přičemž zveřejnění zajišťuje odběratel. Před tímto datem tedy nemůže být ze smlouvy plněno.</w:t>
      </w:r>
    </w:p>
    <w:p w14:paraId="0BD3D7ED" w14:textId="77777777" w:rsidR="00EB6DFE" w:rsidRPr="00F441A6" w:rsidRDefault="00EB6DFE" w:rsidP="00EB6DFE">
      <w:pPr>
        <w:pStyle w:val="Nadpis2"/>
      </w:pPr>
      <w:r w:rsidRPr="00F441A6">
        <w:t xml:space="preserve">Před uplynutím sjednané doby může </w:t>
      </w:r>
      <w:r w:rsidR="00577FA0" w:rsidRPr="00F441A6">
        <w:t xml:space="preserve">tato </w:t>
      </w:r>
      <w:r w:rsidRPr="00F441A6">
        <w:t>smlouva zaniknout nebo být zrušena:</w:t>
      </w:r>
    </w:p>
    <w:p w14:paraId="590F666E" w14:textId="77777777" w:rsidR="0031771A" w:rsidRPr="00F441A6" w:rsidRDefault="00577FA0" w:rsidP="00C2058C">
      <w:pPr>
        <w:pStyle w:val="Nadpis3"/>
        <w:tabs>
          <w:tab w:val="clear" w:pos="1004"/>
          <w:tab w:val="num" w:pos="709"/>
        </w:tabs>
        <w:spacing w:after="0"/>
      </w:pPr>
      <w:r w:rsidRPr="00F441A6">
        <w:t xml:space="preserve">písemnou dohodou smluvních </w:t>
      </w:r>
      <w:r w:rsidR="00EB6DFE" w:rsidRPr="00F441A6">
        <w:t>stran</w:t>
      </w:r>
      <w:r w:rsidRPr="00F441A6">
        <w:t xml:space="preserve"> této smlouvy</w:t>
      </w:r>
      <w:r w:rsidR="007521D0" w:rsidRPr="00F441A6">
        <w:t>,</w:t>
      </w:r>
    </w:p>
    <w:p w14:paraId="3ED960CE" w14:textId="77777777" w:rsidR="0031771A" w:rsidRPr="00F441A6" w:rsidRDefault="00922784" w:rsidP="00C2058C">
      <w:pPr>
        <w:pStyle w:val="Nadpis3"/>
        <w:tabs>
          <w:tab w:val="clear" w:pos="1004"/>
          <w:tab w:val="num" w:pos="709"/>
        </w:tabs>
        <w:spacing w:after="0"/>
      </w:pPr>
      <w:r w:rsidRPr="00F441A6">
        <w:t xml:space="preserve">písemnou výpovědí jednou ze smluvních stran, a to </w:t>
      </w:r>
      <w:r w:rsidR="002E63D3" w:rsidRPr="00F441A6">
        <w:t xml:space="preserve">bez udání </w:t>
      </w:r>
      <w:r w:rsidRPr="00F441A6">
        <w:t>důvodu</w:t>
      </w:r>
      <w:r w:rsidR="006B2A7E" w:rsidRPr="00F441A6">
        <w:t>,</w:t>
      </w:r>
    </w:p>
    <w:p w14:paraId="34638652" w14:textId="77777777" w:rsidR="0031771A" w:rsidRPr="00F441A6" w:rsidRDefault="00922784" w:rsidP="00C2058C">
      <w:pPr>
        <w:pStyle w:val="Nadpis3"/>
        <w:tabs>
          <w:tab w:val="clear" w:pos="1004"/>
          <w:tab w:val="num" w:pos="709"/>
        </w:tabs>
        <w:spacing w:after="0"/>
      </w:pPr>
      <w:r w:rsidRPr="00F441A6">
        <w:t>vlastním písemným uznáním některé ze smluvních stran o neschopnosti plnit své závazky</w:t>
      </w:r>
      <w:r w:rsidR="002B2133">
        <w:t xml:space="preserve"> vyplývající z této smlouvy</w:t>
      </w:r>
      <w:r w:rsidRPr="00F441A6">
        <w:t>,</w:t>
      </w:r>
    </w:p>
    <w:p w14:paraId="6924B634" w14:textId="77777777" w:rsidR="0031771A" w:rsidRPr="00F441A6" w:rsidRDefault="00922784" w:rsidP="00C2058C">
      <w:pPr>
        <w:pStyle w:val="Nadpis3"/>
        <w:tabs>
          <w:tab w:val="clear" w:pos="1004"/>
          <w:tab w:val="num" w:pos="709"/>
        </w:tabs>
        <w:spacing w:after="0"/>
      </w:pPr>
      <w:r w:rsidRPr="00F441A6">
        <w:t xml:space="preserve">pozbytím příslušných povolení nebo licencí potřebných pro výkon podnikatelské činnosti dodavatele, </w:t>
      </w:r>
    </w:p>
    <w:p w14:paraId="406ECE7E" w14:textId="77777777" w:rsidR="00EB6DFE" w:rsidRPr="00F441A6" w:rsidRDefault="00922784" w:rsidP="00C2058C">
      <w:pPr>
        <w:pStyle w:val="Nadpis3"/>
        <w:tabs>
          <w:tab w:val="clear" w:pos="1004"/>
          <w:tab w:val="num" w:pos="709"/>
        </w:tabs>
      </w:pPr>
      <w:r w:rsidRPr="00F441A6">
        <w:t>odstoupením pro podstatné porušení smlouvy</w:t>
      </w:r>
      <w:r w:rsidR="00A920E9" w:rsidRPr="00F441A6">
        <w:t>.</w:t>
      </w:r>
    </w:p>
    <w:p w14:paraId="75F49D4C" w14:textId="77777777" w:rsidR="00EB6DFE" w:rsidRPr="00F441A6" w:rsidRDefault="00025D3C" w:rsidP="00EB6DFE">
      <w:pPr>
        <w:pStyle w:val="Nadpis2"/>
      </w:pPr>
      <w:r w:rsidRPr="00F441A6">
        <w:t>Pro výpověď smlouvy se vyžaduje písemná podoba zaslaná doporučeně na poslední známou adresu sídla druhé smluvní strany.</w:t>
      </w:r>
    </w:p>
    <w:p w14:paraId="44437188" w14:textId="77777777" w:rsidR="00EB6DFE" w:rsidRPr="00F441A6" w:rsidRDefault="00577FA0" w:rsidP="00EB6DFE">
      <w:pPr>
        <w:pStyle w:val="Nadpis2"/>
      </w:pPr>
      <w:r w:rsidRPr="00F441A6">
        <w:t>Pro výpověď se sjednává v</w:t>
      </w:r>
      <w:r w:rsidR="00EB6DFE" w:rsidRPr="00F441A6">
        <w:t xml:space="preserve">ýpovědní lhůta v délce </w:t>
      </w:r>
      <w:r w:rsidR="00AE1D2E">
        <w:t>2</w:t>
      </w:r>
      <w:r w:rsidR="00EB6DFE" w:rsidRPr="00F441A6">
        <w:t xml:space="preserve"> měsíců. Počátkem výpovědní lhůty je </w:t>
      </w:r>
      <w:r w:rsidR="00025D3C" w:rsidRPr="00F441A6">
        <w:t>první den následujícího měsíce po doručení výpovědi</w:t>
      </w:r>
      <w:r w:rsidRPr="00F441A6">
        <w:t xml:space="preserve"> druhé smluvní straně</w:t>
      </w:r>
      <w:r w:rsidR="00025D3C" w:rsidRPr="00F441A6">
        <w:t>.</w:t>
      </w:r>
    </w:p>
    <w:p w14:paraId="6A67513C" w14:textId="77777777" w:rsidR="00EB6DFE" w:rsidRPr="00F441A6" w:rsidRDefault="00EB6DFE" w:rsidP="00EB6DFE">
      <w:pPr>
        <w:pStyle w:val="Nadpis2"/>
      </w:pPr>
      <w:r w:rsidRPr="00F441A6">
        <w:t>Smluvní strany jsou povinny plnit do doby uplynutí výpovědní lhůty své povinnosti dle této smlouvy, pokud se nedohodnou jinak.</w:t>
      </w:r>
    </w:p>
    <w:p w14:paraId="18A45B0B" w14:textId="77777777" w:rsidR="00EB6DFE" w:rsidRPr="00F441A6" w:rsidRDefault="00EB6DFE" w:rsidP="00EB6DFE">
      <w:pPr>
        <w:pStyle w:val="Nadpis2"/>
      </w:pPr>
      <w:r w:rsidRPr="00F441A6">
        <w:t>Uplynutím výpovědní doby dle této smlouvy nezaniká právo dodavatele a povinnost odběratele na úhradu sjednané smluvní odměny a všech na základě této smlouvy řádně a včas dodavatelem vystavených daňových dokladů.</w:t>
      </w:r>
    </w:p>
    <w:p w14:paraId="74456C37" w14:textId="77777777" w:rsidR="003360F3" w:rsidRPr="00F441A6" w:rsidRDefault="003360F3" w:rsidP="005B3EE7">
      <w:pPr>
        <w:pStyle w:val="Nadpis1"/>
        <w:rPr>
          <w:color w:val="auto"/>
        </w:rPr>
      </w:pPr>
      <w:r w:rsidRPr="00F441A6">
        <w:rPr>
          <w:color w:val="auto"/>
        </w:rPr>
        <w:t>Odstoupení od smlouvy</w:t>
      </w:r>
    </w:p>
    <w:p w14:paraId="2655752A" w14:textId="77777777" w:rsidR="00504453" w:rsidRPr="00F441A6" w:rsidRDefault="003360F3" w:rsidP="00764576">
      <w:pPr>
        <w:pStyle w:val="Nadpis2"/>
      </w:pPr>
      <w:r w:rsidRPr="00F441A6">
        <w:t xml:space="preserve">V případě podstatného porušení smluvních povinností některou ze smluvních stran je druhá smluvní strana oprávněna odstoupit od smlouvy. Odstoupení je účinné okamžikem doručení písemného oznámení o odstoupení druhé smluvní straně. </w:t>
      </w:r>
    </w:p>
    <w:p w14:paraId="377C9769" w14:textId="77777777" w:rsidR="003360F3" w:rsidRPr="00F441A6" w:rsidRDefault="003360F3" w:rsidP="00764576">
      <w:pPr>
        <w:pStyle w:val="Nadpis2"/>
      </w:pPr>
      <w:r w:rsidRPr="00F441A6">
        <w:t>Smluvní strany se dohodly, že podstatným porušením jsou následující případy:</w:t>
      </w:r>
    </w:p>
    <w:p w14:paraId="41C9781A" w14:textId="77777777" w:rsidR="003360F3" w:rsidRPr="00F441A6" w:rsidRDefault="00A920E9" w:rsidP="00C2058C">
      <w:pPr>
        <w:pStyle w:val="Nadpis3"/>
        <w:tabs>
          <w:tab w:val="clear" w:pos="1004"/>
          <w:tab w:val="num" w:pos="851"/>
        </w:tabs>
        <w:spacing w:after="120"/>
        <w:ind w:left="851" w:hanging="567"/>
        <w:rPr>
          <w:szCs w:val="22"/>
        </w:rPr>
      </w:pPr>
      <w:r w:rsidRPr="00F441A6">
        <w:lastRenderedPageBreak/>
        <w:t xml:space="preserve">na straně dodavatele, kdy </w:t>
      </w:r>
      <w:r w:rsidR="003360F3" w:rsidRPr="00F441A6">
        <w:rPr>
          <w:szCs w:val="22"/>
        </w:rPr>
        <w:t xml:space="preserve">dodavatel neplní činnosti tak, jak je uvedeno v článku </w:t>
      </w:r>
      <w:r w:rsidR="00764576" w:rsidRPr="00F441A6">
        <w:rPr>
          <w:szCs w:val="22"/>
        </w:rPr>
        <w:t>2</w:t>
      </w:r>
      <w:r w:rsidR="003360F3" w:rsidRPr="00F441A6">
        <w:rPr>
          <w:szCs w:val="22"/>
        </w:rPr>
        <w:t xml:space="preserve">. </w:t>
      </w:r>
      <w:r w:rsidR="002E63D3" w:rsidRPr="00F441A6">
        <w:rPr>
          <w:szCs w:val="22"/>
        </w:rPr>
        <w:t>této s</w:t>
      </w:r>
      <w:r w:rsidR="003360F3" w:rsidRPr="00F441A6">
        <w:rPr>
          <w:szCs w:val="22"/>
        </w:rPr>
        <w:t>mlouvy</w:t>
      </w:r>
      <w:r w:rsidR="00C2058C">
        <w:rPr>
          <w:szCs w:val="22"/>
        </w:rPr>
        <w:t xml:space="preserve"> </w:t>
      </w:r>
      <w:r w:rsidR="003360F3" w:rsidRPr="00F441A6">
        <w:rPr>
          <w:szCs w:val="22"/>
        </w:rPr>
        <w:t>poté</w:t>
      </w:r>
      <w:r w:rsidR="00764576" w:rsidRPr="00F441A6">
        <w:rPr>
          <w:szCs w:val="22"/>
        </w:rPr>
        <w:t>,</w:t>
      </w:r>
      <w:r w:rsidR="003360F3" w:rsidRPr="00F441A6">
        <w:rPr>
          <w:szCs w:val="22"/>
        </w:rPr>
        <w:t xml:space="preserve"> co byl </w:t>
      </w:r>
      <w:r w:rsidRPr="00F441A6">
        <w:rPr>
          <w:szCs w:val="22"/>
        </w:rPr>
        <w:t xml:space="preserve">odběratelem </w:t>
      </w:r>
      <w:r w:rsidR="003360F3" w:rsidRPr="00F441A6">
        <w:rPr>
          <w:szCs w:val="22"/>
        </w:rPr>
        <w:t>písemně upozorněn na konkrétní chybu nebo závadu</w:t>
      </w:r>
      <w:r w:rsidR="00D2656B" w:rsidRPr="00F441A6">
        <w:rPr>
          <w:szCs w:val="22"/>
        </w:rPr>
        <w:t>,</w:t>
      </w:r>
      <w:r w:rsidR="003360F3" w:rsidRPr="00F441A6">
        <w:rPr>
          <w:szCs w:val="22"/>
        </w:rPr>
        <w:t xml:space="preserve"> a tato závada nebyla </w:t>
      </w:r>
      <w:r w:rsidRPr="00F441A6">
        <w:rPr>
          <w:szCs w:val="22"/>
        </w:rPr>
        <w:t xml:space="preserve">dodavatelem v přiměřené lhůtě </w:t>
      </w:r>
      <w:r w:rsidR="003360F3" w:rsidRPr="00F441A6">
        <w:rPr>
          <w:szCs w:val="22"/>
        </w:rPr>
        <w:t xml:space="preserve">odstraněna. </w:t>
      </w:r>
    </w:p>
    <w:p w14:paraId="691158EE" w14:textId="77777777" w:rsidR="003360F3" w:rsidRPr="00F441A6" w:rsidRDefault="003360F3" w:rsidP="00C2058C">
      <w:pPr>
        <w:pStyle w:val="Nadpis3"/>
        <w:tabs>
          <w:tab w:val="clear" w:pos="1004"/>
          <w:tab w:val="num" w:pos="851"/>
        </w:tabs>
        <w:ind w:left="851" w:hanging="567"/>
      </w:pPr>
      <w:r w:rsidRPr="00F441A6">
        <w:t>na straně o</w:t>
      </w:r>
      <w:r w:rsidR="00764576" w:rsidRPr="00F441A6">
        <w:t>dběratele</w:t>
      </w:r>
      <w:r w:rsidR="00A920E9" w:rsidRPr="00F441A6">
        <w:t>, kdy</w:t>
      </w:r>
      <w:r w:rsidR="00764576" w:rsidRPr="00F441A6">
        <w:t xml:space="preserve"> </w:t>
      </w:r>
      <w:r w:rsidRPr="00F441A6">
        <w:t>o</w:t>
      </w:r>
      <w:r w:rsidR="002E63D3" w:rsidRPr="00F441A6">
        <w:t>dběra</w:t>
      </w:r>
      <w:r w:rsidRPr="00F441A6">
        <w:t xml:space="preserve">tel je více než </w:t>
      </w:r>
      <w:r w:rsidR="00A920E9" w:rsidRPr="00F441A6">
        <w:t xml:space="preserve">30dní </w:t>
      </w:r>
      <w:r w:rsidRPr="00F441A6">
        <w:t xml:space="preserve">v </w:t>
      </w:r>
      <w:r w:rsidR="00A920E9" w:rsidRPr="00F441A6">
        <w:t>prodlení se zaplacením faktury vystavené dodavatele</w:t>
      </w:r>
      <w:r w:rsidR="003630DC">
        <w:t>m</w:t>
      </w:r>
      <w:r w:rsidR="00A920E9" w:rsidRPr="00F441A6">
        <w:t xml:space="preserve"> v souladu s touto smlouvou.</w:t>
      </w:r>
    </w:p>
    <w:p w14:paraId="598D9A58" w14:textId="77777777" w:rsidR="003360F3" w:rsidRPr="00F441A6" w:rsidRDefault="003360F3" w:rsidP="00764576">
      <w:pPr>
        <w:pStyle w:val="Nadpis2"/>
      </w:pPr>
      <w:r w:rsidRPr="00F441A6">
        <w:t>Odstoupením od smlouvy zaniká smlouva od samého počátku, s výjimkou ustanovení o smluvní pokutě a nároku na náhradu vzniklé škody</w:t>
      </w:r>
      <w:r w:rsidR="00764576" w:rsidRPr="00F441A6">
        <w:t xml:space="preserve"> ve smyslu ustanovení článku 6. této smlouvy</w:t>
      </w:r>
      <w:r w:rsidR="001521D5" w:rsidRPr="00F441A6">
        <w:t xml:space="preserve"> a ustanovení </w:t>
      </w:r>
      <w:r w:rsidR="004A279C" w:rsidRPr="00F441A6">
        <w:t xml:space="preserve">o mlčenlivosti </w:t>
      </w:r>
      <w:proofErr w:type="gramStart"/>
      <w:r w:rsidR="00A920E9" w:rsidRPr="00F441A6">
        <w:t xml:space="preserve">dle </w:t>
      </w:r>
      <w:r w:rsidR="001521D5" w:rsidRPr="00F441A6">
        <w:t> čl.</w:t>
      </w:r>
      <w:proofErr w:type="gramEnd"/>
      <w:r w:rsidR="001521D5" w:rsidRPr="00F441A6">
        <w:t xml:space="preserve"> 7</w:t>
      </w:r>
      <w:r w:rsidR="004A279C" w:rsidRPr="00F441A6">
        <w:t>.</w:t>
      </w:r>
      <w:r w:rsidR="001521D5" w:rsidRPr="00F441A6">
        <w:t xml:space="preserve"> </w:t>
      </w:r>
    </w:p>
    <w:p w14:paraId="286713C9" w14:textId="77777777" w:rsidR="003360F3" w:rsidRPr="00F441A6" w:rsidRDefault="003360F3" w:rsidP="00764576">
      <w:pPr>
        <w:pStyle w:val="Nadpis2"/>
      </w:pPr>
      <w:r w:rsidRPr="00F441A6">
        <w:t>Odstoupení od smlouvy musí být učiněno písemně a musí být prokazatelně doručeno druhé smluvní straně.</w:t>
      </w:r>
    </w:p>
    <w:p w14:paraId="156EDC7D" w14:textId="77777777" w:rsidR="00716FCD" w:rsidRPr="00F441A6" w:rsidRDefault="00716FCD" w:rsidP="005B3EE7">
      <w:pPr>
        <w:pStyle w:val="Nadpis1"/>
        <w:rPr>
          <w:color w:val="auto"/>
        </w:rPr>
      </w:pPr>
      <w:r w:rsidRPr="00F441A6">
        <w:rPr>
          <w:color w:val="auto"/>
        </w:rPr>
        <w:t>Kontaktní osoby</w:t>
      </w:r>
    </w:p>
    <w:p w14:paraId="590D726A" w14:textId="77777777" w:rsidR="009A5C30" w:rsidRPr="00F441A6" w:rsidRDefault="009A5C30" w:rsidP="007C6732">
      <w:pPr>
        <w:pStyle w:val="Nadpis2"/>
      </w:pPr>
      <w:r w:rsidRPr="00F441A6">
        <w:t>Smluvní strany se dohodly, že</w:t>
      </w:r>
      <w:r w:rsidRPr="00F441A6">
        <w:rPr>
          <w:b/>
        </w:rPr>
        <w:t xml:space="preserve"> </w:t>
      </w:r>
      <w:r w:rsidRPr="00F441A6">
        <w:t xml:space="preserve">pro činnosti vyplývající </w:t>
      </w:r>
      <w:proofErr w:type="gramStart"/>
      <w:r w:rsidRPr="00F441A6">
        <w:t>z</w:t>
      </w:r>
      <w:r w:rsidR="006B2A7E" w:rsidRPr="00F441A6">
        <w:t xml:space="preserve">  </w:t>
      </w:r>
      <w:r w:rsidRPr="00F441A6">
        <w:t>této</w:t>
      </w:r>
      <w:proofErr w:type="gramEnd"/>
      <w:r w:rsidRPr="00F441A6">
        <w:t xml:space="preserve"> smlouvy stanovují tyto kontaktní osoby:</w:t>
      </w:r>
    </w:p>
    <w:p w14:paraId="73EB1F87" w14:textId="77777777" w:rsidR="007C6732" w:rsidRPr="00F441A6" w:rsidRDefault="007C6732" w:rsidP="007C6732">
      <w:pPr>
        <w:pStyle w:val="Nadpis3"/>
      </w:pPr>
      <w:r w:rsidRPr="00F441A6">
        <w:t>Kontaktní osob</w:t>
      </w:r>
      <w:r w:rsidR="0080474E" w:rsidRPr="00F441A6">
        <w:t>a</w:t>
      </w:r>
      <w:r w:rsidRPr="00F441A6">
        <w:t xml:space="preserve"> za odběratele</w:t>
      </w:r>
    </w:p>
    <w:tbl>
      <w:tblPr>
        <w:tblW w:w="9720" w:type="dxa"/>
        <w:tblInd w:w="108" w:type="dxa"/>
        <w:tblBorders>
          <w:top w:val="single" w:sz="4" w:space="0" w:color="808080"/>
          <w:left w:val="single" w:sz="4" w:space="0" w:color="808080"/>
          <w:bottom w:val="single" w:sz="4" w:space="0" w:color="808080"/>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10"/>
        <w:gridCol w:w="7310"/>
      </w:tblGrid>
      <w:tr w:rsidR="007C6732" w:rsidRPr="00F441A6" w14:paraId="6AF7E0C1" w14:textId="77777777" w:rsidTr="007C6732">
        <w:trPr>
          <w:cantSplit/>
        </w:trPr>
        <w:tc>
          <w:tcPr>
            <w:tcW w:w="2410" w:type="dxa"/>
          </w:tcPr>
          <w:p w14:paraId="1E2561C6" w14:textId="77777777" w:rsidR="007C6732" w:rsidRPr="00F441A6" w:rsidRDefault="007C6732" w:rsidP="007C6732">
            <w:pPr>
              <w:rPr>
                <w:sz w:val="22"/>
                <w:szCs w:val="22"/>
              </w:rPr>
            </w:pPr>
            <w:r w:rsidRPr="00F441A6">
              <w:rPr>
                <w:sz w:val="22"/>
                <w:szCs w:val="22"/>
              </w:rPr>
              <w:t>Jméno a příjmení</w:t>
            </w:r>
          </w:p>
        </w:tc>
        <w:tc>
          <w:tcPr>
            <w:tcW w:w="7310" w:type="dxa"/>
            <w:tcBorders>
              <w:top w:val="single" w:sz="4" w:space="0" w:color="808080"/>
              <w:bottom w:val="dotted" w:sz="4" w:space="0" w:color="auto"/>
              <w:right w:val="single" w:sz="4" w:space="0" w:color="808080"/>
            </w:tcBorders>
          </w:tcPr>
          <w:p w14:paraId="1B24B9C8" w14:textId="7D25BBCD" w:rsidR="007C6732" w:rsidRPr="00190B93" w:rsidRDefault="007C6732" w:rsidP="007C6732">
            <w:pPr>
              <w:rPr>
                <w:sz w:val="22"/>
                <w:szCs w:val="22"/>
              </w:rPr>
            </w:pPr>
          </w:p>
        </w:tc>
      </w:tr>
      <w:tr w:rsidR="007C6732" w:rsidRPr="00F441A6" w14:paraId="2B72801F" w14:textId="77777777" w:rsidTr="007C6732">
        <w:trPr>
          <w:cantSplit/>
        </w:trPr>
        <w:tc>
          <w:tcPr>
            <w:tcW w:w="2410" w:type="dxa"/>
          </w:tcPr>
          <w:p w14:paraId="427647AC" w14:textId="77777777" w:rsidR="007C6732" w:rsidRPr="00F441A6" w:rsidRDefault="007C6732" w:rsidP="007C6732">
            <w:pPr>
              <w:rPr>
                <w:sz w:val="22"/>
                <w:szCs w:val="22"/>
              </w:rPr>
            </w:pPr>
            <w:r w:rsidRPr="00F441A6">
              <w:rPr>
                <w:sz w:val="22"/>
                <w:szCs w:val="22"/>
              </w:rPr>
              <w:t>Pozice/funkce</w:t>
            </w:r>
          </w:p>
        </w:tc>
        <w:tc>
          <w:tcPr>
            <w:tcW w:w="7310" w:type="dxa"/>
            <w:tcBorders>
              <w:top w:val="dotted" w:sz="4" w:space="0" w:color="auto"/>
              <w:bottom w:val="dotted" w:sz="4" w:space="0" w:color="auto"/>
              <w:right w:val="single" w:sz="4" w:space="0" w:color="808080"/>
            </w:tcBorders>
          </w:tcPr>
          <w:p w14:paraId="4EA85931" w14:textId="2BA2B217" w:rsidR="007C6732" w:rsidRPr="00190B93" w:rsidRDefault="007C6732" w:rsidP="007C6732">
            <w:pPr>
              <w:rPr>
                <w:sz w:val="22"/>
                <w:szCs w:val="22"/>
              </w:rPr>
            </w:pPr>
          </w:p>
        </w:tc>
      </w:tr>
      <w:tr w:rsidR="007C6732" w:rsidRPr="00F441A6" w14:paraId="32D6BB2A" w14:textId="77777777" w:rsidTr="007C6732">
        <w:trPr>
          <w:cantSplit/>
        </w:trPr>
        <w:tc>
          <w:tcPr>
            <w:tcW w:w="2410" w:type="dxa"/>
          </w:tcPr>
          <w:p w14:paraId="62A9FE80" w14:textId="77777777" w:rsidR="007C6732" w:rsidRPr="00F441A6" w:rsidRDefault="007C6732" w:rsidP="007C6732">
            <w:pPr>
              <w:rPr>
                <w:sz w:val="22"/>
                <w:szCs w:val="22"/>
              </w:rPr>
            </w:pPr>
            <w:r w:rsidRPr="00F441A6">
              <w:rPr>
                <w:sz w:val="22"/>
                <w:szCs w:val="22"/>
              </w:rPr>
              <w:t>Tel</w:t>
            </w:r>
          </w:p>
        </w:tc>
        <w:tc>
          <w:tcPr>
            <w:tcW w:w="7310" w:type="dxa"/>
            <w:tcBorders>
              <w:top w:val="dotted" w:sz="4" w:space="0" w:color="auto"/>
              <w:bottom w:val="dotted" w:sz="4" w:space="0" w:color="auto"/>
              <w:right w:val="single" w:sz="4" w:space="0" w:color="808080"/>
            </w:tcBorders>
          </w:tcPr>
          <w:p w14:paraId="2E955B27" w14:textId="1B96F7B2" w:rsidR="007C6732" w:rsidRPr="00F441A6" w:rsidRDefault="007C6732" w:rsidP="007C6732">
            <w:pPr>
              <w:rPr>
                <w:sz w:val="22"/>
                <w:szCs w:val="22"/>
              </w:rPr>
            </w:pPr>
          </w:p>
        </w:tc>
      </w:tr>
      <w:tr w:rsidR="007C6732" w:rsidRPr="00F441A6" w14:paraId="00A1459A" w14:textId="77777777" w:rsidTr="007C6732">
        <w:trPr>
          <w:cantSplit/>
        </w:trPr>
        <w:tc>
          <w:tcPr>
            <w:tcW w:w="2410" w:type="dxa"/>
          </w:tcPr>
          <w:p w14:paraId="5590F06B" w14:textId="77777777" w:rsidR="007C6732" w:rsidRPr="00F441A6" w:rsidRDefault="007C6732" w:rsidP="007C6732">
            <w:pPr>
              <w:rPr>
                <w:sz w:val="22"/>
                <w:szCs w:val="22"/>
              </w:rPr>
            </w:pPr>
            <w:r w:rsidRPr="00F441A6">
              <w:rPr>
                <w:sz w:val="22"/>
                <w:szCs w:val="22"/>
              </w:rPr>
              <w:t>GSM</w:t>
            </w:r>
          </w:p>
        </w:tc>
        <w:tc>
          <w:tcPr>
            <w:tcW w:w="7310" w:type="dxa"/>
            <w:tcBorders>
              <w:top w:val="dotted" w:sz="4" w:space="0" w:color="auto"/>
              <w:bottom w:val="dotted" w:sz="4" w:space="0" w:color="auto"/>
              <w:right w:val="single" w:sz="4" w:space="0" w:color="808080"/>
            </w:tcBorders>
          </w:tcPr>
          <w:p w14:paraId="3464230C" w14:textId="77777777" w:rsidR="007C6732" w:rsidRPr="00F441A6" w:rsidRDefault="007C6732" w:rsidP="007C6732">
            <w:pPr>
              <w:rPr>
                <w:sz w:val="22"/>
                <w:szCs w:val="22"/>
              </w:rPr>
            </w:pPr>
          </w:p>
        </w:tc>
      </w:tr>
      <w:tr w:rsidR="007C6732" w:rsidRPr="00F441A6" w14:paraId="10464131" w14:textId="77777777" w:rsidTr="007C6732">
        <w:trPr>
          <w:cantSplit/>
        </w:trPr>
        <w:tc>
          <w:tcPr>
            <w:tcW w:w="2410" w:type="dxa"/>
          </w:tcPr>
          <w:p w14:paraId="45F7C7F0" w14:textId="77777777" w:rsidR="007C6732" w:rsidRPr="00F441A6" w:rsidRDefault="007C6732" w:rsidP="007C6732">
            <w:pPr>
              <w:rPr>
                <w:sz w:val="22"/>
                <w:szCs w:val="22"/>
              </w:rPr>
            </w:pPr>
            <w:r w:rsidRPr="00F441A6">
              <w:rPr>
                <w:sz w:val="22"/>
                <w:szCs w:val="22"/>
              </w:rPr>
              <w:t>E-mail</w:t>
            </w:r>
          </w:p>
        </w:tc>
        <w:tc>
          <w:tcPr>
            <w:tcW w:w="7310" w:type="dxa"/>
            <w:tcBorders>
              <w:top w:val="dotted" w:sz="4" w:space="0" w:color="auto"/>
              <w:bottom w:val="dotted" w:sz="4" w:space="0" w:color="auto"/>
              <w:right w:val="single" w:sz="4" w:space="0" w:color="808080"/>
            </w:tcBorders>
          </w:tcPr>
          <w:p w14:paraId="4DBE155C" w14:textId="09A92B41" w:rsidR="007C6732" w:rsidRPr="00F441A6" w:rsidRDefault="007C6732" w:rsidP="003630DC">
            <w:pPr>
              <w:rPr>
                <w:sz w:val="22"/>
                <w:szCs w:val="22"/>
              </w:rPr>
            </w:pPr>
          </w:p>
        </w:tc>
      </w:tr>
      <w:tr w:rsidR="007C6732" w:rsidRPr="00F441A6" w14:paraId="6CE11098" w14:textId="77777777" w:rsidTr="007C6732">
        <w:trPr>
          <w:cantSplit/>
        </w:trPr>
        <w:tc>
          <w:tcPr>
            <w:tcW w:w="2410" w:type="dxa"/>
          </w:tcPr>
          <w:p w14:paraId="723FB550" w14:textId="77777777" w:rsidR="007C6732" w:rsidRPr="00F441A6" w:rsidRDefault="007C6732" w:rsidP="007C6732">
            <w:pPr>
              <w:rPr>
                <w:sz w:val="22"/>
                <w:szCs w:val="22"/>
              </w:rPr>
            </w:pPr>
            <w:r w:rsidRPr="00F441A6">
              <w:rPr>
                <w:sz w:val="22"/>
                <w:szCs w:val="22"/>
              </w:rPr>
              <w:t>Oprávnění</w:t>
            </w:r>
          </w:p>
        </w:tc>
        <w:tc>
          <w:tcPr>
            <w:tcW w:w="7310" w:type="dxa"/>
            <w:tcBorders>
              <w:top w:val="dotted" w:sz="4" w:space="0" w:color="auto"/>
              <w:bottom w:val="single" w:sz="4" w:space="0" w:color="808080"/>
              <w:right w:val="single" w:sz="4" w:space="0" w:color="808080"/>
            </w:tcBorders>
          </w:tcPr>
          <w:p w14:paraId="111BA6F7" w14:textId="39ED09F2" w:rsidR="007C6732" w:rsidRPr="00F441A6" w:rsidRDefault="007C6732" w:rsidP="00EA5839">
            <w:pPr>
              <w:rPr>
                <w:sz w:val="22"/>
                <w:szCs w:val="22"/>
              </w:rPr>
            </w:pPr>
          </w:p>
        </w:tc>
      </w:tr>
    </w:tbl>
    <w:p w14:paraId="11468045" w14:textId="77777777" w:rsidR="007C6732" w:rsidRPr="00F441A6" w:rsidRDefault="007C6732" w:rsidP="007C6732"/>
    <w:p w14:paraId="58B3A404" w14:textId="77777777" w:rsidR="007C6732" w:rsidRPr="00F441A6" w:rsidRDefault="007C6732" w:rsidP="007C6732">
      <w:pPr>
        <w:pStyle w:val="Nadpis3"/>
      </w:pPr>
      <w:r w:rsidRPr="00F441A6">
        <w:t>Kontaktní osob</w:t>
      </w:r>
      <w:r w:rsidR="0080474E" w:rsidRPr="00F441A6">
        <w:t>a</w:t>
      </w:r>
      <w:r w:rsidRPr="00F441A6">
        <w:t xml:space="preserve"> za dodavatele</w:t>
      </w:r>
    </w:p>
    <w:tbl>
      <w:tblPr>
        <w:tblW w:w="9720" w:type="dxa"/>
        <w:tblInd w:w="108" w:type="dxa"/>
        <w:tblBorders>
          <w:top w:val="single" w:sz="4" w:space="0" w:color="808080"/>
          <w:left w:val="single" w:sz="4" w:space="0" w:color="808080"/>
          <w:bottom w:val="single" w:sz="4" w:space="0" w:color="808080"/>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10"/>
        <w:gridCol w:w="7310"/>
      </w:tblGrid>
      <w:tr w:rsidR="007C6732" w:rsidRPr="00F441A6" w14:paraId="6BD70D54" w14:textId="77777777" w:rsidTr="007C6732">
        <w:trPr>
          <w:cantSplit/>
        </w:trPr>
        <w:tc>
          <w:tcPr>
            <w:tcW w:w="2410" w:type="dxa"/>
          </w:tcPr>
          <w:p w14:paraId="7EA81C32" w14:textId="77777777" w:rsidR="007C6732" w:rsidRPr="00F441A6" w:rsidRDefault="007C6732" w:rsidP="007C6732">
            <w:pPr>
              <w:rPr>
                <w:sz w:val="22"/>
                <w:szCs w:val="22"/>
              </w:rPr>
            </w:pPr>
            <w:r w:rsidRPr="00F441A6">
              <w:rPr>
                <w:sz w:val="22"/>
                <w:szCs w:val="22"/>
              </w:rPr>
              <w:t>Jméno a příjmení</w:t>
            </w:r>
          </w:p>
        </w:tc>
        <w:tc>
          <w:tcPr>
            <w:tcW w:w="7310" w:type="dxa"/>
            <w:tcBorders>
              <w:top w:val="single" w:sz="4" w:space="0" w:color="808080"/>
              <w:bottom w:val="dotted" w:sz="4" w:space="0" w:color="auto"/>
              <w:right w:val="single" w:sz="4" w:space="0" w:color="808080"/>
            </w:tcBorders>
          </w:tcPr>
          <w:p w14:paraId="124E95D7" w14:textId="55A35EA2" w:rsidR="007C6732" w:rsidRPr="00F441A6" w:rsidRDefault="007C6732" w:rsidP="007C6732">
            <w:pPr>
              <w:rPr>
                <w:sz w:val="22"/>
                <w:szCs w:val="22"/>
              </w:rPr>
            </w:pPr>
            <w:bookmarkStart w:id="0" w:name="_GoBack"/>
            <w:bookmarkEnd w:id="0"/>
          </w:p>
        </w:tc>
      </w:tr>
      <w:tr w:rsidR="007C6732" w:rsidRPr="00F441A6" w14:paraId="6EFF0489" w14:textId="77777777" w:rsidTr="007C6732">
        <w:trPr>
          <w:cantSplit/>
        </w:trPr>
        <w:tc>
          <w:tcPr>
            <w:tcW w:w="2410" w:type="dxa"/>
          </w:tcPr>
          <w:p w14:paraId="34274082" w14:textId="77777777" w:rsidR="007C6732" w:rsidRPr="00F441A6" w:rsidRDefault="007C6732" w:rsidP="007C6732">
            <w:pPr>
              <w:rPr>
                <w:sz w:val="22"/>
                <w:szCs w:val="22"/>
              </w:rPr>
            </w:pPr>
            <w:r w:rsidRPr="00F441A6">
              <w:rPr>
                <w:sz w:val="22"/>
                <w:szCs w:val="22"/>
              </w:rPr>
              <w:t>Pozice/funkce</w:t>
            </w:r>
          </w:p>
        </w:tc>
        <w:tc>
          <w:tcPr>
            <w:tcW w:w="7310" w:type="dxa"/>
            <w:tcBorders>
              <w:top w:val="dotted" w:sz="4" w:space="0" w:color="auto"/>
              <w:bottom w:val="dotted" w:sz="4" w:space="0" w:color="auto"/>
              <w:right w:val="single" w:sz="4" w:space="0" w:color="808080"/>
            </w:tcBorders>
          </w:tcPr>
          <w:p w14:paraId="60E291C4" w14:textId="77723EE5" w:rsidR="007C6732" w:rsidRPr="00F441A6" w:rsidRDefault="007C6732" w:rsidP="007C6732">
            <w:pPr>
              <w:rPr>
                <w:sz w:val="22"/>
                <w:szCs w:val="22"/>
              </w:rPr>
            </w:pPr>
          </w:p>
        </w:tc>
      </w:tr>
      <w:tr w:rsidR="007C6732" w:rsidRPr="00F441A6" w14:paraId="0247B437" w14:textId="77777777" w:rsidTr="007C6732">
        <w:trPr>
          <w:cantSplit/>
        </w:trPr>
        <w:tc>
          <w:tcPr>
            <w:tcW w:w="2410" w:type="dxa"/>
          </w:tcPr>
          <w:p w14:paraId="485DF108" w14:textId="77777777" w:rsidR="007C6732" w:rsidRPr="00F441A6" w:rsidRDefault="007C6732" w:rsidP="007C6732">
            <w:pPr>
              <w:rPr>
                <w:sz w:val="22"/>
                <w:szCs w:val="22"/>
              </w:rPr>
            </w:pPr>
            <w:r w:rsidRPr="00F441A6">
              <w:rPr>
                <w:sz w:val="22"/>
                <w:szCs w:val="22"/>
              </w:rPr>
              <w:t>Tel</w:t>
            </w:r>
          </w:p>
        </w:tc>
        <w:tc>
          <w:tcPr>
            <w:tcW w:w="7310" w:type="dxa"/>
            <w:tcBorders>
              <w:top w:val="dotted" w:sz="4" w:space="0" w:color="auto"/>
              <w:bottom w:val="dotted" w:sz="4" w:space="0" w:color="auto"/>
              <w:right w:val="single" w:sz="4" w:space="0" w:color="808080"/>
            </w:tcBorders>
          </w:tcPr>
          <w:p w14:paraId="56F4A416" w14:textId="74E3D36B" w:rsidR="007C6732" w:rsidRPr="00F441A6" w:rsidRDefault="007C6732" w:rsidP="007C6732">
            <w:pPr>
              <w:rPr>
                <w:sz w:val="22"/>
                <w:szCs w:val="22"/>
              </w:rPr>
            </w:pPr>
          </w:p>
        </w:tc>
      </w:tr>
      <w:tr w:rsidR="007C6732" w:rsidRPr="00F441A6" w14:paraId="58EA20B6" w14:textId="77777777" w:rsidTr="007C6732">
        <w:trPr>
          <w:cantSplit/>
        </w:trPr>
        <w:tc>
          <w:tcPr>
            <w:tcW w:w="2410" w:type="dxa"/>
          </w:tcPr>
          <w:p w14:paraId="081B1838" w14:textId="77777777" w:rsidR="007C6732" w:rsidRPr="00F441A6" w:rsidRDefault="007C6732" w:rsidP="007C6732">
            <w:pPr>
              <w:rPr>
                <w:sz w:val="22"/>
                <w:szCs w:val="22"/>
              </w:rPr>
            </w:pPr>
            <w:r w:rsidRPr="00F441A6">
              <w:rPr>
                <w:sz w:val="22"/>
                <w:szCs w:val="22"/>
              </w:rPr>
              <w:t>GSM</w:t>
            </w:r>
          </w:p>
        </w:tc>
        <w:tc>
          <w:tcPr>
            <w:tcW w:w="7310" w:type="dxa"/>
            <w:tcBorders>
              <w:top w:val="dotted" w:sz="4" w:space="0" w:color="auto"/>
              <w:bottom w:val="dotted" w:sz="4" w:space="0" w:color="auto"/>
              <w:right w:val="single" w:sz="4" w:space="0" w:color="808080"/>
            </w:tcBorders>
          </w:tcPr>
          <w:p w14:paraId="127CCDA6" w14:textId="77777777" w:rsidR="007C6732" w:rsidRPr="00F441A6" w:rsidRDefault="007C6732" w:rsidP="007C6732">
            <w:pPr>
              <w:rPr>
                <w:sz w:val="22"/>
                <w:szCs w:val="22"/>
              </w:rPr>
            </w:pPr>
          </w:p>
        </w:tc>
      </w:tr>
      <w:tr w:rsidR="007C6732" w:rsidRPr="00F441A6" w14:paraId="42DF1171" w14:textId="77777777" w:rsidTr="007C6732">
        <w:trPr>
          <w:cantSplit/>
        </w:trPr>
        <w:tc>
          <w:tcPr>
            <w:tcW w:w="2410" w:type="dxa"/>
          </w:tcPr>
          <w:p w14:paraId="28F5C3EE" w14:textId="77777777" w:rsidR="007C6732" w:rsidRPr="00F441A6" w:rsidRDefault="007C6732" w:rsidP="007C6732">
            <w:pPr>
              <w:rPr>
                <w:sz w:val="22"/>
                <w:szCs w:val="22"/>
              </w:rPr>
            </w:pPr>
            <w:r w:rsidRPr="00F441A6">
              <w:rPr>
                <w:sz w:val="22"/>
                <w:szCs w:val="22"/>
              </w:rPr>
              <w:t>E-mail</w:t>
            </w:r>
          </w:p>
        </w:tc>
        <w:tc>
          <w:tcPr>
            <w:tcW w:w="7310" w:type="dxa"/>
            <w:tcBorders>
              <w:top w:val="dotted" w:sz="4" w:space="0" w:color="auto"/>
              <w:bottom w:val="dotted" w:sz="4" w:space="0" w:color="auto"/>
              <w:right w:val="single" w:sz="4" w:space="0" w:color="808080"/>
            </w:tcBorders>
          </w:tcPr>
          <w:p w14:paraId="776A44D2" w14:textId="6332B65E" w:rsidR="007C6732" w:rsidRPr="00F441A6" w:rsidRDefault="007C6732" w:rsidP="003630DC">
            <w:pPr>
              <w:rPr>
                <w:sz w:val="22"/>
                <w:szCs w:val="22"/>
              </w:rPr>
            </w:pPr>
          </w:p>
        </w:tc>
      </w:tr>
      <w:tr w:rsidR="007C6732" w:rsidRPr="00F441A6" w14:paraId="491544A5" w14:textId="77777777" w:rsidTr="007C6732">
        <w:trPr>
          <w:cantSplit/>
        </w:trPr>
        <w:tc>
          <w:tcPr>
            <w:tcW w:w="2410" w:type="dxa"/>
          </w:tcPr>
          <w:p w14:paraId="02ACFE49" w14:textId="77777777" w:rsidR="007C6732" w:rsidRPr="00F441A6" w:rsidRDefault="007C6732" w:rsidP="007C6732">
            <w:pPr>
              <w:rPr>
                <w:sz w:val="22"/>
                <w:szCs w:val="22"/>
              </w:rPr>
            </w:pPr>
            <w:r w:rsidRPr="00F441A6">
              <w:rPr>
                <w:sz w:val="22"/>
                <w:szCs w:val="22"/>
              </w:rPr>
              <w:t>Oprávnění</w:t>
            </w:r>
          </w:p>
        </w:tc>
        <w:tc>
          <w:tcPr>
            <w:tcW w:w="7310" w:type="dxa"/>
            <w:tcBorders>
              <w:top w:val="dotted" w:sz="4" w:space="0" w:color="auto"/>
              <w:bottom w:val="single" w:sz="4" w:space="0" w:color="808080"/>
              <w:right w:val="single" w:sz="4" w:space="0" w:color="808080"/>
            </w:tcBorders>
          </w:tcPr>
          <w:p w14:paraId="41A3EF04" w14:textId="2B8B0FCA" w:rsidR="007C6732" w:rsidRPr="00F441A6" w:rsidRDefault="007C6732" w:rsidP="00EA5839">
            <w:pPr>
              <w:rPr>
                <w:sz w:val="22"/>
                <w:szCs w:val="22"/>
              </w:rPr>
            </w:pPr>
          </w:p>
        </w:tc>
      </w:tr>
    </w:tbl>
    <w:p w14:paraId="4FF756C4" w14:textId="77777777" w:rsidR="007C6732" w:rsidRPr="00F441A6" w:rsidRDefault="007C6732" w:rsidP="007C6732"/>
    <w:p w14:paraId="5EC87B76" w14:textId="77777777" w:rsidR="005B3EE7" w:rsidRPr="00F441A6" w:rsidRDefault="005B3EE7" w:rsidP="005B3EE7">
      <w:pPr>
        <w:pStyle w:val="Nadpis1"/>
        <w:rPr>
          <w:color w:val="auto"/>
        </w:rPr>
      </w:pPr>
      <w:r w:rsidRPr="00F441A6">
        <w:rPr>
          <w:color w:val="auto"/>
        </w:rPr>
        <w:t>Společná ustanovení</w:t>
      </w:r>
    </w:p>
    <w:p w14:paraId="4C354B0A" w14:textId="77777777" w:rsidR="00B71BC1" w:rsidRPr="00F441A6" w:rsidRDefault="00814C91" w:rsidP="00B71BC1">
      <w:pPr>
        <w:pStyle w:val="Nadpis2"/>
      </w:pPr>
      <w:bookmarkStart w:id="1" w:name="_Ref63949320"/>
      <w:r w:rsidRPr="00F441A6">
        <w:t>Tato smlouva vstupuje v platnost a účinnost dnem podpisu zákonnými</w:t>
      </w:r>
      <w:r w:rsidR="00EA5839" w:rsidRPr="00F441A6">
        <w:t>,</w:t>
      </w:r>
      <w:r w:rsidRPr="00F441A6">
        <w:t xml:space="preserve"> nebo</w:t>
      </w:r>
      <w:r w:rsidR="00D2656B" w:rsidRPr="00F441A6">
        <w:t xml:space="preserve"> </w:t>
      </w:r>
      <w:r w:rsidRPr="00F441A6">
        <w:t>zplnomocněnými zástupci smluvních stran.</w:t>
      </w:r>
      <w:bookmarkEnd w:id="1"/>
    </w:p>
    <w:p w14:paraId="338C8B10" w14:textId="77777777" w:rsidR="00814C91" w:rsidRPr="00F441A6" w:rsidRDefault="00814C91" w:rsidP="00814C91">
      <w:pPr>
        <w:pStyle w:val="Nadpis2"/>
      </w:pPr>
      <w:r w:rsidRPr="00F441A6">
        <w:t>Obě smluvní strany této smlouvy se zavazují, že v případě sporu budou tento řešit nejprve osobním jednáním a písemnou dohodou. V případě, že jednáním nebude nalezena shoda, je k projednání sporu příslušný obecný soud odpůrce.</w:t>
      </w:r>
    </w:p>
    <w:p w14:paraId="31BFA2C8" w14:textId="77777777" w:rsidR="00814C91" w:rsidRPr="00F441A6" w:rsidRDefault="00814C91" w:rsidP="00814C91">
      <w:pPr>
        <w:pStyle w:val="Nadpis2"/>
      </w:pPr>
      <w:r w:rsidRPr="00F441A6">
        <w:t xml:space="preserve">Poštovní zásilka se považuje za doručenou druhé smluvní straně třetí den po jejím prokazatelném odeslání na poslední známou adresu sídla druhé smluvní strany. Za prokazatelné odeslání se považuje předložení </w:t>
      </w:r>
      <w:r w:rsidR="00D6647A" w:rsidRPr="00F441A6">
        <w:t xml:space="preserve">potvrzení a/nebo obdobného </w:t>
      </w:r>
      <w:r w:rsidRPr="00F441A6">
        <w:t xml:space="preserve">dokladu </w:t>
      </w:r>
      <w:r w:rsidR="00577FA0" w:rsidRPr="00F441A6">
        <w:t xml:space="preserve">o odeslání zásilky </w:t>
      </w:r>
      <w:r w:rsidRPr="00F441A6">
        <w:t>s uvedením heslovitého popisu obsahu zásilky.</w:t>
      </w:r>
    </w:p>
    <w:p w14:paraId="1FD48E74" w14:textId="77777777" w:rsidR="00814C91" w:rsidRPr="00F441A6" w:rsidRDefault="00814C91" w:rsidP="00814C91">
      <w:pPr>
        <w:pStyle w:val="Nadpis2"/>
      </w:pPr>
      <w:r w:rsidRPr="00F441A6">
        <w:t>Veškeré změny a doplňky této smlouvy mohou být činěny, pokud není touto smlouvou stanoveno jinak, pouze písemnými číslovanými dodatky této smlouvy, schválenými a podepsanými zákonnými nebo zplnomocněnými zástupci obou smluvních stran této smlouvy.</w:t>
      </w:r>
    </w:p>
    <w:p w14:paraId="3869A9AB" w14:textId="77777777" w:rsidR="00814C91" w:rsidRPr="00F441A6" w:rsidRDefault="00814C91" w:rsidP="00814C91">
      <w:pPr>
        <w:pStyle w:val="Nadpis2"/>
      </w:pPr>
      <w:r w:rsidRPr="00F441A6">
        <w:t>Smlouva je vyhotovena ve dvou vyhotoveních, z nichž každý má platnost originálu. Každá smluvní strana obdrží po jejím podpisu jedno její vyhotovení.</w:t>
      </w:r>
    </w:p>
    <w:p w14:paraId="489EE16F" w14:textId="3D920907" w:rsidR="0080010B" w:rsidRDefault="00D6647A" w:rsidP="00814C91">
      <w:pPr>
        <w:pStyle w:val="Nadpis2"/>
      </w:pPr>
      <w:r w:rsidRPr="00F441A6">
        <w:t xml:space="preserve">Pokud není v této smlouvě stanoveno </w:t>
      </w:r>
      <w:r w:rsidR="0080010B" w:rsidRPr="00F441A6">
        <w:t xml:space="preserve">a/nebo sjednáno </w:t>
      </w:r>
      <w:r w:rsidRPr="00F441A6">
        <w:t xml:space="preserve">jinak, řídí se právní vztahy z ní vyplývající příslušnými ustanoveními </w:t>
      </w:r>
      <w:r w:rsidR="00D67F4E">
        <w:t>občanského</w:t>
      </w:r>
      <w:r w:rsidR="00D67F4E" w:rsidRPr="00F441A6">
        <w:t xml:space="preserve"> </w:t>
      </w:r>
      <w:r w:rsidRPr="00F441A6">
        <w:t>zákoníku a dalšími obecně platnými právními předpisy</w:t>
      </w:r>
      <w:r w:rsidR="0080010B" w:rsidRPr="00F441A6">
        <w:t xml:space="preserve"> České republiky</w:t>
      </w:r>
      <w:r w:rsidRPr="00F441A6">
        <w:t>.</w:t>
      </w:r>
    </w:p>
    <w:p w14:paraId="123B30C6" w14:textId="77777777" w:rsidR="00EE31B5" w:rsidRPr="00EE31B5" w:rsidRDefault="00EE31B5" w:rsidP="00EE31B5">
      <w:pPr>
        <w:pStyle w:val="Nadpis2"/>
      </w:pPr>
      <w:r>
        <w:t>Případné spory, které se mezi smluvními stranami nepodaří vyřešit smírnou cestou, budou rozhodovány soudem dle místní příslušnosti odběratele.</w:t>
      </w:r>
    </w:p>
    <w:p w14:paraId="03CAE06B" w14:textId="77777777" w:rsidR="00814C91" w:rsidRPr="00F441A6" w:rsidRDefault="00814C91" w:rsidP="00814C91">
      <w:pPr>
        <w:pStyle w:val="Nadpis2"/>
      </w:pPr>
      <w:r w:rsidRPr="00F441A6">
        <w:lastRenderedPageBreak/>
        <w:t>Tato smlouva je závazná i pro právní nástupce obou smluvních stran.</w:t>
      </w:r>
    </w:p>
    <w:p w14:paraId="19101D19" w14:textId="77777777" w:rsidR="00814C91" w:rsidRPr="00F441A6" w:rsidRDefault="00814C91" w:rsidP="00814C91">
      <w:pPr>
        <w:pStyle w:val="Nadpis2"/>
      </w:pPr>
      <w:r w:rsidRPr="00F441A6">
        <w:t>Pokud bude smlouva vyhotovena v překladu do cizího jazyka, rozhodující verzí je verze česká.</w:t>
      </w:r>
    </w:p>
    <w:p w14:paraId="1A3912B7" w14:textId="77777777" w:rsidR="0006282B" w:rsidRPr="00F441A6" w:rsidRDefault="0006282B" w:rsidP="00814C91">
      <w:pPr>
        <w:pStyle w:val="Nadpis2"/>
      </w:pPr>
      <w:r w:rsidRPr="00F441A6">
        <w:t>V případě, že se stane nebo ukáže některé ustanovení této smlouvy jako neplatné, neúčinné nebo nevykonatelné, nemá tato skutečnost vliv na platnost, účinnost a vykonatelnost ostatních ustanovení této smlouvy. Smluvní strany se zavazují nahradit takové ustanovení ustanovením platným, účinným a vykonatelným, které v co největší možné míře respektuje hospodářský účel neplatného, neúčinného nebo nevykonatelného ustanovení.</w:t>
      </w:r>
    </w:p>
    <w:p w14:paraId="1A8FA6A9" w14:textId="77777777" w:rsidR="00814C91" w:rsidRPr="00F441A6" w:rsidRDefault="00814C91" w:rsidP="00814C91">
      <w:pPr>
        <w:pStyle w:val="Nadpis2"/>
      </w:pPr>
      <w:r w:rsidRPr="00F441A6">
        <w:t>Obě smluvní strany této smlouvy prohlašují, že tato smlouva je projevem jejich pravé, svobodné, určité a srozumitelné vůle a na důkaz dohody o všech článcích této smlouvy připojují podpisy zástupců oprávněných jednat jejich jménem.</w:t>
      </w:r>
    </w:p>
    <w:p w14:paraId="13F9735E" w14:textId="77777777" w:rsidR="008A20FA" w:rsidRPr="00F441A6" w:rsidRDefault="008A20FA" w:rsidP="008A20FA"/>
    <w:p w14:paraId="63CBAC0C" w14:textId="15D1D36C" w:rsidR="00DE2CFD" w:rsidRPr="00F441A6" w:rsidRDefault="0003631E" w:rsidP="006672A2">
      <w:pPr>
        <w:outlineLvl w:val="0"/>
        <w:rPr>
          <w:rFonts w:cs="Tahoma"/>
          <w:sz w:val="22"/>
          <w:szCs w:val="22"/>
        </w:rPr>
      </w:pPr>
      <w:r w:rsidRPr="00F441A6">
        <w:rPr>
          <w:rFonts w:cs="Tahoma"/>
          <w:sz w:val="22"/>
          <w:szCs w:val="22"/>
        </w:rPr>
        <w:t xml:space="preserve">V Praze, dne </w:t>
      </w:r>
      <w:r w:rsidR="003A7C90">
        <w:rPr>
          <w:rFonts w:cs="Tahoma"/>
          <w:sz w:val="22"/>
          <w:szCs w:val="22"/>
        </w:rPr>
        <w:tab/>
      </w:r>
      <w:r w:rsidR="003A7C90">
        <w:rPr>
          <w:rFonts w:cs="Tahoma"/>
          <w:sz w:val="22"/>
          <w:szCs w:val="22"/>
        </w:rPr>
        <w:tab/>
      </w:r>
      <w:r w:rsidR="003A7C90">
        <w:rPr>
          <w:rFonts w:cs="Tahoma"/>
          <w:sz w:val="22"/>
          <w:szCs w:val="22"/>
        </w:rPr>
        <w:tab/>
      </w:r>
      <w:r w:rsidR="003A7C90">
        <w:rPr>
          <w:rFonts w:cs="Tahoma"/>
          <w:sz w:val="22"/>
          <w:szCs w:val="22"/>
        </w:rPr>
        <w:tab/>
      </w:r>
      <w:r w:rsidR="003A7C90">
        <w:rPr>
          <w:rFonts w:cs="Tahoma"/>
          <w:sz w:val="22"/>
          <w:szCs w:val="22"/>
        </w:rPr>
        <w:tab/>
      </w:r>
      <w:r w:rsidR="003A7C90">
        <w:rPr>
          <w:rFonts w:cs="Tahoma"/>
          <w:sz w:val="22"/>
          <w:szCs w:val="22"/>
        </w:rPr>
        <w:tab/>
      </w:r>
      <w:r w:rsidR="003A7C90">
        <w:rPr>
          <w:rFonts w:cs="Tahoma"/>
          <w:sz w:val="22"/>
          <w:szCs w:val="22"/>
        </w:rPr>
        <w:tab/>
        <w:t>V</w:t>
      </w:r>
      <w:r w:rsidR="00190B93">
        <w:rPr>
          <w:rFonts w:cs="Tahoma"/>
          <w:sz w:val="22"/>
          <w:szCs w:val="22"/>
        </w:rPr>
        <w:t> Jihlavě,</w:t>
      </w:r>
      <w:r w:rsidR="003A7C90">
        <w:rPr>
          <w:rFonts w:cs="Tahoma"/>
          <w:sz w:val="22"/>
          <w:szCs w:val="22"/>
        </w:rPr>
        <w:t xml:space="preserve"> dne……………</w:t>
      </w:r>
    </w:p>
    <w:p w14:paraId="17942C77" w14:textId="77777777" w:rsidR="00DE2CFD" w:rsidRPr="00F441A6" w:rsidRDefault="00DE2CFD">
      <w:pPr>
        <w:rPr>
          <w:rFonts w:cs="Tahoma"/>
          <w:sz w:val="22"/>
          <w:szCs w:val="22"/>
        </w:rPr>
      </w:pPr>
    </w:p>
    <w:p w14:paraId="2A7A9E7C" w14:textId="77777777" w:rsidR="00494D1B" w:rsidRPr="00F441A6" w:rsidRDefault="00494D1B">
      <w:pPr>
        <w:rPr>
          <w:rFonts w:cs="Tahoma"/>
          <w:sz w:val="22"/>
          <w:szCs w:val="22"/>
        </w:rPr>
      </w:pPr>
    </w:p>
    <w:p w14:paraId="3D1EB8F0" w14:textId="77777777" w:rsidR="005D4930" w:rsidRPr="00F441A6" w:rsidRDefault="005D4930">
      <w:pPr>
        <w:rPr>
          <w:rFonts w:cs="Tahoma"/>
          <w:sz w:val="22"/>
          <w:szCs w:val="22"/>
        </w:rPr>
      </w:pPr>
    </w:p>
    <w:p w14:paraId="5EA9AA60" w14:textId="77777777" w:rsidR="005D4930" w:rsidRPr="00F441A6" w:rsidRDefault="005D4930">
      <w:pPr>
        <w:rPr>
          <w:rFonts w:cs="Tahoma"/>
          <w:sz w:val="22"/>
          <w:szCs w:val="22"/>
        </w:rPr>
      </w:pPr>
    </w:p>
    <w:p w14:paraId="2DFA00E3" w14:textId="77777777" w:rsidR="00DE2CFD" w:rsidRPr="00F441A6" w:rsidRDefault="00DE2CFD">
      <w:pPr>
        <w:rPr>
          <w:rFonts w:cs="Tahoma"/>
          <w:sz w:val="22"/>
          <w:szCs w:val="22"/>
        </w:rPr>
      </w:pPr>
      <w:r w:rsidRPr="00F441A6">
        <w:rPr>
          <w:rFonts w:cs="Tahoma"/>
          <w:sz w:val="22"/>
          <w:szCs w:val="22"/>
        </w:rPr>
        <w:tab/>
        <w:t>……………</w:t>
      </w:r>
      <w:r w:rsidR="00B14EFA" w:rsidRPr="00F441A6">
        <w:rPr>
          <w:rFonts w:cs="Tahoma"/>
          <w:sz w:val="22"/>
          <w:szCs w:val="22"/>
        </w:rPr>
        <w:t>………..</w:t>
      </w:r>
      <w:r w:rsidRPr="00F441A6">
        <w:rPr>
          <w:rFonts w:cs="Tahoma"/>
          <w:sz w:val="22"/>
          <w:szCs w:val="22"/>
        </w:rPr>
        <w:t>………………………..</w:t>
      </w:r>
      <w:r w:rsidRPr="00F441A6">
        <w:rPr>
          <w:rFonts w:cs="Tahoma"/>
          <w:sz w:val="22"/>
          <w:szCs w:val="22"/>
        </w:rPr>
        <w:tab/>
      </w:r>
      <w:r w:rsidRPr="00F441A6">
        <w:rPr>
          <w:rFonts w:cs="Tahoma"/>
          <w:sz w:val="22"/>
          <w:szCs w:val="22"/>
        </w:rPr>
        <w:tab/>
      </w:r>
      <w:r w:rsidRPr="00F441A6">
        <w:rPr>
          <w:rFonts w:cs="Tahoma"/>
          <w:sz w:val="22"/>
          <w:szCs w:val="22"/>
        </w:rPr>
        <w:tab/>
      </w:r>
      <w:r w:rsidRPr="00F441A6">
        <w:rPr>
          <w:rFonts w:cs="Tahoma"/>
          <w:sz w:val="22"/>
          <w:szCs w:val="22"/>
        </w:rPr>
        <w:tab/>
        <w:t>……………</w:t>
      </w:r>
      <w:r w:rsidR="00B14EFA" w:rsidRPr="00F441A6">
        <w:rPr>
          <w:rFonts w:cs="Tahoma"/>
          <w:sz w:val="22"/>
          <w:szCs w:val="22"/>
        </w:rPr>
        <w:t>…..</w:t>
      </w:r>
      <w:r w:rsidRPr="00F441A6">
        <w:rPr>
          <w:rFonts w:cs="Tahoma"/>
          <w:sz w:val="22"/>
          <w:szCs w:val="22"/>
        </w:rPr>
        <w:t>………………………..</w:t>
      </w:r>
    </w:p>
    <w:p w14:paraId="6B00E066" w14:textId="5874D9BC" w:rsidR="00A0181A" w:rsidRPr="00F441A6" w:rsidRDefault="0080010B">
      <w:pPr>
        <w:rPr>
          <w:rFonts w:cs="Tahoma"/>
          <w:sz w:val="22"/>
          <w:szCs w:val="22"/>
        </w:rPr>
      </w:pPr>
      <w:r w:rsidRPr="00F441A6">
        <w:rPr>
          <w:rFonts w:cs="Tahoma"/>
          <w:sz w:val="22"/>
          <w:szCs w:val="22"/>
        </w:rPr>
        <w:tab/>
      </w:r>
      <w:r w:rsidR="00494D1B" w:rsidRPr="00F441A6">
        <w:rPr>
          <w:rFonts w:cs="Tahoma"/>
          <w:sz w:val="22"/>
          <w:szCs w:val="22"/>
        </w:rPr>
        <w:t xml:space="preserve">Ing. </w:t>
      </w:r>
      <w:r w:rsidR="003A7C90">
        <w:rPr>
          <w:rFonts w:cs="Tahoma"/>
          <w:sz w:val="22"/>
          <w:szCs w:val="22"/>
        </w:rPr>
        <w:t>Radomil Doležal</w:t>
      </w:r>
      <w:r w:rsidR="00494D1B" w:rsidRPr="00F441A6">
        <w:rPr>
          <w:rFonts w:cs="Tahoma"/>
          <w:sz w:val="22"/>
          <w:szCs w:val="22"/>
        </w:rPr>
        <w:t xml:space="preserve">, MBA                                                      </w:t>
      </w:r>
      <w:r w:rsidR="00190B93">
        <w:rPr>
          <w:rFonts w:cs="Tahoma"/>
          <w:sz w:val="22"/>
          <w:szCs w:val="22"/>
        </w:rPr>
        <w:t>Ing. Stanislav Fiala, jednatel</w:t>
      </w:r>
      <w:r w:rsidR="00494D1B" w:rsidRPr="00F441A6">
        <w:rPr>
          <w:rFonts w:cs="Tahoma"/>
          <w:sz w:val="22"/>
          <w:szCs w:val="22"/>
        </w:rPr>
        <w:t xml:space="preserve">                    </w:t>
      </w:r>
      <w:r w:rsidR="00D2656B" w:rsidRPr="00F441A6">
        <w:rPr>
          <w:rFonts w:cs="Tahoma"/>
          <w:sz w:val="22"/>
          <w:szCs w:val="22"/>
        </w:rPr>
        <w:tab/>
      </w:r>
      <w:r w:rsidR="00D2656B" w:rsidRPr="00F441A6">
        <w:rPr>
          <w:rFonts w:cs="Tahoma"/>
          <w:sz w:val="22"/>
          <w:szCs w:val="22"/>
        </w:rPr>
        <w:tab/>
      </w:r>
      <w:r w:rsidR="00D2656B" w:rsidRPr="00F441A6">
        <w:rPr>
          <w:rFonts w:cs="Tahoma"/>
          <w:sz w:val="22"/>
          <w:szCs w:val="22"/>
        </w:rPr>
        <w:tab/>
      </w:r>
      <w:r w:rsidR="00494D1B" w:rsidRPr="00F441A6">
        <w:rPr>
          <w:rFonts w:cs="Tahoma"/>
          <w:sz w:val="22"/>
          <w:szCs w:val="22"/>
        </w:rPr>
        <w:t xml:space="preserve">za odběratele                                                                     </w:t>
      </w:r>
      <w:r w:rsidR="00D2656B" w:rsidRPr="00F441A6">
        <w:rPr>
          <w:rFonts w:cs="Tahoma"/>
          <w:sz w:val="22"/>
          <w:szCs w:val="22"/>
        </w:rPr>
        <w:t xml:space="preserve">  </w:t>
      </w:r>
      <w:r w:rsidR="00494D1B" w:rsidRPr="00F441A6">
        <w:rPr>
          <w:rFonts w:cs="Tahoma"/>
          <w:sz w:val="22"/>
          <w:szCs w:val="22"/>
        </w:rPr>
        <w:t xml:space="preserve"> </w:t>
      </w:r>
      <w:r w:rsidR="00B14EFA" w:rsidRPr="00F441A6">
        <w:rPr>
          <w:rFonts w:cs="Tahoma"/>
          <w:sz w:val="22"/>
          <w:szCs w:val="22"/>
        </w:rPr>
        <w:t>za dodavatele</w:t>
      </w:r>
    </w:p>
    <w:sectPr w:rsidR="00A0181A" w:rsidRPr="00F441A6" w:rsidSect="002A1BEB">
      <w:headerReference w:type="default" r:id="rId10"/>
      <w:footerReference w:type="default" r:id="rId11"/>
      <w:pgSz w:w="11906" w:h="16838" w:code="9"/>
      <w:pgMar w:top="0" w:right="851" w:bottom="567" w:left="113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CF98" w14:textId="77777777" w:rsidR="00B24D25" w:rsidRDefault="00B24D25">
      <w:r>
        <w:separator/>
      </w:r>
    </w:p>
  </w:endnote>
  <w:endnote w:type="continuationSeparator" w:id="0">
    <w:p w14:paraId="6627DBFD" w14:textId="77777777" w:rsidR="00B24D25" w:rsidRDefault="00B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34" w:type="dxa"/>
      <w:tblBorders>
        <w:top w:val="single" w:sz="6" w:space="0" w:color="808080"/>
        <w:insideV w:val="dotted" w:sz="4" w:space="0" w:color="999999"/>
      </w:tblBorders>
      <w:tblLook w:val="01E0" w:firstRow="1" w:lastRow="1" w:firstColumn="1" w:lastColumn="1" w:noHBand="0" w:noVBand="0"/>
    </w:tblPr>
    <w:tblGrid>
      <w:gridCol w:w="10207"/>
    </w:tblGrid>
    <w:tr w:rsidR="00405C6B" w:rsidRPr="00E94A84" w14:paraId="6AE0AA10" w14:textId="77777777" w:rsidTr="00E94A84">
      <w:tc>
        <w:tcPr>
          <w:tcW w:w="10207" w:type="dxa"/>
          <w:tcBorders>
            <w:top w:val="nil"/>
            <w:bottom w:val="single" w:sz="6" w:space="0" w:color="808080"/>
          </w:tcBorders>
        </w:tcPr>
        <w:p w14:paraId="4172C447" w14:textId="77777777" w:rsidR="00405C6B" w:rsidRPr="0009427F" w:rsidRDefault="00405C6B" w:rsidP="0002156E">
          <w:pPr>
            <w:pStyle w:val="Zpat"/>
            <w:jc w:val="right"/>
            <w:rPr>
              <w:rFonts w:ascii="Calibri" w:hAnsi="Calibri"/>
              <w:b/>
              <w:sz w:val="20"/>
            </w:rPr>
          </w:pPr>
          <w:r w:rsidRPr="0009427F">
            <w:rPr>
              <w:rFonts w:ascii="Calibri" w:hAnsi="Calibri"/>
              <w:b/>
              <w:sz w:val="20"/>
            </w:rPr>
            <w:t xml:space="preserve">Strana </w:t>
          </w:r>
          <w:r w:rsidR="00D4616C" w:rsidRPr="0009427F">
            <w:rPr>
              <w:rFonts w:ascii="Calibri" w:hAnsi="Calibri"/>
              <w:b/>
              <w:sz w:val="20"/>
            </w:rPr>
            <w:fldChar w:fldCharType="begin"/>
          </w:r>
          <w:r w:rsidRPr="0009427F">
            <w:rPr>
              <w:rFonts w:ascii="Calibri" w:hAnsi="Calibri"/>
              <w:b/>
              <w:sz w:val="20"/>
            </w:rPr>
            <w:instrText xml:space="preserve"> PAGE </w:instrText>
          </w:r>
          <w:r w:rsidR="00D4616C" w:rsidRPr="0009427F">
            <w:rPr>
              <w:rFonts w:ascii="Calibri" w:hAnsi="Calibri"/>
              <w:b/>
              <w:sz w:val="20"/>
            </w:rPr>
            <w:fldChar w:fldCharType="separate"/>
          </w:r>
          <w:r w:rsidR="00EE31B5">
            <w:rPr>
              <w:rFonts w:ascii="Calibri" w:hAnsi="Calibri"/>
              <w:b/>
              <w:noProof/>
              <w:sz w:val="20"/>
            </w:rPr>
            <w:t>8</w:t>
          </w:r>
          <w:r w:rsidR="00D4616C" w:rsidRPr="0009427F">
            <w:rPr>
              <w:rFonts w:ascii="Calibri" w:hAnsi="Calibri"/>
              <w:b/>
              <w:sz w:val="20"/>
            </w:rPr>
            <w:fldChar w:fldCharType="end"/>
          </w:r>
          <w:r w:rsidRPr="0009427F">
            <w:rPr>
              <w:rFonts w:ascii="Calibri" w:hAnsi="Calibri"/>
              <w:b/>
              <w:sz w:val="20"/>
            </w:rPr>
            <w:t xml:space="preserve"> </w:t>
          </w:r>
          <w:r w:rsidRPr="0009427F">
            <w:rPr>
              <w:rFonts w:ascii="Calibri" w:hAnsi="Calibri"/>
              <w:sz w:val="20"/>
            </w:rPr>
            <w:t xml:space="preserve">z </w:t>
          </w:r>
          <w:r w:rsidR="00D4616C" w:rsidRPr="0009427F">
            <w:rPr>
              <w:rFonts w:ascii="Calibri" w:hAnsi="Calibri"/>
              <w:sz w:val="20"/>
            </w:rPr>
            <w:fldChar w:fldCharType="begin"/>
          </w:r>
          <w:r w:rsidRPr="0009427F">
            <w:rPr>
              <w:rFonts w:ascii="Calibri" w:hAnsi="Calibri"/>
              <w:sz w:val="20"/>
            </w:rPr>
            <w:instrText xml:space="preserve"> NUMPAGES </w:instrText>
          </w:r>
          <w:r w:rsidR="00D4616C" w:rsidRPr="0009427F">
            <w:rPr>
              <w:rFonts w:ascii="Calibri" w:hAnsi="Calibri"/>
              <w:sz w:val="20"/>
            </w:rPr>
            <w:fldChar w:fldCharType="separate"/>
          </w:r>
          <w:r w:rsidR="00EE31B5">
            <w:rPr>
              <w:rFonts w:ascii="Calibri" w:hAnsi="Calibri"/>
              <w:noProof/>
              <w:sz w:val="20"/>
            </w:rPr>
            <w:t>8</w:t>
          </w:r>
          <w:r w:rsidR="00D4616C" w:rsidRPr="0009427F">
            <w:rPr>
              <w:rFonts w:ascii="Calibri" w:hAnsi="Calibri"/>
              <w:sz w:val="20"/>
            </w:rPr>
            <w:fldChar w:fldCharType="end"/>
          </w:r>
        </w:p>
      </w:tc>
    </w:tr>
    <w:tr w:rsidR="00405C6B" w:rsidRPr="00E73539" w14:paraId="537AD830" w14:textId="77777777" w:rsidTr="00E94A84">
      <w:tc>
        <w:tcPr>
          <w:tcW w:w="10207" w:type="dxa"/>
          <w:tcBorders>
            <w:top w:val="single" w:sz="6" w:space="0" w:color="808080"/>
          </w:tcBorders>
          <w:vAlign w:val="center"/>
        </w:tcPr>
        <w:p w14:paraId="47E91296" w14:textId="77777777" w:rsidR="00405C6B" w:rsidRPr="0009427F" w:rsidRDefault="00405C6B" w:rsidP="0002156E">
          <w:pPr>
            <w:pStyle w:val="Zpat"/>
            <w:rPr>
              <w:rFonts w:ascii="Calibri" w:hAnsi="Calibri"/>
              <w:sz w:val="16"/>
              <w:szCs w:val="16"/>
            </w:rPr>
          </w:pPr>
        </w:p>
      </w:tc>
    </w:tr>
  </w:tbl>
  <w:p w14:paraId="2AC47F28" w14:textId="77777777" w:rsidR="00405C6B" w:rsidRPr="0002156E" w:rsidRDefault="00405C6B" w:rsidP="0002156E">
    <w:pPr>
      <w:pStyle w:val="Zpat"/>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F46C5" w14:textId="77777777" w:rsidR="00B24D25" w:rsidRDefault="00B24D25">
      <w:r>
        <w:separator/>
      </w:r>
    </w:p>
  </w:footnote>
  <w:footnote w:type="continuationSeparator" w:id="0">
    <w:p w14:paraId="4BCBFE75" w14:textId="77777777" w:rsidR="00B24D25" w:rsidRDefault="00B2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3" w:type="dxa"/>
      <w:tblInd w:w="-72" w:type="dxa"/>
      <w:tblLook w:val="01E0" w:firstRow="1" w:lastRow="1" w:firstColumn="1" w:lastColumn="1" w:noHBand="0" w:noVBand="0"/>
    </w:tblPr>
    <w:tblGrid>
      <w:gridCol w:w="1598"/>
      <w:gridCol w:w="7261"/>
      <w:gridCol w:w="1244"/>
    </w:tblGrid>
    <w:tr w:rsidR="00405C6B" w14:paraId="22729912" w14:textId="77777777" w:rsidTr="00B330E6">
      <w:trPr>
        <w:cantSplit/>
        <w:trHeight w:val="567"/>
      </w:trPr>
      <w:tc>
        <w:tcPr>
          <w:tcW w:w="1598" w:type="dxa"/>
          <w:vMerge w:val="restart"/>
          <w:vAlign w:val="center"/>
        </w:tcPr>
        <w:p w14:paraId="117168C8" w14:textId="77777777" w:rsidR="00405C6B" w:rsidRPr="00A05AB6" w:rsidRDefault="00405C6B" w:rsidP="00B330E6">
          <w:pPr>
            <w:pStyle w:val="Zhlav"/>
          </w:pPr>
        </w:p>
      </w:tc>
      <w:tc>
        <w:tcPr>
          <w:tcW w:w="7261" w:type="dxa"/>
          <w:vAlign w:val="bottom"/>
        </w:tcPr>
        <w:p w14:paraId="46CD71BC" w14:textId="77777777" w:rsidR="00405C6B" w:rsidRPr="00900756" w:rsidRDefault="00405C6B" w:rsidP="00B330E6">
          <w:pPr>
            <w:pStyle w:val="Zhlav"/>
            <w:jc w:val="right"/>
            <w:rPr>
              <w:rFonts w:ascii="Tahoma" w:hAnsi="Tahoma" w:cs="Tahoma"/>
              <w:b/>
              <w:color w:val="333399"/>
              <w:sz w:val="22"/>
              <w:szCs w:val="22"/>
            </w:rPr>
          </w:pPr>
          <w:r w:rsidRPr="00900756">
            <w:rPr>
              <w:rFonts w:ascii="Tahoma" w:hAnsi="Tahoma" w:cs="Tahoma"/>
              <w:b/>
              <w:color w:val="333399"/>
              <w:sz w:val="24"/>
              <w:szCs w:val="24"/>
            </w:rPr>
            <w:t>SMLOUV</w:t>
          </w:r>
          <w:r>
            <w:rPr>
              <w:rFonts w:ascii="Tahoma" w:hAnsi="Tahoma" w:cs="Tahoma"/>
              <w:b/>
              <w:color w:val="333399"/>
              <w:sz w:val="24"/>
              <w:szCs w:val="24"/>
            </w:rPr>
            <w:t>A</w:t>
          </w:r>
          <w:r w:rsidRPr="00900756">
            <w:rPr>
              <w:rFonts w:ascii="Tahoma" w:hAnsi="Tahoma" w:cs="Tahoma"/>
              <w:b/>
              <w:color w:val="333399"/>
              <w:sz w:val="24"/>
              <w:szCs w:val="24"/>
            </w:rPr>
            <w:t xml:space="preserve"> O POSKYTOVÁNÍ SLUŽEB </w:t>
          </w:r>
        </w:p>
      </w:tc>
      <w:tc>
        <w:tcPr>
          <w:tcW w:w="1244" w:type="dxa"/>
          <w:vAlign w:val="bottom"/>
        </w:tcPr>
        <w:p w14:paraId="52911229" w14:textId="77777777" w:rsidR="00405C6B" w:rsidRPr="00900756" w:rsidRDefault="00405C6B" w:rsidP="00B330E6">
          <w:pPr>
            <w:pStyle w:val="Zhlav"/>
            <w:jc w:val="right"/>
            <w:rPr>
              <w:rFonts w:ascii="Tahoma" w:hAnsi="Tahoma" w:cs="Tahoma"/>
              <w:b/>
              <w:color w:val="333399"/>
              <w:sz w:val="24"/>
              <w:szCs w:val="24"/>
            </w:rPr>
          </w:pPr>
        </w:p>
      </w:tc>
    </w:tr>
    <w:tr w:rsidR="00405C6B" w14:paraId="4F2D1379" w14:textId="77777777" w:rsidTr="00B330E6">
      <w:trPr>
        <w:cantSplit/>
        <w:trHeight w:val="146"/>
      </w:trPr>
      <w:tc>
        <w:tcPr>
          <w:tcW w:w="1598" w:type="dxa"/>
          <w:vMerge/>
          <w:vAlign w:val="center"/>
        </w:tcPr>
        <w:p w14:paraId="216709C7" w14:textId="77777777" w:rsidR="00405C6B" w:rsidRDefault="00405C6B" w:rsidP="00B330E6">
          <w:pPr>
            <w:pStyle w:val="Zhlav"/>
          </w:pPr>
        </w:p>
      </w:tc>
      <w:tc>
        <w:tcPr>
          <w:tcW w:w="8505" w:type="dxa"/>
          <w:gridSpan w:val="2"/>
          <w:shd w:val="clear" w:color="auto" w:fill="D9D9D9"/>
          <w:vAlign w:val="bottom"/>
        </w:tcPr>
        <w:p w14:paraId="08EEE0A7" w14:textId="5A516B3F" w:rsidR="00405C6B" w:rsidRPr="00964F2F" w:rsidRDefault="00405C6B" w:rsidP="00D67F4E">
          <w:pPr>
            <w:jc w:val="right"/>
            <w:rPr>
              <w:color w:val="FF0000"/>
              <w:szCs w:val="18"/>
            </w:rPr>
          </w:pPr>
          <w:r w:rsidRPr="00964F2F">
            <w:rPr>
              <w:color w:val="FF0000"/>
              <w:szCs w:val="18"/>
            </w:rPr>
            <w:t xml:space="preserve">v souladu s § </w:t>
          </w:r>
          <w:r w:rsidR="00D67F4E">
            <w:rPr>
              <w:color w:val="FF0000"/>
              <w:szCs w:val="18"/>
            </w:rPr>
            <w:t xml:space="preserve">1746 </w:t>
          </w:r>
          <w:r w:rsidRPr="00964F2F">
            <w:rPr>
              <w:color w:val="FF0000"/>
              <w:szCs w:val="18"/>
            </w:rPr>
            <w:t xml:space="preserve">odst. 2 zákona č. </w:t>
          </w:r>
          <w:r w:rsidR="00D67F4E">
            <w:rPr>
              <w:color w:val="FF0000"/>
              <w:szCs w:val="18"/>
            </w:rPr>
            <w:t>89/2012</w:t>
          </w:r>
          <w:r w:rsidRPr="00964F2F">
            <w:rPr>
              <w:color w:val="FF0000"/>
              <w:szCs w:val="18"/>
            </w:rPr>
            <w:t xml:space="preserve"> Sb., </w:t>
          </w:r>
          <w:r w:rsidR="00D67F4E">
            <w:rPr>
              <w:color w:val="FF0000"/>
              <w:szCs w:val="18"/>
            </w:rPr>
            <w:t>občanský</w:t>
          </w:r>
          <w:r w:rsidR="00D67F4E" w:rsidRPr="00964F2F">
            <w:rPr>
              <w:color w:val="FF0000"/>
              <w:szCs w:val="18"/>
            </w:rPr>
            <w:t xml:space="preserve"> </w:t>
          </w:r>
          <w:r w:rsidRPr="00964F2F">
            <w:rPr>
              <w:color w:val="FF0000"/>
              <w:szCs w:val="18"/>
            </w:rPr>
            <w:t xml:space="preserve">zákoník v platném znění </w:t>
          </w:r>
        </w:p>
      </w:tc>
    </w:tr>
  </w:tbl>
  <w:p w14:paraId="0F50FAA0" w14:textId="77777777" w:rsidR="00405C6B" w:rsidRPr="0002156E" w:rsidRDefault="00405C6B" w:rsidP="0002156E">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83"/>
    <w:multiLevelType w:val="hybridMultilevel"/>
    <w:tmpl w:val="1D5CC3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C211FF"/>
    <w:multiLevelType w:val="hybridMultilevel"/>
    <w:tmpl w:val="333CE45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9471EB8"/>
    <w:multiLevelType w:val="multilevel"/>
    <w:tmpl w:val="0FB03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3591E"/>
    <w:multiLevelType w:val="hybridMultilevel"/>
    <w:tmpl w:val="2E24642E"/>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16450C70"/>
    <w:multiLevelType w:val="multilevel"/>
    <w:tmpl w:val="5F96971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strike w:val="0"/>
      </w:rPr>
    </w:lvl>
    <w:lvl w:ilvl="2">
      <w:start w:val="1"/>
      <w:numFmt w:val="decimal"/>
      <w:pStyle w:val="Nadpis3"/>
      <w:lvlText w:val="%1.%2.%3"/>
      <w:lvlJc w:val="left"/>
      <w:pPr>
        <w:tabs>
          <w:tab w:val="num" w:pos="1004"/>
        </w:tabs>
        <w:ind w:left="1004"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1A392C2C"/>
    <w:multiLevelType w:val="multilevel"/>
    <w:tmpl w:val="D8D29DE6"/>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ADD4C71"/>
    <w:multiLevelType w:val="hybridMultilevel"/>
    <w:tmpl w:val="B156CC02"/>
    <w:lvl w:ilvl="0" w:tplc="578049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462FBA"/>
    <w:multiLevelType w:val="hybridMultilevel"/>
    <w:tmpl w:val="6AE67FE4"/>
    <w:lvl w:ilvl="0" w:tplc="04050017">
      <w:start w:val="1"/>
      <w:numFmt w:val="lowerLetter"/>
      <w:lvlText w:val="%1)"/>
      <w:lvlJc w:val="left"/>
      <w:pPr>
        <w:ind w:left="720" w:hanging="360"/>
      </w:pPr>
      <w:rPr>
        <w:rFonts w:hint="default"/>
      </w:rPr>
    </w:lvl>
    <w:lvl w:ilvl="1" w:tplc="058AD0A6">
      <w:start w:val="120"/>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608E8"/>
    <w:multiLevelType w:val="hybridMultilevel"/>
    <w:tmpl w:val="CC56B656"/>
    <w:lvl w:ilvl="0" w:tplc="9C60905C">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FE66B1"/>
    <w:multiLevelType w:val="hybridMultilevel"/>
    <w:tmpl w:val="C8EA3A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D916FA3"/>
    <w:multiLevelType w:val="hybridMultilevel"/>
    <w:tmpl w:val="5FCCB194"/>
    <w:lvl w:ilvl="0" w:tplc="5780495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B7B7A"/>
    <w:multiLevelType w:val="hybridMultilevel"/>
    <w:tmpl w:val="B1B4C780"/>
    <w:lvl w:ilvl="0" w:tplc="38880204">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3"/>
  </w:num>
  <w:num w:numId="5">
    <w:abstractNumId w:val="2"/>
  </w:num>
  <w:num w:numId="6">
    <w:abstractNumId w:val="4"/>
  </w:num>
  <w:num w:numId="7">
    <w:abstractNumId w:val="9"/>
  </w:num>
  <w:num w:numId="8">
    <w:abstractNumId w:val="0"/>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4"/>
  </w:num>
  <w:num w:numId="17">
    <w:abstractNumId w:val="4"/>
  </w:num>
  <w:num w:numId="18">
    <w:abstractNumId w:val="5"/>
  </w:num>
  <w:num w:numId="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85"/>
    <w:rsid w:val="0002156E"/>
    <w:rsid w:val="00025D3C"/>
    <w:rsid w:val="00027F68"/>
    <w:rsid w:val="000309C9"/>
    <w:rsid w:val="00034F5E"/>
    <w:rsid w:val="0003631E"/>
    <w:rsid w:val="0004095B"/>
    <w:rsid w:val="000424BC"/>
    <w:rsid w:val="000478D0"/>
    <w:rsid w:val="000524AE"/>
    <w:rsid w:val="00052CCB"/>
    <w:rsid w:val="0006119A"/>
    <w:rsid w:val="0006282B"/>
    <w:rsid w:val="00062B3A"/>
    <w:rsid w:val="00063564"/>
    <w:rsid w:val="00071174"/>
    <w:rsid w:val="000761C7"/>
    <w:rsid w:val="0009427F"/>
    <w:rsid w:val="0009555D"/>
    <w:rsid w:val="000A31DF"/>
    <w:rsid w:val="000A6EA0"/>
    <w:rsid w:val="000B71C7"/>
    <w:rsid w:val="000C3005"/>
    <w:rsid w:val="000E051C"/>
    <w:rsid w:val="000E1AF1"/>
    <w:rsid w:val="000E3229"/>
    <w:rsid w:val="000E60EF"/>
    <w:rsid w:val="000F1BE2"/>
    <w:rsid w:val="00100F76"/>
    <w:rsid w:val="00102370"/>
    <w:rsid w:val="00105B3D"/>
    <w:rsid w:val="0012119A"/>
    <w:rsid w:val="0012588C"/>
    <w:rsid w:val="001521D5"/>
    <w:rsid w:val="0015527D"/>
    <w:rsid w:val="0018456A"/>
    <w:rsid w:val="00190B93"/>
    <w:rsid w:val="00191813"/>
    <w:rsid w:val="00191EB0"/>
    <w:rsid w:val="001A214D"/>
    <w:rsid w:val="001B3A29"/>
    <w:rsid w:val="001D0AAF"/>
    <w:rsid w:val="001D7EED"/>
    <w:rsid w:val="001E44ED"/>
    <w:rsid w:val="001E5576"/>
    <w:rsid w:val="001F2591"/>
    <w:rsid w:val="00212F4A"/>
    <w:rsid w:val="00247121"/>
    <w:rsid w:val="0025400B"/>
    <w:rsid w:val="00256DB3"/>
    <w:rsid w:val="00271BFC"/>
    <w:rsid w:val="00277418"/>
    <w:rsid w:val="00281C10"/>
    <w:rsid w:val="002852AB"/>
    <w:rsid w:val="002915A7"/>
    <w:rsid w:val="0029738E"/>
    <w:rsid w:val="002A1BEB"/>
    <w:rsid w:val="002B2133"/>
    <w:rsid w:val="002C1252"/>
    <w:rsid w:val="002C31E2"/>
    <w:rsid w:val="002C5C72"/>
    <w:rsid w:val="002D410B"/>
    <w:rsid w:val="002D4EEC"/>
    <w:rsid w:val="002D50F7"/>
    <w:rsid w:val="002E3AD1"/>
    <w:rsid w:val="002E63D3"/>
    <w:rsid w:val="002F7A61"/>
    <w:rsid w:val="00314E80"/>
    <w:rsid w:val="003176FE"/>
    <w:rsid w:val="0031771A"/>
    <w:rsid w:val="00317B41"/>
    <w:rsid w:val="0032099C"/>
    <w:rsid w:val="00325C9D"/>
    <w:rsid w:val="0032737C"/>
    <w:rsid w:val="00327436"/>
    <w:rsid w:val="003360F3"/>
    <w:rsid w:val="003414ED"/>
    <w:rsid w:val="003427E6"/>
    <w:rsid w:val="00345D90"/>
    <w:rsid w:val="0035307D"/>
    <w:rsid w:val="00360A5E"/>
    <w:rsid w:val="00361D13"/>
    <w:rsid w:val="003630DC"/>
    <w:rsid w:val="00364EEE"/>
    <w:rsid w:val="00384955"/>
    <w:rsid w:val="003A7C90"/>
    <w:rsid w:val="003B2E24"/>
    <w:rsid w:val="003B4057"/>
    <w:rsid w:val="003B555C"/>
    <w:rsid w:val="003E7158"/>
    <w:rsid w:val="003F3514"/>
    <w:rsid w:val="003F391C"/>
    <w:rsid w:val="00402311"/>
    <w:rsid w:val="00405C6B"/>
    <w:rsid w:val="00406F16"/>
    <w:rsid w:val="00415577"/>
    <w:rsid w:val="004221E2"/>
    <w:rsid w:val="00424299"/>
    <w:rsid w:val="00426B8F"/>
    <w:rsid w:val="00430834"/>
    <w:rsid w:val="00441467"/>
    <w:rsid w:val="0045317C"/>
    <w:rsid w:val="00463C05"/>
    <w:rsid w:val="00475948"/>
    <w:rsid w:val="00475F59"/>
    <w:rsid w:val="00494D1B"/>
    <w:rsid w:val="004A279C"/>
    <w:rsid w:val="004A3974"/>
    <w:rsid w:val="004D1CDA"/>
    <w:rsid w:val="004D36DA"/>
    <w:rsid w:val="004E6572"/>
    <w:rsid w:val="004F2DD8"/>
    <w:rsid w:val="00504453"/>
    <w:rsid w:val="00511E0F"/>
    <w:rsid w:val="00520DAE"/>
    <w:rsid w:val="00523474"/>
    <w:rsid w:val="00530DC5"/>
    <w:rsid w:val="00532366"/>
    <w:rsid w:val="00534D95"/>
    <w:rsid w:val="005412AD"/>
    <w:rsid w:val="00543817"/>
    <w:rsid w:val="00552DC8"/>
    <w:rsid w:val="00560826"/>
    <w:rsid w:val="005619D8"/>
    <w:rsid w:val="00567E13"/>
    <w:rsid w:val="00572AE7"/>
    <w:rsid w:val="00577FA0"/>
    <w:rsid w:val="00584B03"/>
    <w:rsid w:val="005A266F"/>
    <w:rsid w:val="005A4A25"/>
    <w:rsid w:val="005B292C"/>
    <w:rsid w:val="005B3EE7"/>
    <w:rsid w:val="005B525B"/>
    <w:rsid w:val="005C2F2C"/>
    <w:rsid w:val="005D4930"/>
    <w:rsid w:val="005E6937"/>
    <w:rsid w:val="006037E8"/>
    <w:rsid w:val="0060429B"/>
    <w:rsid w:val="0060478F"/>
    <w:rsid w:val="00614403"/>
    <w:rsid w:val="00621317"/>
    <w:rsid w:val="00645666"/>
    <w:rsid w:val="006469C8"/>
    <w:rsid w:val="00661530"/>
    <w:rsid w:val="00665B6E"/>
    <w:rsid w:val="006672A2"/>
    <w:rsid w:val="00693CEB"/>
    <w:rsid w:val="00696AB9"/>
    <w:rsid w:val="006A0C12"/>
    <w:rsid w:val="006A46B1"/>
    <w:rsid w:val="006B2A7E"/>
    <w:rsid w:val="006C3018"/>
    <w:rsid w:val="006C4BA0"/>
    <w:rsid w:val="006D232B"/>
    <w:rsid w:val="006D29F3"/>
    <w:rsid w:val="006E4815"/>
    <w:rsid w:val="006F5DAD"/>
    <w:rsid w:val="006F6122"/>
    <w:rsid w:val="00703687"/>
    <w:rsid w:val="00703A73"/>
    <w:rsid w:val="00703AB3"/>
    <w:rsid w:val="00704AC8"/>
    <w:rsid w:val="00705F85"/>
    <w:rsid w:val="00710FA2"/>
    <w:rsid w:val="00716FCD"/>
    <w:rsid w:val="0072100C"/>
    <w:rsid w:val="007230F2"/>
    <w:rsid w:val="00733B27"/>
    <w:rsid w:val="0073503F"/>
    <w:rsid w:val="00742AF2"/>
    <w:rsid w:val="0075133F"/>
    <w:rsid w:val="007521D0"/>
    <w:rsid w:val="0076421D"/>
    <w:rsid w:val="00764576"/>
    <w:rsid w:val="00767FD3"/>
    <w:rsid w:val="00775D8C"/>
    <w:rsid w:val="00777620"/>
    <w:rsid w:val="0079134D"/>
    <w:rsid w:val="0079433A"/>
    <w:rsid w:val="00794345"/>
    <w:rsid w:val="00794D7F"/>
    <w:rsid w:val="007A48EC"/>
    <w:rsid w:val="007B0EFA"/>
    <w:rsid w:val="007C19AF"/>
    <w:rsid w:val="007C30C8"/>
    <w:rsid w:val="007C6732"/>
    <w:rsid w:val="007E287A"/>
    <w:rsid w:val="007F1FC8"/>
    <w:rsid w:val="007F382F"/>
    <w:rsid w:val="007F38A9"/>
    <w:rsid w:val="0080010B"/>
    <w:rsid w:val="008009F0"/>
    <w:rsid w:val="00802E20"/>
    <w:rsid w:val="0080367F"/>
    <w:rsid w:val="0080474E"/>
    <w:rsid w:val="008065A9"/>
    <w:rsid w:val="00812770"/>
    <w:rsid w:val="0081339D"/>
    <w:rsid w:val="00814C91"/>
    <w:rsid w:val="00815DD4"/>
    <w:rsid w:val="008200B6"/>
    <w:rsid w:val="008212B1"/>
    <w:rsid w:val="008251A4"/>
    <w:rsid w:val="008403F3"/>
    <w:rsid w:val="00841E9D"/>
    <w:rsid w:val="0084354C"/>
    <w:rsid w:val="00845E78"/>
    <w:rsid w:val="00846AE2"/>
    <w:rsid w:val="00850F13"/>
    <w:rsid w:val="00864132"/>
    <w:rsid w:val="008676D6"/>
    <w:rsid w:val="00867D3B"/>
    <w:rsid w:val="008737FF"/>
    <w:rsid w:val="008776CB"/>
    <w:rsid w:val="008A20FA"/>
    <w:rsid w:val="008A2593"/>
    <w:rsid w:val="008A2854"/>
    <w:rsid w:val="008A5DD3"/>
    <w:rsid w:val="008B1FF6"/>
    <w:rsid w:val="008C029D"/>
    <w:rsid w:val="008E0D32"/>
    <w:rsid w:val="008E12C1"/>
    <w:rsid w:val="008E1DAC"/>
    <w:rsid w:val="008E31E7"/>
    <w:rsid w:val="008F0D17"/>
    <w:rsid w:val="008F588A"/>
    <w:rsid w:val="008F5BD4"/>
    <w:rsid w:val="00900756"/>
    <w:rsid w:val="00901F0E"/>
    <w:rsid w:val="009023CF"/>
    <w:rsid w:val="00902AA4"/>
    <w:rsid w:val="0090418F"/>
    <w:rsid w:val="00922784"/>
    <w:rsid w:val="009249EE"/>
    <w:rsid w:val="009413CE"/>
    <w:rsid w:val="00956366"/>
    <w:rsid w:val="00962EA5"/>
    <w:rsid w:val="00964F2F"/>
    <w:rsid w:val="00972520"/>
    <w:rsid w:val="00976C95"/>
    <w:rsid w:val="00981FED"/>
    <w:rsid w:val="0099100F"/>
    <w:rsid w:val="00991552"/>
    <w:rsid w:val="009969ED"/>
    <w:rsid w:val="009A4195"/>
    <w:rsid w:val="009A5C30"/>
    <w:rsid w:val="009C48DE"/>
    <w:rsid w:val="009C5A18"/>
    <w:rsid w:val="009D0112"/>
    <w:rsid w:val="009D0294"/>
    <w:rsid w:val="009D04C8"/>
    <w:rsid w:val="009D6721"/>
    <w:rsid w:val="009F06E4"/>
    <w:rsid w:val="009F55D2"/>
    <w:rsid w:val="009F6F84"/>
    <w:rsid w:val="00A0181A"/>
    <w:rsid w:val="00A06812"/>
    <w:rsid w:val="00A11793"/>
    <w:rsid w:val="00A15A60"/>
    <w:rsid w:val="00A17CA4"/>
    <w:rsid w:val="00A2234E"/>
    <w:rsid w:val="00A30E9C"/>
    <w:rsid w:val="00A46DCD"/>
    <w:rsid w:val="00A524CC"/>
    <w:rsid w:val="00A6466E"/>
    <w:rsid w:val="00A81567"/>
    <w:rsid w:val="00A84235"/>
    <w:rsid w:val="00A920E9"/>
    <w:rsid w:val="00AB248C"/>
    <w:rsid w:val="00AB3779"/>
    <w:rsid w:val="00AD1254"/>
    <w:rsid w:val="00AE1D2E"/>
    <w:rsid w:val="00AE7200"/>
    <w:rsid w:val="00B07E2A"/>
    <w:rsid w:val="00B13389"/>
    <w:rsid w:val="00B14EFA"/>
    <w:rsid w:val="00B24D25"/>
    <w:rsid w:val="00B25E36"/>
    <w:rsid w:val="00B330E6"/>
    <w:rsid w:val="00B43CCD"/>
    <w:rsid w:val="00B449B8"/>
    <w:rsid w:val="00B57221"/>
    <w:rsid w:val="00B71BC1"/>
    <w:rsid w:val="00B75A63"/>
    <w:rsid w:val="00B76EBA"/>
    <w:rsid w:val="00B771E2"/>
    <w:rsid w:val="00B84065"/>
    <w:rsid w:val="00BB0FAF"/>
    <w:rsid w:val="00C14D82"/>
    <w:rsid w:val="00C2058C"/>
    <w:rsid w:val="00C26B43"/>
    <w:rsid w:val="00C30C24"/>
    <w:rsid w:val="00C4768F"/>
    <w:rsid w:val="00C6539A"/>
    <w:rsid w:val="00C77C97"/>
    <w:rsid w:val="00C90D4E"/>
    <w:rsid w:val="00CA08AF"/>
    <w:rsid w:val="00CA38AD"/>
    <w:rsid w:val="00CA40CE"/>
    <w:rsid w:val="00CA446E"/>
    <w:rsid w:val="00CA511E"/>
    <w:rsid w:val="00CD4E8C"/>
    <w:rsid w:val="00CE3566"/>
    <w:rsid w:val="00CF173B"/>
    <w:rsid w:val="00D03CB9"/>
    <w:rsid w:val="00D06893"/>
    <w:rsid w:val="00D11578"/>
    <w:rsid w:val="00D13557"/>
    <w:rsid w:val="00D15242"/>
    <w:rsid w:val="00D15AFF"/>
    <w:rsid w:val="00D160D1"/>
    <w:rsid w:val="00D21584"/>
    <w:rsid w:val="00D2656B"/>
    <w:rsid w:val="00D42109"/>
    <w:rsid w:val="00D4616C"/>
    <w:rsid w:val="00D6273A"/>
    <w:rsid w:val="00D6647A"/>
    <w:rsid w:val="00D67F4E"/>
    <w:rsid w:val="00D928BE"/>
    <w:rsid w:val="00D97963"/>
    <w:rsid w:val="00DA40F2"/>
    <w:rsid w:val="00DB1AF2"/>
    <w:rsid w:val="00DC0A10"/>
    <w:rsid w:val="00DC33B2"/>
    <w:rsid w:val="00DC48AB"/>
    <w:rsid w:val="00DE2CFD"/>
    <w:rsid w:val="00DE4133"/>
    <w:rsid w:val="00DE734E"/>
    <w:rsid w:val="00E00ED2"/>
    <w:rsid w:val="00E0224A"/>
    <w:rsid w:val="00E115AC"/>
    <w:rsid w:val="00E11BB8"/>
    <w:rsid w:val="00E224CE"/>
    <w:rsid w:val="00E348A5"/>
    <w:rsid w:val="00E34933"/>
    <w:rsid w:val="00E43D00"/>
    <w:rsid w:val="00E6795A"/>
    <w:rsid w:val="00E7112C"/>
    <w:rsid w:val="00E71143"/>
    <w:rsid w:val="00E731E3"/>
    <w:rsid w:val="00E81A2B"/>
    <w:rsid w:val="00E94A84"/>
    <w:rsid w:val="00EA400F"/>
    <w:rsid w:val="00EA5839"/>
    <w:rsid w:val="00EA6FEF"/>
    <w:rsid w:val="00EB6DFE"/>
    <w:rsid w:val="00ED0085"/>
    <w:rsid w:val="00ED0825"/>
    <w:rsid w:val="00ED16EE"/>
    <w:rsid w:val="00ED4822"/>
    <w:rsid w:val="00EE31B5"/>
    <w:rsid w:val="00EE50BF"/>
    <w:rsid w:val="00F04DC2"/>
    <w:rsid w:val="00F22EC9"/>
    <w:rsid w:val="00F27B5B"/>
    <w:rsid w:val="00F30914"/>
    <w:rsid w:val="00F41F0D"/>
    <w:rsid w:val="00F441A6"/>
    <w:rsid w:val="00F45975"/>
    <w:rsid w:val="00F4605B"/>
    <w:rsid w:val="00F616F5"/>
    <w:rsid w:val="00F65920"/>
    <w:rsid w:val="00F67C59"/>
    <w:rsid w:val="00F81401"/>
    <w:rsid w:val="00F8603A"/>
    <w:rsid w:val="00F90AEB"/>
    <w:rsid w:val="00F96477"/>
    <w:rsid w:val="00F97192"/>
    <w:rsid w:val="00F97486"/>
    <w:rsid w:val="00FA5C60"/>
    <w:rsid w:val="00FB3481"/>
    <w:rsid w:val="00FC198F"/>
    <w:rsid w:val="00FE34B1"/>
    <w:rsid w:val="00FE5C62"/>
    <w:rsid w:val="00FE7A48"/>
    <w:rsid w:val="00FF0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FB41E1"/>
  <w15:docId w15:val="{5F98FF7F-D947-40E1-A4F4-FA56EF60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00756"/>
    <w:pPr>
      <w:jc w:val="both"/>
    </w:pPr>
    <w:rPr>
      <w:rFonts w:ascii="Calibri" w:hAnsi="Calibri"/>
      <w:sz w:val="18"/>
    </w:rPr>
  </w:style>
  <w:style w:type="paragraph" w:styleId="Nadpis1">
    <w:name w:val="heading 1"/>
    <w:basedOn w:val="Normln"/>
    <w:next w:val="Normln"/>
    <w:link w:val="Nadpis1Char"/>
    <w:qFormat/>
    <w:rsid w:val="0018456A"/>
    <w:pPr>
      <w:keepNext/>
      <w:numPr>
        <w:numId w:val="6"/>
      </w:numPr>
      <w:spacing w:before="240" w:after="60" w:line="240" w:lineRule="atLeast"/>
      <w:outlineLvl w:val="0"/>
    </w:pPr>
    <w:rPr>
      <w:b/>
      <w:bCs/>
      <w:color w:val="000099"/>
      <w:kern w:val="32"/>
      <w:sz w:val="28"/>
      <w:szCs w:val="32"/>
    </w:rPr>
  </w:style>
  <w:style w:type="paragraph" w:styleId="Nadpis2">
    <w:name w:val="heading 2"/>
    <w:basedOn w:val="Normln"/>
    <w:next w:val="Normln"/>
    <w:qFormat/>
    <w:rsid w:val="00E11BB8"/>
    <w:pPr>
      <w:numPr>
        <w:ilvl w:val="1"/>
        <w:numId w:val="6"/>
      </w:numPr>
      <w:spacing w:after="60" w:line="240" w:lineRule="atLeast"/>
      <w:outlineLvl w:val="1"/>
    </w:pPr>
    <w:rPr>
      <w:sz w:val="22"/>
    </w:rPr>
  </w:style>
  <w:style w:type="paragraph" w:styleId="Nadpis3">
    <w:name w:val="heading 3"/>
    <w:basedOn w:val="Normln"/>
    <w:next w:val="Normln"/>
    <w:qFormat/>
    <w:rsid w:val="008B1FF6"/>
    <w:pPr>
      <w:keepNext/>
      <w:numPr>
        <w:ilvl w:val="2"/>
        <w:numId w:val="6"/>
      </w:numPr>
      <w:spacing w:after="60"/>
      <w:outlineLvl w:val="2"/>
    </w:pPr>
    <w:rPr>
      <w:rFonts w:cs="Arial"/>
      <w:bCs/>
      <w:sz w:val="22"/>
      <w:szCs w:val="26"/>
    </w:rPr>
  </w:style>
  <w:style w:type="paragraph" w:styleId="Nadpis4">
    <w:name w:val="heading 4"/>
    <w:basedOn w:val="Normln"/>
    <w:next w:val="Normln"/>
    <w:qFormat/>
    <w:rsid w:val="008A20FA"/>
    <w:pPr>
      <w:keepNext/>
      <w:numPr>
        <w:ilvl w:val="3"/>
        <w:numId w:val="6"/>
      </w:numPr>
      <w:spacing w:before="240"/>
      <w:outlineLvl w:val="3"/>
    </w:pPr>
    <w:rPr>
      <w:rFonts w:ascii="Times New Roman" w:hAnsi="Times New Roman"/>
      <w:b/>
      <w:bCs/>
      <w:sz w:val="28"/>
      <w:szCs w:val="28"/>
    </w:rPr>
  </w:style>
  <w:style w:type="paragraph" w:styleId="Nadpis5">
    <w:name w:val="heading 5"/>
    <w:basedOn w:val="Normln"/>
    <w:next w:val="Normln"/>
    <w:qFormat/>
    <w:rsid w:val="008A20FA"/>
    <w:pPr>
      <w:numPr>
        <w:ilvl w:val="4"/>
        <w:numId w:val="6"/>
      </w:numPr>
      <w:spacing w:before="240"/>
      <w:outlineLvl w:val="4"/>
    </w:pPr>
    <w:rPr>
      <w:b/>
      <w:bCs/>
      <w:i/>
      <w:iCs/>
      <w:sz w:val="26"/>
      <w:szCs w:val="26"/>
    </w:rPr>
  </w:style>
  <w:style w:type="paragraph" w:styleId="Nadpis6">
    <w:name w:val="heading 6"/>
    <w:basedOn w:val="Normln"/>
    <w:next w:val="Normln"/>
    <w:qFormat/>
    <w:rsid w:val="008A20FA"/>
    <w:pPr>
      <w:numPr>
        <w:ilvl w:val="5"/>
        <w:numId w:val="6"/>
      </w:numPr>
      <w:spacing w:before="240"/>
      <w:outlineLvl w:val="5"/>
    </w:pPr>
    <w:rPr>
      <w:rFonts w:ascii="Times New Roman" w:hAnsi="Times New Roman"/>
      <w:b/>
      <w:bCs/>
      <w:sz w:val="22"/>
      <w:szCs w:val="22"/>
    </w:rPr>
  </w:style>
  <w:style w:type="paragraph" w:styleId="Nadpis7">
    <w:name w:val="heading 7"/>
    <w:basedOn w:val="Normln"/>
    <w:next w:val="Normln"/>
    <w:qFormat/>
    <w:rsid w:val="008A20FA"/>
    <w:pPr>
      <w:numPr>
        <w:ilvl w:val="6"/>
        <w:numId w:val="6"/>
      </w:numPr>
      <w:spacing w:before="240"/>
      <w:outlineLvl w:val="6"/>
    </w:pPr>
    <w:rPr>
      <w:rFonts w:ascii="Times New Roman" w:hAnsi="Times New Roman"/>
      <w:sz w:val="24"/>
      <w:szCs w:val="24"/>
    </w:rPr>
  </w:style>
  <w:style w:type="paragraph" w:styleId="Nadpis8">
    <w:name w:val="heading 8"/>
    <w:basedOn w:val="Normln"/>
    <w:next w:val="Normln"/>
    <w:qFormat/>
    <w:rsid w:val="008A20FA"/>
    <w:pPr>
      <w:numPr>
        <w:ilvl w:val="7"/>
        <w:numId w:val="6"/>
      </w:numPr>
      <w:spacing w:before="240"/>
      <w:outlineLvl w:val="7"/>
    </w:pPr>
    <w:rPr>
      <w:rFonts w:ascii="Times New Roman" w:hAnsi="Times New Roman"/>
      <w:i/>
      <w:iCs/>
      <w:sz w:val="24"/>
      <w:szCs w:val="24"/>
    </w:rPr>
  </w:style>
  <w:style w:type="paragraph" w:styleId="Nadpis9">
    <w:name w:val="heading 9"/>
    <w:basedOn w:val="Normln"/>
    <w:next w:val="Normln"/>
    <w:qFormat/>
    <w:rsid w:val="008A20FA"/>
    <w:pPr>
      <w:numPr>
        <w:ilvl w:val="8"/>
        <w:numId w:val="6"/>
      </w:numPr>
      <w:spacing w:before="24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E051C"/>
    <w:rPr>
      <w:color w:val="0000FF"/>
      <w:u w:val="single"/>
    </w:rPr>
  </w:style>
  <w:style w:type="paragraph" w:styleId="Obsah1">
    <w:name w:val="toc 1"/>
    <w:basedOn w:val="Normln"/>
    <w:next w:val="Normln"/>
    <w:autoRedefine/>
    <w:semiHidden/>
    <w:rsid w:val="000E051C"/>
    <w:pPr>
      <w:spacing w:before="120"/>
      <w:jc w:val="left"/>
    </w:pPr>
    <w:rPr>
      <w:b/>
      <w:bCs/>
      <w:caps/>
    </w:rPr>
  </w:style>
  <w:style w:type="paragraph" w:styleId="Obsah2">
    <w:name w:val="toc 2"/>
    <w:basedOn w:val="Normln"/>
    <w:next w:val="Normln"/>
    <w:autoRedefine/>
    <w:semiHidden/>
    <w:rsid w:val="000E051C"/>
    <w:pPr>
      <w:spacing w:after="60"/>
      <w:ind w:left="198"/>
      <w:jc w:val="left"/>
    </w:pPr>
    <w:rPr>
      <w:smallCaps/>
    </w:rPr>
  </w:style>
  <w:style w:type="paragraph" w:styleId="Obsah3">
    <w:name w:val="toc 3"/>
    <w:basedOn w:val="Normln"/>
    <w:next w:val="Normln"/>
    <w:autoRedefine/>
    <w:semiHidden/>
    <w:rsid w:val="000E051C"/>
    <w:pPr>
      <w:ind w:left="403"/>
      <w:jc w:val="left"/>
    </w:pPr>
    <w:rPr>
      <w:i/>
      <w:iCs/>
    </w:rPr>
  </w:style>
  <w:style w:type="paragraph" w:styleId="Obsah4">
    <w:name w:val="toc 4"/>
    <w:basedOn w:val="Normln"/>
    <w:next w:val="Normln"/>
    <w:autoRedefine/>
    <w:semiHidden/>
    <w:rsid w:val="000E051C"/>
    <w:pPr>
      <w:ind w:left="600"/>
      <w:jc w:val="left"/>
    </w:pPr>
    <w:rPr>
      <w:rFonts w:ascii="Times New Roman" w:hAnsi="Times New Roman"/>
      <w:szCs w:val="21"/>
    </w:rPr>
  </w:style>
  <w:style w:type="paragraph" w:styleId="Obsah5">
    <w:name w:val="toc 5"/>
    <w:basedOn w:val="Normln"/>
    <w:next w:val="Normln"/>
    <w:autoRedefine/>
    <w:semiHidden/>
    <w:rsid w:val="000E051C"/>
    <w:pPr>
      <w:ind w:left="800"/>
      <w:jc w:val="left"/>
    </w:pPr>
    <w:rPr>
      <w:rFonts w:ascii="Times New Roman" w:hAnsi="Times New Roman"/>
      <w:szCs w:val="21"/>
    </w:rPr>
  </w:style>
  <w:style w:type="paragraph" w:styleId="Obsah6">
    <w:name w:val="toc 6"/>
    <w:basedOn w:val="Normln"/>
    <w:next w:val="Normln"/>
    <w:autoRedefine/>
    <w:semiHidden/>
    <w:rsid w:val="000E051C"/>
    <w:pPr>
      <w:ind w:left="1000"/>
      <w:jc w:val="left"/>
    </w:pPr>
    <w:rPr>
      <w:rFonts w:ascii="Times New Roman" w:hAnsi="Times New Roman"/>
      <w:szCs w:val="21"/>
    </w:rPr>
  </w:style>
  <w:style w:type="paragraph" w:styleId="Obsah7">
    <w:name w:val="toc 7"/>
    <w:basedOn w:val="Normln"/>
    <w:next w:val="Normln"/>
    <w:autoRedefine/>
    <w:semiHidden/>
    <w:rsid w:val="000E051C"/>
    <w:pPr>
      <w:ind w:left="1200"/>
      <w:jc w:val="left"/>
    </w:pPr>
    <w:rPr>
      <w:rFonts w:ascii="Times New Roman" w:hAnsi="Times New Roman"/>
      <w:szCs w:val="21"/>
    </w:rPr>
  </w:style>
  <w:style w:type="paragraph" w:styleId="Obsah8">
    <w:name w:val="toc 8"/>
    <w:basedOn w:val="Normln"/>
    <w:next w:val="Normln"/>
    <w:autoRedefine/>
    <w:semiHidden/>
    <w:rsid w:val="000E051C"/>
    <w:pPr>
      <w:ind w:left="1400"/>
      <w:jc w:val="left"/>
    </w:pPr>
    <w:rPr>
      <w:rFonts w:ascii="Times New Roman" w:hAnsi="Times New Roman"/>
      <w:szCs w:val="21"/>
    </w:rPr>
  </w:style>
  <w:style w:type="paragraph" w:styleId="Obsah9">
    <w:name w:val="toc 9"/>
    <w:basedOn w:val="Normln"/>
    <w:next w:val="Normln"/>
    <w:autoRedefine/>
    <w:semiHidden/>
    <w:rsid w:val="000E051C"/>
    <w:pPr>
      <w:ind w:left="1600"/>
      <w:jc w:val="left"/>
    </w:pPr>
    <w:rPr>
      <w:rFonts w:ascii="Times New Roman" w:hAnsi="Times New Roman"/>
      <w:szCs w:val="21"/>
    </w:rPr>
  </w:style>
  <w:style w:type="paragraph" w:styleId="Titulek">
    <w:name w:val="caption"/>
    <w:basedOn w:val="Normln"/>
    <w:next w:val="Normln"/>
    <w:qFormat/>
    <w:rsid w:val="000E051C"/>
    <w:pPr>
      <w:spacing w:before="1320"/>
      <w:jc w:val="center"/>
    </w:pPr>
    <w:rPr>
      <w:sz w:val="40"/>
    </w:rPr>
  </w:style>
  <w:style w:type="paragraph" w:styleId="Zhlav">
    <w:name w:val="header"/>
    <w:basedOn w:val="Normln"/>
    <w:rsid w:val="000E051C"/>
    <w:pPr>
      <w:tabs>
        <w:tab w:val="center" w:pos="4536"/>
        <w:tab w:val="right" w:pos="9072"/>
      </w:tabs>
    </w:pPr>
  </w:style>
  <w:style w:type="paragraph" w:styleId="Zpat">
    <w:name w:val="footer"/>
    <w:basedOn w:val="Normln"/>
    <w:link w:val="ZpatChar"/>
    <w:rsid w:val="000E051C"/>
    <w:pPr>
      <w:tabs>
        <w:tab w:val="center" w:pos="4536"/>
        <w:tab w:val="right" w:pos="9072"/>
      </w:tabs>
    </w:pPr>
    <w:rPr>
      <w:rFonts w:ascii="Tahoma" w:hAnsi="Tahoma"/>
    </w:rPr>
  </w:style>
  <w:style w:type="paragraph" w:styleId="Nzev">
    <w:name w:val="Title"/>
    <w:basedOn w:val="Normln"/>
    <w:qFormat/>
    <w:rsid w:val="000E051C"/>
    <w:pPr>
      <w:spacing w:after="600"/>
      <w:jc w:val="center"/>
    </w:pPr>
    <w:rPr>
      <w:b/>
      <w:bCs/>
      <w:spacing w:val="60"/>
      <w:szCs w:val="24"/>
    </w:rPr>
  </w:style>
  <w:style w:type="paragraph" w:styleId="Rozloendokumentu">
    <w:name w:val="Document Map"/>
    <w:basedOn w:val="Normln"/>
    <w:semiHidden/>
    <w:rsid w:val="006672A2"/>
    <w:pPr>
      <w:shd w:val="clear" w:color="auto" w:fill="000080"/>
    </w:pPr>
    <w:rPr>
      <w:rFonts w:ascii="Tahoma" w:hAnsi="Tahoma" w:cs="Tahoma"/>
    </w:rPr>
  </w:style>
  <w:style w:type="paragraph" w:customStyle="1" w:styleId="NZEVSOUBORU">
    <w:name w:val="NÁZEV SOUBORU"/>
    <w:basedOn w:val="Zhlav"/>
    <w:next w:val="Normln"/>
    <w:rsid w:val="008212B1"/>
    <w:pPr>
      <w:spacing w:before="10"/>
      <w:jc w:val="right"/>
    </w:pPr>
    <w:rPr>
      <w:rFonts w:ascii="Tahoma" w:hAnsi="Tahoma"/>
      <w:b/>
      <w:color w:val="000080"/>
      <w:sz w:val="28"/>
      <w:szCs w:val="28"/>
    </w:rPr>
  </w:style>
  <w:style w:type="table" w:styleId="Mkatabulky">
    <w:name w:val="Table Grid"/>
    <w:basedOn w:val="Normlntabulka"/>
    <w:rsid w:val="008212B1"/>
    <w:pPr>
      <w:spacing w:after="6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18456A"/>
    <w:rPr>
      <w:rFonts w:ascii="Calibri" w:hAnsi="Calibri"/>
      <w:b/>
      <w:bCs/>
      <w:color w:val="000099"/>
      <w:kern w:val="32"/>
      <w:sz w:val="28"/>
      <w:szCs w:val="32"/>
    </w:rPr>
  </w:style>
  <w:style w:type="paragraph" w:styleId="AdresaHTML">
    <w:name w:val="HTML Address"/>
    <w:basedOn w:val="Normln"/>
    <w:link w:val="AdresaHTMLChar"/>
    <w:uiPriority w:val="99"/>
    <w:unhideWhenUsed/>
    <w:rsid w:val="000E60EF"/>
    <w:pPr>
      <w:jc w:val="left"/>
    </w:pPr>
    <w:rPr>
      <w:rFonts w:ascii="Times New Roman" w:hAnsi="Times New Roman"/>
      <w:sz w:val="24"/>
      <w:szCs w:val="24"/>
    </w:rPr>
  </w:style>
  <w:style w:type="character" w:customStyle="1" w:styleId="AdresaHTMLChar">
    <w:name w:val="Adresa HTML Char"/>
    <w:link w:val="AdresaHTML"/>
    <w:uiPriority w:val="99"/>
    <w:rsid w:val="000E60EF"/>
    <w:rPr>
      <w:sz w:val="24"/>
      <w:szCs w:val="24"/>
    </w:rPr>
  </w:style>
  <w:style w:type="paragraph" w:styleId="Zkladntext">
    <w:name w:val="Body Text"/>
    <w:basedOn w:val="Normln"/>
    <w:link w:val="ZkladntextChar"/>
    <w:rsid w:val="00EB6DFE"/>
    <w:rPr>
      <w:rFonts w:ascii="Times New Roman" w:hAnsi="Times New Roman"/>
      <w:noProof/>
      <w:sz w:val="24"/>
      <w:lang w:val="en-US" w:eastAsia="en-US"/>
    </w:rPr>
  </w:style>
  <w:style w:type="character" w:customStyle="1" w:styleId="ZkladntextChar">
    <w:name w:val="Základní text Char"/>
    <w:link w:val="Zkladntext"/>
    <w:rsid w:val="00EB6DFE"/>
    <w:rPr>
      <w:noProof/>
      <w:sz w:val="24"/>
      <w:lang w:val="en-US" w:eastAsia="en-US"/>
    </w:rPr>
  </w:style>
  <w:style w:type="paragraph" w:customStyle="1" w:styleId="Standardnte">
    <w:name w:val="Standardní te"/>
    <w:basedOn w:val="Normln"/>
    <w:rsid w:val="00EB6DFE"/>
    <w:pPr>
      <w:jc w:val="left"/>
    </w:pPr>
    <w:rPr>
      <w:rFonts w:ascii="Times New Roman" w:hAnsi="Times New Roman"/>
      <w:noProof/>
      <w:color w:val="000000"/>
      <w:sz w:val="24"/>
      <w:lang w:val="en-US" w:eastAsia="en-US"/>
    </w:rPr>
  </w:style>
  <w:style w:type="character" w:styleId="slostrnky">
    <w:name w:val="page number"/>
    <w:basedOn w:val="Standardnpsmoodstavce"/>
    <w:rsid w:val="0002156E"/>
  </w:style>
  <w:style w:type="character" w:customStyle="1" w:styleId="ZpatChar">
    <w:name w:val="Zápatí Char"/>
    <w:link w:val="Zpat"/>
    <w:rsid w:val="0002156E"/>
    <w:rPr>
      <w:rFonts w:ascii="Tahoma" w:hAnsi="Tahoma"/>
      <w:sz w:val="18"/>
    </w:rPr>
  </w:style>
  <w:style w:type="character" w:styleId="Odkaznakoment">
    <w:name w:val="annotation reference"/>
    <w:rsid w:val="00665B6E"/>
    <w:rPr>
      <w:sz w:val="16"/>
      <w:szCs w:val="16"/>
    </w:rPr>
  </w:style>
  <w:style w:type="paragraph" w:styleId="Textkomente">
    <w:name w:val="annotation text"/>
    <w:basedOn w:val="Normln"/>
    <w:link w:val="TextkomenteChar"/>
    <w:rsid w:val="00665B6E"/>
    <w:rPr>
      <w:sz w:val="20"/>
    </w:rPr>
  </w:style>
  <w:style w:type="character" w:customStyle="1" w:styleId="TextkomenteChar">
    <w:name w:val="Text komentáře Char"/>
    <w:link w:val="Textkomente"/>
    <w:rsid w:val="00665B6E"/>
    <w:rPr>
      <w:rFonts w:ascii="Calibri" w:hAnsi="Calibri"/>
    </w:rPr>
  </w:style>
  <w:style w:type="paragraph" w:styleId="Pedmtkomente">
    <w:name w:val="annotation subject"/>
    <w:basedOn w:val="Textkomente"/>
    <w:next w:val="Textkomente"/>
    <w:link w:val="PedmtkomenteChar"/>
    <w:rsid w:val="00665B6E"/>
    <w:rPr>
      <w:b/>
      <w:bCs/>
    </w:rPr>
  </w:style>
  <w:style w:type="character" w:customStyle="1" w:styleId="PedmtkomenteChar">
    <w:name w:val="Předmět komentáře Char"/>
    <w:link w:val="Pedmtkomente"/>
    <w:rsid w:val="00665B6E"/>
    <w:rPr>
      <w:rFonts w:ascii="Calibri" w:hAnsi="Calibri"/>
      <w:b/>
      <w:bCs/>
    </w:rPr>
  </w:style>
  <w:style w:type="paragraph" w:styleId="Textbubliny">
    <w:name w:val="Balloon Text"/>
    <w:basedOn w:val="Normln"/>
    <w:link w:val="TextbublinyChar"/>
    <w:rsid w:val="00665B6E"/>
    <w:rPr>
      <w:rFonts w:ascii="Tahoma" w:hAnsi="Tahoma"/>
      <w:sz w:val="16"/>
      <w:szCs w:val="16"/>
    </w:rPr>
  </w:style>
  <w:style w:type="character" w:customStyle="1" w:styleId="TextbublinyChar">
    <w:name w:val="Text bubliny Char"/>
    <w:link w:val="Textbubliny"/>
    <w:rsid w:val="00665B6E"/>
    <w:rPr>
      <w:rFonts w:ascii="Tahoma" w:hAnsi="Tahoma" w:cs="Tahoma"/>
      <w:sz w:val="16"/>
      <w:szCs w:val="16"/>
    </w:rPr>
  </w:style>
  <w:style w:type="paragraph" w:styleId="Zkladntextodsazen2">
    <w:name w:val="Body Text Indent 2"/>
    <w:basedOn w:val="Normln"/>
    <w:link w:val="Zkladntextodsazen2Char"/>
    <w:rsid w:val="0006119A"/>
    <w:pPr>
      <w:spacing w:after="120" w:line="480" w:lineRule="auto"/>
      <w:ind w:left="283"/>
    </w:pPr>
  </w:style>
  <w:style w:type="character" w:customStyle="1" w:styleId="Zkladntextodsazen2Char">
    <w:name w:val="Základní text odsazený 2 Char"/>
    <w:link w:val="Zkladntextodsazen2"/>
    <w:rsid w:val="0006119A"/>
    <w:rPr>
      <w:rFonts w:ascii="Calibri" w:hAnsi="Calibri"/>
      <w:sz w:val="18"/>
    </w:rPr>
  </w:style>
  <w:style w:type="paragraph" w:customStyle="1" w:styleId="Default">
    <w:name w:val="Default"/>
    <w:rsid w:val="00ED0825"/>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962EA5"/>
    <w:rPr>
      <w:rFonts w:ascii="Calibri" w:hAnsi="Calibri"/>
      <w:sz w:val="18"/>
    </w:rPr>
  </w:style>
  <w:style w:type="paragraph" w:styleId="Odstavecseseznamem">
    <w:name w:val="List Paragraph"/>
    <w:basedOn w:val="Normln"/>
    <w:uiPriority w:val="34"/>
    <w:qFormat/>
    <w:rsid w:val="003A7C90"/>
    <w:pPr>
      <w:ind w:left="720"/>
      <w:contextualSpacing/>
      <w:jc w:val="left"/>
    </w:pPr>
    <w:rPr>
      <w:rFonts w:ascii="Times New Roman" w:hAnsi="Times New Roman"/>
      <w:sz w:val="24"/>
      <w:szCs w:val="24"/>
      <w:lang w:val="en-US"/>
    </w:rPr>
  </w:style>
  <w:style w:type="paragraph" w:customStyle="1" w:styleId="HlavniNadpis">
    <w:name w:val="Hlavni_Nadpis"/>
    <w:basedOn w:val="Odstavecseseznamem"/>
    <w:next w:val="Normln"/>
    <w:autoRedefine/>
    <w:qFormat/>
    <w:rsid w:val="00846AE2"/>
    <w:pPr>
      <w:numPr>
        <w:numId w:val="18"/>
      </w:numPr>
      <w:autoSpaceDE w:val="0"/>
      <w:autoSpaceDN w:val="0"/>
      <w:adjustRightInd w:val="0"/>
      <w:spacing w:before="240" w:after="240"/>
    </w:pPr>
    <w:rPr>
      <w:rFonts w:ascii="ArialMT" w:eastAsia="Calibri" w:hAnsi="ArialMT" w:cs="ArialMT"/>
      <w:b/>
      <w:color w:val="4A4A4A"/>
      <w:sz w:val="36"/>
      <w:szCs w:val="36"/>
      <w:lang w:val="cs-CZ" w:eastAsia="en-US"/>
    </w:rPr>
  </w:style>
  <w:style w:type="paragraph" w:customStyle="1" w:styleId="Podnadpis1">
    <w:name w:val="Podnadpis1"/>
    <w:basedOn w:val="Odstavecseseznamem"/>
    <w:next w:val="Normln"/>
    <w:qFormat/>
    <w:rsid w:val="00846AE2"/>
    <w:pPr>
      <w:numPr>
        <w:ilvl w:val="1"/>
        <w:numId w:val="18"/>
      </w:numPr>
      <w:autoSpaceDE w:val="0"/>
      <w:autoSpaceDN w:val="0"/>
      <w:adjustRightInd w:val="0"/>
      <w:spacing w:before="120" w:after="120" w:line="288" w:lineRule="auto"/>
      <w:contextualSpacing w:val="0"/>
    </w:pPr>
    <w:rPr>
      <w:rFonts w:ascii="ArialMT" w:eastAsia="Calibri" w:hAnsi="ArialMT" w:cs="ArialMT"/>
      <w:color w:val="4A4A4A"/>
      <w:sz w:val="20"/>
      <w:szCs w:val="20"/>
      <w:lang w:val="cs-CZ" w:eastAsia="en-US"/>
    </w:rPr>
  </w:style>
  <w:style w:type="paragraph" w:customStyle="1" w:styleId="PodPodNadpis">
    <w:name w:val="PodPodNadpis"/>
    <w:basedOn w:val="Odstavecseseznamem"/>
    <w:qFormat/>
    <w:rsid w:val="00846AE2"/>
    <w:pPr>
      <w:numPr>
        <w:ilvl w:val="2"/>
        <w:numId w:val="18"/>
      </w:numPr>
      <w:autoSpaceDE w:val="0"/>
      <w:autoSpaceDN w:val="0"/>
      <w:adjustRightInd w:val="0"/>
      <w:spacing w:before="120" w:after="120" w:line="288" w:lineRule="auto"/>
      <w:contextualSpacing w:val="0"/>
    </w:pPr>
    <w:rPr>
      <w:rFonts w:ascii="ArialMT" w:eastAsia="Calibri" w:hAnsi="ArialMT" w:cs="ArialMT"/>
      <w:color w:val="4A4A4A"/>
      <w:sz w:val="20"/>
      <w:szCs w:val="20"/>
      <w:lang w:val="cs-CZ" w:eastAsia="en-US"/>
    </w:rPr>
  </w:style>
  <w:style w:type="character" w:styleId="Nevyeenzmnka">
    <w:name w:val="Unresolved Mention"/>
    <w:basedOn w:val="Standardnpsmoodstavce"/>
    <w:uiPriority w:val="99"/>
    <w:semiHidden/>
    <w:unhideWhenUsed/>
    <w:rsid w:val="0019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6018">
      <w:bodyDiv w:val="1"/>
      <w:marLeft w:val="0"/>
      <w:marRight w:val="0"/>
      <w:marTop w:val="0"/>
      <w:marBottom w:val="0"/>
      <w:divBdr>
        <w:top w:val="none" w:sz="0" w:space="0" w:color="auto"/>
        <w:left w:val="none" w:sz="0" w:space="0" w:color="auto"/>
        <w:bottom w:val="none" w:sz="0" w:space="0" w:color="auto"/>
        <w:right w:val="none" w:sz="0" w:space="0" w:color="auto"/>
      </w:divBdr>
      <w:divsChild>
        <w:div w:id="1844978081">
          <w:marLeft w:val="0"/>
          <w:marRight w:val="0"/>
          <w:marTop w:val="0"/>
          <w:marBottom w:val="0"/>
          <w:divBdr>
            <w:top w:val="none" w:sz="0" w:space="0" w:color="auto"/>
            <w:left w:val="none" w:sz="0" w:space="0" w:color="auto"/>
            <w:bottom w:val="none" w:sz="0" w:space="0" w:color="auto"/>
            <w:right w:val="none" w:sz="0" w:space="0" w:color="auto"/>
          </w:divBdr>
          <w:divsChild>
            <w:div w:id="1913391678">
              <w:marLeft w:val="0"/>
              <w:marRight w:val="0"/>
              <w:marTop w:val="0"/>
              <w:marBottom w:val="0"/>
              <w:divBdr>
                <w:top w:val="none" w:sz="0" w:space="0" w:color="auto"/>
                <w:left w:val="none" w:sz="0" w:space="0" w:color="auto"/>
                <w:bottom w:val="none" w:sz="0" w:space="0" w:color="auto"/>
                <w:right w:val="none" w:sz="0" w:space="0" w:color="auto"/>
              </w:divBdr>
              <w:divsChild>
                <w:div w:id="1054044698">
                  <w:marLeft w:val="0"/>
                  <w:marRight w:val="0"/>
                  <w:marTop w:val="0"/>
                  <w:marBottom w:val="0"/>
                  <w:divBdr>
                    <w:top w:val="none" w:sz="0" w:space="0" w:color="auto"/>
                    <w:left w:val="none" w:sz="0" w:space="0" w:color="auto"/>
                    <w:bottom w:val="none" w:sz="0" w:space="0" w:color="auto"/>
                    <w:right w:val="none" w:sz="0" w:space="0" w:color="auto"/>
                  </w:divBdr>
                  <w:divsChild>
                    <w:div w:id="514996356">
                      <w:marLeft w:val="0"/>
                      <w:marRight w:val="0"/>
                      <w:marTop w:val="0"/>
                      <w:marBottom w:val="0"/>
                      <w:divBdr>
                        <w:top w:val="none" w:sz="0" w:space="0" w:color="auto"/>
                        <w:left w:val="none" w:sz="0" w:space="0" w:color="auto"/>
                        <w:bottom w:val="none" w:sz="0" w:space="0" w:color="auto"/>
                        <w:right w:val="none" w:sz="0" w:space="0" w:color="auto"/>
                      </w:divBdr>
                      <w:divsChild>
                        <w:div w:id="4648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347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234">
          <w:marLeft w:val="0"/>
          <w:marRight w:val="0"/>
          <w:marTop w:val="0"/>
          <w:marBottom w:val="0"/>
          <w:divBdr>
            <w:top w:val="none" w:sz="0" w:space="0" w:color="auto"/>
            <w:left w:val="none" w:sz="0" w:space="0" w:color="auto"/>
            <w:bottom w:val="none" w:sz="0" w:space="0" w:color="auto"/>
            <w:right w:val="none" w:sz="0" w:space="0" w:color="auto"/>
          </w:divBdr>
          <w:divsChild>
            <w:div w:id="664016349">
              <w:marLeft w:val="0"/>
              <w:marRight w:val="0"/>
              <w:marTop w:val="0"/>
              <w:marBottom w:val="0"/>
              <w:divBdr>
                <w:top w:val="none" w:sz="0" w:space="0" w:color="auto"/>
                <w:left w:val="none" w:sz="0" w:space="0" w:color="auto"/>
                <w:bottom w:val="none" w:sz="0" w:space="0" w:color="auto"/>
                <w:right w:val="none" w:sz="0" w:space="0" w:color="auto"/>
              </w:divBdr>
              <w:divsChild>
                <w:div w:id="1623681763">
                  <w:marLeft w:val="0"/>
                  <w:marRight w:val="0"/>
                  <w:marTop w:val="0"/>
                  <w:marBottom w:val="0"/>
                  <w:divBdr>
                    <w:top w:val="none" w:sz="0" w:space="0" w:color="auto"/>
                    <w:left w:val="none" w:sz="0" w:space="0" w:color="auto"/>
                    <w:bottom w:val="none" w:sz="0" w:space="0" w:color="auto"/>
                    <w:right w:val="none" w:sz="0" w:space="0" w:color="auto"/>
                  </w:divBdr>
                  <w:divsChild>
                    <w:div w:id="1470706484">
                      <w:marLeft w:val="0"/>
                      <w:marRight w:val="0"/>
                      <w:marTop w:val="0"/>
                      <w:marBottom w:val="0"/>
                      <w:divBdr>
                        <w:top w:val="none" w:sz="0" w:space="0" w:color="auto"/>
                        <w:left w:val="none" w:sz="0" w:space="0" w:color="auto"/>
                        <w:bottom w:val="none" w:sz="0" w:space="0" w:color="auto"/>
                        <w:right w:val="none" w:sz="0" w:space="0" w:color="auto"/>
                      </w:divBdr>
                      <w:divsChild>
                        <w:div w:id="16831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alao@osf-grou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alao@osf-grou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7042-0A88-4D3B-BC19-38411F57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3140</Words>
  <Characters>18753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PLATOVÝ VÝMĚR</vt:lpstr>
    </vt:vector>
  </TitlesOfParts>
  <Company>Microsoft</Company>
  <LinksUpToDate>false</LinksUpToDate>
  <CharactersWithSpaces>21850</CharactersWithSpaces>
  <SharedDoc>false</SharedDoc>
  <HLinks>
    <vt:vector size="18" baseType="variant">
      <vt:variant>
        <vt:i4>1835124</vt:i4>
      </vt:variant>
      <vt:variant>
        <vt:i4>6</vt:i4>
      </vt:variant>
      <vt:variant>
        <vt:i4>0</vt:i4>
      </vt:variant>
      <vt:variant>
        <vt:i4>5</vt:i4>
      </vt:variant>
      <vt:variant>
        <vt:lpwstr>mailto:renata.blahova@czechtrade.c</vt:lpwstr>
      </vt:variant>
      <vt:variant>
        <vt:lpwstr/>
      </vt:variant>
      <vt:variant>
        <vt:i4>65583</vt:i4>
      </vt:variant>
      <vt:variant>
        <vt:i4>3</vt:i4>
      </vt:variant>
      <vt:variant>
        <vt:i4>0</vt:i4>
      </vt:variant>
      <vt:variant>
        <vt:i4>5</vt:i4>
      </vt:variant>
      <vt:variant>
        <vt:lpwstr>mailto:czechtrade@inkam.cz</vt:lpwstr>
      </vt:variant>
      <vt:variant>
        <vt:lpwstr/>
      </vt:variant>
      <vt:variant>
        <vt:i4>65583</vt:i4>
      </vt:variant>
      <vt:variant>
        <vt:i4>0</vt:i4>
      </vt:variant>
      <vt:variant>
        <vt:i4>0</vt:i4>
      </vt:variant>
      <vt:variant>
        <vt:i4>5</vt:i4>
      </vt:variant>
      <vt:variant>
        <vt:lpwstr>mailto:czechtrade@inkam.cz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PLATOVÝ VÝMĚR</dc:title>
  <dc:creator>Petr Jakl</dc:creator>
  <cp:lastModifiedBy>Kolman Sokoltová Lenka</cp:lastModifiedBy>
  <cp:revision>4</cp:revision>
  <cp:lastPrinted>2024-09-23T09:35:00Z</cp:lastPrinted>
  <dcterms:created xsi:type="dcterms:W3CDTF">2024-10-14T08:29:00Z</dcterms:created>
  <dcterms:modified xsi:type="dcterms:W3CDTF">2024-10-21T15:36:00Z</dcterms:modified>
</cp:coreProperties>
</file>