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1AF7B05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424445">
        <w:rPr>
          <w:sz w:val="22"/>
          <w:szCs w:val="22"/>
        </w:rPr>
        <w:t>…………..</w:t>
      </w:r>
      <w:r w:rsidRPr="007D54F6">
        <w:rPr>
          <w:sz w:val="22"/>
          <w:szCs w:val="22"/>
        </w:rPr>
        <w:t>, ředitel</w:t>
      </w:r>
    </w:p>
    <w:p w14:paraId="31C5A6F9" w14:textId="414178D4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424445">
        <w:rPr>
          <w:sz w:val="22"/>
          <w:szCs w:val="22"/>
        </w:rPr>
        <w:t>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99E9966" w:rsidR="009D3AA4" w:rsidRPr="00F7752E" w:rsidRDefault="00C2502F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DSD PROFI s.r.o.</w:t>
      </w:r>
    </w:p>
    <w:p w14:paraId="5EE075F4" w14:textId="394A980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2502F">
        <w:rPr>
          <w:rFonts w:ascii="Times New Roman" w:hAnsi="Times New Roman"/>
          <w:b w:val="0"/>
          <w:sz w:val="22"/>
          <w:szCs w:val="22"/>
        </w:rPr>
        <w:t>Karlova 5, 301 00 Plzeň</w:t>
      </w:r>
    </w:p>
    <w:p w14:paraId="6419FF1C" w14:textId="5A9645AF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C2502F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C2502F">
        <w:rPr>
          <w:rFonts w:ascii="Times New Roman" w:hAnsi="Times New Roman"/>
          <w:b w:val="0"/>
          <w:sz w:val="22"/>
          <w:szCs w:val="22"/>
        </w:rPr>
        <w:t> Plzni,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C2502F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C2502F">
        <w:rPr>
          <w:rFonts w:ascii="Times New Roman" w:hAnsi="Times New Roman"/>
          <w:b w:val="0"/>
          <w:sz w:val="22"/>
          <w:szCs w:val="22"/>
        </w:rPr>
        <w:t>4324</w:t>
      </w:r>
    </w:p>
    <w:p w14:paraId="545CBD79" w14:textId="0AE62CA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2502F">
        <w:rPr>
          <w:rFonts w:ascii="Times New Roman" w:hAnsi="Times New Roman"/>
          <w:b w:val="0"/>
          <w:sz w:val="22"/>
          <w:szCs w:val="22"/>
        </w:rPr>
        <w:t>49196448</w:t>
      </w:r>
    </w:p>
    <w:p w14:paraId="04DD9ECE" w14:textId="245EA637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2502F">
        <w:rPr>
          <w:rFonts w:ascii="Times New Roman" w:hAnsi="Times New Roman"/>
          <w:b w:val="0"/>
          <w:sz w:val="22"/>
          <w:szCs w:val="22"/>
        </w:rPr>
        <w:t>CZ49196448</w:t>
      </w:r>
    </w:p>
    <w:p w14:paraId="45220221" w14:textId="023FA5CD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24445">
        <w:rPr>
          <w:rFonts w:ascii="Times New Roman" w:hAnsi="Times New Roman"/>
          <w:b w:val="0"/>
          <w:sz w:val="22"/>
          <w:szCs w:val="22"/>
        </w:rPr>
        <w:t>…………..</w:t>
      </w:r>
      <w:r w:rsidR="00C2502F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738BC35C" w14:textId="77EBBFA4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24445">
        <w:rPr>
          <w:rFonts w:ascii="Times New Roman" w:hAnsi="Times New Roman"/>
          <w:b w:val="0"/>
          <w:sz w:val="22"/>
          <w:szCs w:val="22"/>
        </w:rPr>
        <w:t>………………….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29170F53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286253">
        <w:rPr>
          <w:b/>
          <w:u w:val="single"/>
        </w:rPr>
        <w:t>Nákup naklepávače masa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T004/24</w:t>
      </w:r>
      <w:r w:rsidR="009D3AA4" w:rsidRPr="00770FBD">
        <w:rPr>
          <w:sz w:val="22"/>
          <w:szCs w:val="22"/>
        </w:rPr>
        <w:t>V/</w:t>
      </w:r>
      <w:r w:rsidR="008F0397" w:rsidRPr="009C5955">
        <w:rPr>
          <w:sz w:val="22"/>
          <w:szCs w:val="22"/>
        </w:rPr>
        <w:t>0000</w:t>
      </w:r>
      <w:r w:rsidR="004F3CF3">
        <w:rPr>
          <w:sz w:val="22"/>
          <w:szCs w:val="22"/>
        </w:rPr>
        <w:t>4762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21CB7257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9C5955">
        <w:rPr>
          <w:sz w:val="22"/>
          <w:szCs w:val="22"/>
        </w:rPr>
        <w:t>–</w:t>
      </w:r>
      <w:r w:rsidR="00286253">
        <w:rPr>
          <w:b/>
          <w:sz w:val="22"/>
          <w:szCs w:val="22"/>
        </w:rPr>
        <w:t xml:space="preserve"> naklepávač masa </w:t>
      </w:r>
      <w:r w:rsidR="00CD46D8">
        <w:rPr>
          <w:b/>
          <w:sz w:val="22"/>
          <w:szCs w:val="22"/>
        </w:rPr>
        <w:t xml:space="preserve">– 1x hnací jednotka, 1x kryt pro </w:t>
      </w:r>
      <w:proofErr w:type="spellStart"/>
      <w:r w:rsidR="00CD46D8">
        <w:rPr>
          <w:b/>
          <w:sz w:val="22"/>
          <w:szCs w:val="22"/>
        </w:rPr>
        <w:t>naklepávací</w:t>
      </w:r>
      <w:proofErr w:type="spellEnd"/>
      <w:r w:rsidR="00CD46D8">
        <w:rPr>
          <w:b/>
          <w:sz w:val="22"/>
          <w:szCs w:val="22"/>
        </w:rPr>
        <w:t xml:space="preserve"> nástavce, 1x </w:t>
      </w:r>
      <w:proofErr w:type="spellStart"/>
      <w:r w:rsidR="00CD46D8">
        <w:rPr>
          <w:b/>
          <w:sz w:val="22"/>
          <w:szCs w:val="22"/>
        </w:rPr>
        <w:t>naklepávací</w:t>
      </w:r>
      <w:proofErr w:type="spellEnd"/>
      <w:r w:rsidR="00CD46D8">
        <w:rPr>
          <w:b/>
          <w:sz w:val="22"/>
          <w:szCs w:val="22"/>
        </w:rPr>
        <w:t xml:space="preserve"> hlava s volitelnou roztečí </w:t>
      </w:r>
      <w:r w:rsidR="00C67DB5">
        <w:rPr>
          <w:b/>
          <w:sz w:val="22"/>
          <w:szCs w:val="22"/>
        </w:rPr>
        <w:t>vč.</w:t>
      </w:r>
      <w:r w:rsidR="009C5955">
        <w:rPr>
          <w:b/>
          <w:sz w:val="22"/>
          <w:szCs w:val="22"/>
        </w:rPr>
        <w:t xml:space="preserve"> dopravy, vykládky na místě určení</w:t>
      </w:r>
      <w:r w:rsidR="00C67DB5">
        <w:rPr>
          <w:b/>
          <w:sz w:val="22"/>
          <w:szCs w:val="22"/>
        </w:rPr>
        <w:t xml:space="preserve">, </w:t>
      </w:r>
      <w:r w:rsidR="009C5955">
        <w:rPr>
          <w:b/>
          <w:sz w:val="22"/>
          <w:szCs w:val="22"/>
        </w:rPr>
        <w:t>kompletní montáže,</w:t>
      </w:r>
      <w:r w:rsidR="000330EF">
        <w:rPr>
          <w:b/>
          <w:sz w:val="22"/>
          <w:szCs w:val="22"/>
        </w:rPr>
        <w:t xml:space="preserve"> </w:t>
      </w:r>
      <w:r w:rsidR="009C5955">
        <w:rPr>
          <w:b/>
          <w:sz w:val="22"/>
          <w:szCs w:val="22"/>
        </w:rPr>
        <w:t xml:space="preserve">zaškolení zaměstnanců Zadavatele k obsluze, dodání návodu k užívání vč. technického popisu a dalších dokumentů – v českém jazyce ( protokol o shodě, záruční list, atd.) nejdéle do </w:t>
      </w:r>
      <w:r w:rsidR="00286253">
        <w:rPr>
          <w:b/>
          <w:sz w:val="22"/>
          <w:szCs w:val="22"/>
        </w:rPr>
        <w:t>1</w:t>
      </w:r>
      <w:r w:rsidR="00B71D3D">
        <w:rPr>
          <w:b/>
          <w:sz w:val="22"/>
          <w:szCs w:val="22"/>
        </w:rPr>
        <w:t xml:space="preserve"> měsíc</w:t>
      </w:r>
      <w:r w:rsidR="00286253">
        <w:rPr>
          <w:b/>
          <w:sz w:val="22"/>
          <w:szCs w:val="22"/>
        </w:rPr>
        <w:t>e</w:t>
      </w:r>
      <w:r w:rsidR="009C5955">
        <w:rPr>
          <w:b/>
          <w:sz w:val="22"/>
          <w:szCs w:val="22"/>
        </w:rPr>
        <w:t xml:space="preserve"> od uzavření smlouvy do sídla kupujícího.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4DF736E2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286253">
        <w:rPr>
          <w:rFonts w:eastAsia="Calibri"/>
          <w:b/>
          <w:bCs/>
          <w:sz w:val="22"/>
          <w:szCs w:val="22"/>
        </w:rPr>
        <w:t>1</w:t>
      </w:r>
      <w:r w:rsidR="00B71D3D">
        <w:rPr>
          <w:rFonts w:eastAsia="Calibri"/>
          <w:b/>
          <w:bCs/>
          <w:sz w:val="22"/>
          <w:szCs w:val="22"/>
        </w:rPr>
        <w:t xml:space="preserve"> měsíc</w:t>
      </w:r>
      <w:r w:rsidR="00286253">
        <w:rPr>
          <w:rFonts w:eastAsia="Calibri"/>
          <w:b/>
          <w:bCs/>
          <w:sz w:val="22"/>
          <w:szCs w:val="22"/>
        </w:rPr>
        <w:t>e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143A2EE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C2502F">
        <w:rPr>
          <w:b/>
          <w:sz w:val="22"/>
          <w:szCs w:val="22"/>
        </w:rPr>
        <w:t>78.607,50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C2502F">
        <w:rPr>
          <w:sz w:val="22"/>
          <w:szCs w:val="22"/>
        </w:rPr>
        <w:t>16.507,58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C2502F">
        <w:rPr>
          <w:b/>
          <w:sz w:val="22"/>
          <w:szCs w:val="22"/>
        </w:rPr>
        <w:t>95.115,08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2ACE778D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4DCD3610" w14:textId="77777777" w:rsidR="00C2502F" w:rsidRPr="007D54F6" w:rsidRDefault="00C2502F" w:rsidP="00C2502F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098A4778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5E06C5">
        <w:rPr>
          <w:rFonts w:ascii="Times New Roman" w:hAnsi="Times New Roman"/>
          <w:color w:val="auto"/>
          <w:sz w:val="22"/>
          <w:szCs w:val="22"/>
        </w:rPr>
        <w:t>36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 xml:space="preserve">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675E7979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C2502F">
        <w:rPr>
          <w:rFonts w:ascii="Times New Roman" w:hAnsi="Times New Roman"/>
          <w:b w:val="0"/>
          <w:sz w:val="22"/>
          <w:szCs w:val="22"/>
        </w:rPr>
        <w:t>studnickova@dsdprofi.cz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466B08E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</w:t>
      </w:r>
      <w:r w:rsidR="00286253">
        <w:rPr>
          <w:rFonts w:ascii="Times New Roman" w:hAnsi="Times New Roman"/>
          <w:b w:val="0"/>
          <w:sz w:val="22"/>
          <w:szCs w:val="22"/>
        </w:rPr>
        <w:t>48 hodin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 </w:t>
      </w:r>
      <w:r w:rsidR="00286253">
        <w:rPr>
          <w:rFonts w:ascii="Times New Roman" w:hAnsi="Times New Roman"/>
          <w:b w:val="0"/>
          <w:sz w:val="22"/>
          <w:szCs w:val="22"/>
        </w:rPr>
        <w:t>od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 obdržení oznámení o vadách. Vady </w:t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odstranit v nejkratší možné době, nejpozději však ve lhůtě do </w:t>
      </w:r>
      <w:r w:rsidR="00E85545">
        <w:rPr>
          <w:rFonts w:ascii="Times New Roman" w:hAnsi="Times New Roman"/>
          <w:b w:val="0"/>
          <w:sz w:val="22"/>
          <w:szCs w:val="22"/>
        </w:rPr>
        <w:t>5</w:t>
      </w:r>
      <w:r w:rsidRPr="00565069">
        <w:rPr>
          <w:rFonts w:ascii="Times New Roman" w:hAnsi="Times New Roman"/>
          <w:b w:val="0"/>
          <w:sz w:val="22"/>
          <w:szCs w:val="22"/>
        </w:rPr>
        <w:t xml:space="preserve">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7556D9CC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z ceny nedodaného zboží</w:t>
      </w:r>
      <w:r w:rsidR="00C67DB5">
        <w:rPr>
          <w:rFonts w:ascii="Times New Roman" w:hAnsi="Times New Roman"/>
          <w:b w:val="0"/>
          <w:sz w:val="22"/>
          <w:szCs w:val="22"/>
        </w:rPr>
        <w:t xml:space="preserve"> 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3FB6FDBB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AFC6C7E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proofErr w:type="gramStart"/>
      <w:r w:rsidR="00424445">
        <w:rPr>
          <w:color w:val="000000"/>
          <w:sz w:val="22"/>
          <w:szCs w:val="22"/>
        </w:rPr>
        <w:t>21.10.2024</w:t>
      </w:r>
      <w:proofErr w:type="gramEnd"/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C2502F">
        <w:rPr>
          <w:color w:val="000000"/>
          <w:sz w:val="22"/>
          <w:szCs w:val="22"/>
        </w:rPr>
        <w:t> Plzni,</w:t>
      </w:r>
      <w:r w:rsidRPr="007D54F6">
        <w:rPr>
          <w:color w:val="000000"/>
          <w:sz w:val="22"/>
          <w:szCs w:val="22"/>
        </w:rPr>
        <w:t xml:space="preserve"> dne </w:t>
      </w:r>
      <w:r w:rsidR="00424445">
        <w:rPr>
          <w:color w:val="000000"/>
          <w:sz w:val="22"/>
          <w:szCs w:val="22"/>
        </w:rPr>
        <w:t>21.10.2024</w:t>
      </w:r>
    </w:p>
    <w:p w14:paraId="28E233D1" w14:textId="51AEC408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01E741BB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1FD15151" w14:textId="3C29549D" w:rsidR="008903EE" w:rsidRDefault="008903EE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189FE0C1" w14:textId="77777777" w:rsidR="008903EE" w:rsidRDefault="008903EE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7DC48D23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bookmarkStart w:id="0" w:name="_GoBack"/>
      <w:bookmarkEnd w:id="0"/>
    </w:p>
    <w:p w14:paraId="0AE285F1" w14:textId="3FA1964E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C2502F">
        <w:rPr>
          <w:color w:val="000000"/>
          <w:sz w:val="22"/>
          <w:szCs w:val="22"/>
        </w:rPr>
        <w:t>jednatel</w:t>
      </w:r>
    </w:p>
    <w:p w14:paraId="2F391DFB" w14:textId="6179C870" w:rsidR="00583CC5" w:rsidRDefault="00583CC5" w:rsidP="00C2502F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C2502F">
        <w:rPr>
          <w:color w:val="000000"/>
        </w:rPr>
        <w:t>DSD PROFI s.r.o.</w:t>
      </w:r>
    </w:p>
    <w:p w14:paraId="1AAE38C8" w14:textId="39B01E3C" w:rsidR="007E7DFF" w:rsidRPr="00562F65" w:rsidRDefault="007E7DFF" w:rsidP="007E7DFF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</w:rPr>
      </w:pPr>
      <w:r w:rsidRPr="00562F65">
        <w:rPr>
          <w:b/>
          <w:color w:val="000000"/>
        </w:rPr>
        <w:lastRenderedPageBreak/>
        <w:t>1)</w:t>
      </w:r>
      <w:r w:rsidRPr="00562F65">
        <w:rPr>
          <w:rFonts w:eastAsia="Calibri"/>
          <w:b/>
          <w:bCs/>
        </w:rPr>
        <w:t xml:space="preserve"> Podrobný rozpis nabídkové ceny</w:t>
      </w:r>
    </w:p>
    <w:p w14:paraId="34B64557" w14:textId="2B349112" w:rsidR="007E7DFF" w:rsidRPr="00562F65" w:rsidRDefault="007E7DFF" w:rsidP="007E7DFF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u w:val="single"/>
        </w:rPr>
      </w:pPr>
      <w:r w:rsidRPr="00562F65">
        <w:rPr>
          <w:rFonts w:eastAsia="Calibri"/>
          <w:b/>
          <w:bCs/>
        </w:rPr>
        <w:t>Tabulka specifikace předmětu plnění včetně cen</w:t>
      </w:r>
      <w:r w:rsidRPr="00562F65">
        <w:rPr>
          <w:rFonts w:eastAsia="Calibri"/>
          <w:i/>
        </w:rPr>
        <w:t>:</w:t>
      </w:r>
    </w:p>
    <w:p w14:paraId="4F8EDA98" w14:textId="77777777" w:rsidR="007E7DFF" w:rsidRPr="0031071B" w:rsidRDefault="007E7DFF" w:rsidP="007E7DFF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</w:rPr>
      </w:pPr>
    </w:p>
    <w:tbl>
      <w:tblPr>
        <w:tblpPr w:leftFromText="141" w:rightFromText="141" w:vertAnchor="text" w:horzAnchor="margin" w:tblpX="-289" w:tblpY="-3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28"/>
        <w:gridCol w:w="1532"/>
        <w:gridCol w:w="851"/>
        <w:gridCol w:w="1559"/>
        <w:gridCol w:w="1460"/>
        <w:gridCol w:w="808"/>
        <w:gridCol w:w="1559"/>
      </w:tblGrid>
      <w:tr w:rsidR="007E7DFF" w:rsidRPr="00B94494" w14:paraId="568DCE0C" w14:textId="77777777" w:rsidTr="00503200">
        <w:trPr>
          <w:trHeight w:val="745"/>
        </w:trPr>
        <w:tc>
          <w:tcPr>
            <w:tcW w:w="704" w:type="dxa"/>
            <w:shd w:val="clear" w:color="auto" w:fill="auto"/>
          </w:tcPr>
          <w:p w14:paraId="3664D7B4" w14:textId="33E8236E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>Pol.</w:t>
            </w:r>
            <w:r w:rsidR="00562F65" w:rsidRPr="00B94494">
              <w:rPr>
                <w:rFonts w:eastAsia="Times New Roman"/>
                <w:sz w:val="22"/>
              </w:rPr>
              <w:t xml:space="preserve"> </w:t>
            </w:r>
            <w:r w:rsidRPr="00B94494">
              <w:rPr>
                <w:rFonts w:eastAsia="Times New Roman"/>
                <w:sz w:val="22"/>
              </w:rPr>
              <w:t>č.</w:t>
            </w:r>
          </w:p>
        </w:tc>
        <w:tc>
          <w:tcPr>
            <w:tcW w:w="1728" w:type="dxa"/>
            <w:shd w:val="clear" w:color="auto" w:fill="auto"/>
          </w:tcPr>
          <w:p w14:paraId="55B3F01A" w14:textId="77777777" w:rsidR="007E7DFF" w:rsidRPr="00B94494" w:rsidRDefault="007E7DFF" w:rsidP="00FD0672">
            <w:pPr>
              <w:jc w:val="both"/>
              <w:rPr>
                <w:rFonts w:eastAsia="Times New Roman"/>
                <w:sz w:val="22"/>
              </w:rPr>
            </w:pPr>
          </w:p>
          <w:p w14:paraId="730EFBDF" w14:textId="77777777" w:rsidR="007E7DFF" w:rsidRPr="00B94494" w:rsidRDefault="007E7DFF" w:rsidP="00FD0672">
            <w:pPr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Název položky</w:t>
            </w:r>
          </w:p>
        </w:tc>
        <w:tc>
          <w:tcPr>
            <w:tcW w:w="1532" w:type="dxa"/>
            <w:shd w:val="clear" w:color="auto" w:fill="auto"/>
          </w:tcPr>
          <w:p w14:paraId="20E17F78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 xml:space="preserve">Cena v Kč </w:t>
            </w:r>
          </w:p>
          <w:p w14:paraId="05E3CFFA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>bez DPH / ks</w:t>
            </w:r>
          </w:p>
        </w:tc>
        <w:tc>
          <w:tcPr>
            <w:tcW w:w="851" w:type="dxa"/>
            <w:shd w:val="clear" w:color="auto" w:fill="auto"/>
          </w:tcPr>
          <w:p w14:paraId="0FAE51D6" w14:textId="77777777" w:rsidR="007E7DFF" w:rsidRPr="00B94494" w:rsidRDefault="007E7DFF" w:rsidP="00FD0672">
            <w:pPr>
              <w:spacing w:before="120"/>
              <w:ind w:right="-25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 xml:space="preserve">Počet </w:t>
            </w:r>
          </w:p>
          <w:p w14:paraId="2D863212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>ks</w:t>
            </w:r>
          </w:p>
        </w:tc>
        <w:tc>
          <w:tcPr>
            <w:tcW w:w="1559" w:type="dxa"/>
            <w:shd w:val="clear" w:color="auto" w:fill="auto"/>
          </w:tcPr>
          <w:p w14:paraId="103BA047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>Celková cena v Kč bez DPH</w:t>
            </w:r>
          </w:p>
        </w:tc>
        <w:tc>
          <w:tcPr>
            <w:tcW w:w="1460" w:type="dxa"/>
            <w:shd w:val="clear" w:color="auto" w:fill="auto"/>
          </w:tcPr>
          <w:p w14:paraId="5A807F0F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>Celková cena v Kč vč. DPH</w:t>
            </w:r>
          </w:p>
        </w:tc>
        <w:tc>
          <w:tcPr>
            <w:tcW w:w="808" w:type="dxa"/>
            <w:shd w:val="clear" w:color="auto" w:fill="auto"/>
          </w:tcPr>
          <w:p w14:paraId="0E97564B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 xml:space="preserve">Sazba </w:t>
            </w:r>
          </w:p>
          <w:p w14:paraId="5ED627AD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 xml:space="preserve">DPH </w:t>
            </w:r>
          </w:p>
          <w:p w14:paraId="58BD0D09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 xml:space="preserve">v % </w:t>
            </w:r>
          </w:p>
        </w:tc>
        <w:tc>
          <w:tcPr>
            <w:tcW w:w="1559" w:type="dxa"/>
            <w:shd w:val="clear" w:color="auto" w:fill="auto"/>
          </w:tcPr>
          <w:p w14:paraId="67A9EF67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Poznámka:</w:t>
            </w:r>
          </w:p>
          <w:p w14:paraId="7D523A26" w14:textId="77777777" w:rsidR="007E7DFF" w:rsidRPr="00B94494" w:rsidRDefault="007E7DFF" w:rsidP="00FD0672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>Název zboží</w:t>
            </w:r>
          </w:p>
        </w:tc>
      </w:tr>
      <w:tr w:rsidR="00C2502F" w:rsidRPr="00B94494" w14:paraId="0B33B356" w14:textId="77777777" w:rsidTr="00503200">
        <w:trPr>
          <w:trHeight w:val="745"/>
        </w:trPr>
        <w:tc>
          <w:tcPr>
            <w:tcW w:w="704" w:type="dxa"/>
            <w:shd w:val="clear" w:color="auto" w:fill="auto"/>
          </w:tcPr>
          <w:p w14:paraId="19268125" w14:textId="77777777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sz w:val="22"/>
              </w:rPr>
              <w:t>1</w:t>
            </w:r>
            <w:r w:rsidRPr="00B94494">
              <w:rPr>
                <w:rFonts w:eastAsia="Times New Roman"/>
                <w:b/>
                <w:sz w:val="22"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14:paraId="70DFFD46" w14:textId="77777777" w:rsidR="00B94494" w:rsidRDefault="00B94494" w:rsidP="00C2502F">
            <w:pPr>
              <w:jc w:val="both"/>
              <w:rPr>
                <w:rFonts w:eastAsia="Times New Roman"/>
                <w:sz w:val="22"/>
              </w:rPr>
            </w:pPr>
          </w:p>
          <w:p w14:paraId="753539A9" w14:textId="3582AAD2" w:rsidR="00C2502F" w:rsidRPr="00B94494" w:rsidRDefault="00C2502F" w:rsidP="00C2502F">
            <w:pPr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Hnací jednotka</w:t>
            </w:r>
          </w:p>
        </w:tc>
        <w:tc>
          <w:tcPr>
            <w:tcW w:w="1532" w:type="dxa"/>
            <w:shd w:val="clear" w:color="auto" w:fill="auto"/>
          </w:tcPr>
          <w:p w14:paraId="15F204B4" w14:textId="3C7B6D4B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28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805,50</w:t>
            </w:r>
          </w:p>
        </w:tc>
        <w:tc>
          <w:tcPr>
            <w:tcW w:w="851" w:type="dxa"/>
            <w:shd w:val="clear" w:color="auto" w:fill="auto"/>
          </w:tcPr>
          <w:p w14:paraId="00AB2E0F" w14:textId="36038832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2129F8F" w14:textId="6ED33CFE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28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805,50</w:t>
            </w:r>
          </w:p>
        </w:tc>
        <w:tc>
          <w:tcPr>
            <w:tcW w:w="1460" w:type="dxa"/>
            <w:shd w:val="clear" w:color="auto" w:fill="auto"/>
          </w:tcPr>
          <w:p w14:paraId="5F800DEF" w14:textId="03371398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34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854,05</w:t>
            </w:r>
          </w:p>
        </w:tc>
        <w:tc>
          <w:tcPr>
            <w:tcW w:w="808" w:type="dxa"/>
            <w:shd w:val="clear" w:color="auto" w:fill="auto"/>
          </w:tcPr>
          <w:p w14:paraId="4EA37F16" w14:textId="2EFF2BD6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714F5318" w14:textId="5D0E5F22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TFS FEUMA</w:t>
            </w:r>
          </w:p>
        </w:tc>
      </w:tr>
      <w:tr w:rsidR="00C2502F" w:rsidRPr="00B94494" w14:paraId="7FDDDCA9" w14:textId="77777777" w:rsidTr="00B94494">
        <w:trPr>
          <w:trHeight w:val="933"/>
        </w:trPr>
        <w:tc>
          <w:tcPr>
            <w:tcW w:w="704" w:type="dxa"/>
            <w:shd w:val="clear" w:color="auto" w:fill="auto"/>
          </w:tcPr>
          <w:p w14:paraId="3E392950" w14:textId="264DEB1F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14:paraId="31F2C173" w14:textId="5CBCD449" w:rsidR="00C2502F" w:rsidRPr="00B94494" w:rsidRDefault="00C2502F" w:rsidP="00C2502F">
            <w:pPr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 xml:space="preserve">Kryt pro </w:t>
            </w:r>
            <w:proofErr w:type="spellStart"/>
            <w:r w:rsidRPr="00B94494">
              <w:rPr>
                <w:rFonts w:eastAsia="Times New Roman"/>
                <w:sz w:val="22"/>
              </w:rPr>
              <w:t>naklepávací</w:t>
            </w:r>
            <w:proofErr w:type="spellEnd"/>
            <w:r w:rsidRPr="00B94494">
              <w:rPr>
                <w:rFonts w:eastAsia="Times New Roman"/>
                <w:sz w:val="22"/>
              </w:rPr>
              <w:t xml:space="preserve"> nástavec</w:t>
            </w:r>
          </w:p>
        </w:tc>
        <w:tc>
          <w:tcPr>
            <w:tcW w:w="1532" w:type="dxa"/>
            <w:shd w:val="clear" w:color="auto" w:fill="auto"/>
          </w:tcPr>
          <w:p w14:paraId="48F41505" w14:textId="72A7ACA6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12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740</w:t>
            </w:r>
            <w:r w:rsidR="001C5703">
              <w:rPr>
                <w:rFonts w:eastAsia="Times New Roman"/>
                <w:sz w:val="22"/>
              </w:rPr>
              <w:t>,-</w:t>
            </w:r>
          </w:p>
        </w:tc>
        <w:tc>
          <w:tcPr>
            <w:tcW w:w="851" w:type="dxa"/>
            <w:shd w:val="clear" w:color="auto" w:fill="auto"/>
          </w:tcPr>
          <w:p w14:paraId="56D73C27" w14:textId="408CAFBE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A2B8E1F" w14:textId="2FB5A606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12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740</w:t>
            </w:r>
            <w:r w:rsidR="001C5703">
              <w:rPr>
                <w:rFonts w:eastAsia="Times New Roman"/>
                <w:sz w:val="22"/>
              </w:rPr>
              <w:t>,-</w:t>
            </w:r>
          </w:p>
        </w:tc>
        <w:tc>
          <w:tcPr>
            <w:tcW w:w="1460" w:type="dxa"/>
            <w:shd w:val="clear" w:color="auto" w:fill="auto"/>
          </w:tcPr>
          <w:p w14:paraId="13F7E899" w14:textId="72F7643D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15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415,40</w:t>
            </w:r>
          </w:p>
        </w:tc>
        <w:tc>
          <w:tcPr>
            <w:tcW w:w="808" w:type="dxa"/>
            <w:shd w:val="clear" w:color="auto" w:fill="auto"/>
          </w:tcPr>
          <w:p w14:paraId="28A2E4F0" w14:textId="0026ED91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0C359D3D" w14:textId="20BFA39A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Násypka FEUMA</w:t>
            </w:r>
          </w:p>
        </w:tc>
      </w:tr>
      <w:tr w:rsidR="00C2502F" w:rsidRPr="00B94494" w14:paraId="2394C4E3" w14:textId="77777777" w:rsidTr="00503200">
        <w:trPr>
          <w:trHeight w:val="745"/>
        </w:trPr>
        <w:tc>
          <w:tcPr>
            <w:tcW w:w="704" w:type="dxa"/>
            <w:shd w:val="clear" w:color="auto" w:fill="auto"/>
          </w:tcPr>
          <w:p w14:paraId="6920270D" w14:textId="77122734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3.</w:t>
            </w:r>
          </w:p>
        </w:tc>
        <w:tc>
          <w:tcPr>
            <w:tcW w:w="1728" w:type="dxa"/>
            <w:shd w:val="clear" w:color="auto" w:fill="auto"/>
          </w:tcPr>
          <w:p w14:paraId="11870C3F" w14:textId="0590189B" w:rsidR="00C2502F" w:rsidRPr="00B94494" w:rsidRDefault="00C2502F" w:rsidP="00C2502F">
            <w:pPr>
              <w:jc w:val="both"/>
              <w:rPr>
                <w:rFonts w:eastAsia="Times New Roman"/>
                <w:sz w:val="22"/>
              </w:rPr>
            </w:pPr>
            <w:proofErr w:type="spellStart"/>
            <w:r w:rsidRPr="00B94494">
              <w:rPr>
                <w:rFonts w:eastAsia="Times New Roman"/>
                <w:sz w:val="22"/>
              </w:rPr>
              <w:t>Naklepávací</w:t>
            </w:r>
            <w:proofErr w:type="spellEnd"/>
            <w:r w:rsidRPr="00B94494">
              <w:rPr>
                <w:rFonts w:eastAsia="Times New Roman"/>
                <w:sz w:val="22"/>
              </w:rPr>
              <w:t xml:space="preserve"> hlava s volitelnou roztečí</w:t>
            </w:r>
          </w:p>
        </w:tc>
        <w:tc>
          <w:tcPr>
            <w:tcW w:w="1532" w:type="dxa"/>
            <w:shd w:val="clear" w:color="auto" w:fill="auto"/>
          </w:tcPr>
          <w:p w14:paraId="04ED7D4B" w14:textId="391B4C1D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37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062</w:t>
            </w:r>
            <w:r w:rsidR="001C5703">
              <w:rPr>
                <w:rFonts w:eastAsia="Times New Roman"/>
                <w:sz w:val="22"/>
              </w:rPr>
              <w:t>,-</w:t>
            </w:r>
          </w:p>
        </w:tc>
        <w:tc>
          <w:tcPr>
            <w:tcW w:w="851" w:type="dxa"/>
            <w:shd w:val="clear" w:color="auto" w:fill="auto"/>
          </w:tcPr>
          <w:p w14:paraId="25EC66C3" w14:textId="3CC37A17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92F095F" w14:textId="604A3A92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37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062</w:t>
            </w:r>
            <w:r w:rsidR="001C5703">
              <w:rPr>
                <w:rFonts w:eastAsia="Times New Roman"/>
                <w:sz w:val="22"/>
              </w:rPr>
              <w:t>,-</w:t>
            </w:r>
          </w:p>
        </w:tc>
        <w:tc>
          <w:tcPr>
            <w:tcW w:w="1460" w:type="dxa"/>
            <w:shd w:val="clear" w:color="auto" w:fill="auto"/>
          </w:tcPr>
          <w:p w14:paraId="1C878D1B" w14:textId="17CD76F2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44</w:t>
            </w:r>
            <w:r w:rsidR="009124A3">
              <w:rPr>
                <w:rFonts w:eastAsia="Times New Roman"/>
                <w:sz w:val="22"/>
              </w:rPr>
              <w:t>.</w:t>
            </w:r>
            <w:r w:rsidRPr="00B94494">
              <w:rPr>
                <w:rFonts w:eastAsia="Times New Roman"/>
                <w:sz w:val="22"/>
              </w:rPr>
              <w:t>845,02</w:t>
            </w:r>
          </w:p>
        </w:tc>
        <w:tc>
          <w:tcPr>
            <w:tcW w:w="808" w:type="dxa"/>
            <w:shd w:val="clear" w:color="auto" w:fill="auto"/>
          </w:tcPr>
          <w:p w14:paraId="173D0793" w14:textId="437CDD4E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1B583FD0" w14:textId="5138DA58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sz w:val="22"/>
              </w:rPr>
            </w:pPr>
            <w:r w:rsidRPr="00B94494">
              <w:rPr>
                <w:rFonts w:eastAsia="Times New Roman"/>
                <w:sz w:val="22"/>
              </w:rPr>
              <w:t>Nastavitelný válec FEUMA</w:t>
            </w:r>
          </w:p>
        </w:tc>
      </w:tr>
      <w:tr w:rsidR="00C2502F" w:rsidRPr="00B94494" w14:paraId="1C7FDB4B" w14:textId="77777777" w:rsidTr="00C2502F">
        <w:trPr>
          <w:trHeight w:val="689"/>
        </w:trPr>
        <w:tc>
          <w:tcPr>
            <w:tcW w:w="4815" w:type="dxa"/>
            <w:gridSpan w:val="4"/>
            <w:shd w:val="clear" w:color="auto" w:fill="auto"/>
          </w:tcPr>
          <w:p w14:paraId="12F1DA73" w14:textId="77777777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b/>
                <w:sz w:val="22"/>
              </w:rPr>
              <w:t xml:space="preserve">                              Celková nabídková cena:</w:t>
            </w:r>
          </w:p>
        </w:tc>
        <w:tc>
          <w:tcPr>
            <w:tcW w:w="1559" w:type="dxa"/>
            <w:shd w:val="clear" w:color="auto" w:fill="auto"/>
          </w:tcPr>
          <w:p w14:paraId="635621C7" w14:textId="2FE3E20E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b/>
                <w:sz w:val="22"/>
              </w:rPr>
              <w:t>78 607,50 Kč</w:t>
            </w:r>
          </w:p>
        </w:tc>
        <w:tc>
          <w:tcPr>
            <w:tcW w:w="1460" w:type="dxa"/>
            <w:shd w:val="clear" w:color="auto" w:fill="auto"/>
          </w:tcPr>
          <w:p w14:paraId="7A5AAB60" w14:textId="35DEB68B" w:rsidR="00C2502F" w:rsidRPr="00B94494" w:rsidRDefault="00C2502F" w:rsidP="00C2502F">
            <w:pPr>
              <w:spacing w:before="120"/>
              <w:jc w:val="both"/>
              <w:rPr>
                <w:rFonts w:eastAsia="Times New Roman"/>
                <w:b/>
                <w:sz w:val="22"/>
              </w:rPr>
            </w:pPr>
            <w:r w:rsidRPr="00B94494">
              <w:rPr>
                <w:rFonts w:eastAsia="Times New Roman"/>
                <w:b/>
                <w:sz w:val="22"/>
              </w:rPr>
              <w:t>95 115,08 Kč</w:t>
            </w:r>
          </w:p>
        </w:tc>
        <w:tc>
          <w:tcPr>
            <w:tcW w:w="2367" w:type="dxa"/>
            <w:gridSpan w:val="2"/>
            <w:shd w:val="clear" w:color="auto" w:fill="auto"/>
          </w:tcPr>
          <w:p w14:paraId="036D8B26" w14:textId="736FCB45" w:rsidR="00C2502F" w:rsidRPr="00B94494" w:rsidRDefault="00C2502F" w:rsidP="0096669B">
            <w:pPr>
              <w:spacing w:before="120"/>
              <w:jc w:val="center"/>
              <w:rPr>
                <w:rFonts w:eastAsia="Times New Roman"/>
                <w:b/>
                <w:sz w:val="22"/>
              </w:rPr>
            </w:pPr>
            <w:proofErr w:type="spellStart"/>
            <w:r w:rsidRPr="00B94494">
              <w:rPr>
                <w:rFonts w:eastAsia="Times New Roman"/>
                <w:b/>
                <w:sz w:val="22"/>
              </w:rPr>
              <w:t>xxxxxxxxxxxxxxx</w:t>
            </w:r>
            <w:proofErr w:type="spellEnd"/>
          </w:p>
        </w:tc>
      </w:tr>
    </w:tbl>
    <w:p w14:paraId="1E3E227C" w14:textId="08B4FE28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228708CB" w14:textId="3169196E" w:rsidR="00242C28" w:rsidRDefault="00242C28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280167F4" w14:textId="77777777" w:rsidR="00242C28" w:rsidRDefault="00242C28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242C28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C822" w14:textId="77777777" w:rsidR="001537D1" w:rsidRDefault="001537D1" w:rsidP="00583CC5">
      <w:r>
        <w:separator/>
      </w:r>
    </w:p>
  </w:endnote>
  <w:endnote w:type="continuationSeparator" w:id="0">
    <w:p w14:paraId="73ACD908" w14:textId="77777777" w:rsidR="001537D1" w:rsidRDefault="001537D1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689C4F2E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445">
          <w:rPr>
            <w:noProof/>
          </w:rPr>
          <w:t>6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BFA9A" w14:textId="77777777" w:rsidR="001537D1" w:rsidRDefault="001537D1" w:rsidP="00583CC5">
      <w:r>
        <w:separator/>
      </w:r>
    </w:p>
  </w:footnote>
  <w:footnote w:type="continuationSeparator" w:id="0">
    <w:p w14:paraId="1BB378F1" w14:textId="77777777" w:rsidR="001537D1" w:rsidRDefault="001537D1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2"/>
  </w:num>
  <w:num w:numId="7">
    <w:abstractNumId w:val="21"/>
  </w:num>
  <w:num w:numId="8">
    <w:abstractNumId w:val="24"/>
  </w:num>
  <w:num w:numId="9">
    <w:abstractNumId w:val="23"/>
  </w:num>
  <w:num w:numId="10">
    <w:abstractNumId w:val="31"/>
  </w:num>
  <w:num w:numId="11">
    <w:abstractNumId w:val="16"/>
  </w:num>
  <w:num w:numId="12">
    <w:abstractNumId w:val="14"/>
  </w:num>
  <w:num w:numId="13">
    <w:abstractNumId w:val="22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19"/>
  </w:num>
  <w:num w:numId="26">
    <w:abstractNumId w:val="20"/>
  </w:num>
  <w:num w:numId="27">
    <w:abstractNumId w:val="17"/>
  </w:num>
  <w:num w:numId="28">
    <w:abstractNumId w:val="9"/>
  </w:num>
  <w:num w:numId="29">
    <w:abstractNumId w:val="27"/>
  </w:num>
  <w:num w:numId="30">
    <w:abstractNumId w:val="15"/>
  </w:num>
  <w:num w:numId="31">
    <w:abstractNumId w:val="29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256F1"/>
    <w:rsid w:val="000330EF"/>
    <w:rsid w:val="00077221"/>
    <w:rsid w:val="000E3AF4"/>
    <w:rsid w:val="000F24B1"/>
    <w:rsid w:val="001537D1"/>
    <w:rsid w:val="001A61DA"/>
    <w:rsid w:val="001C32C6"/>
    <w:rsid w:val="001C5703"/>
    <w:rsid w:val="001F6B6A"/>
    <w:rsid w:val="0023186F"/>
    <w:rsid w:val="00242C28"/>
    <w:rsid w:val="00286253"/>
    <w:rsid w:val="0028789E"/>
    <w:rsid w:val="002E0AFA"/>
    <w:rsid w:val="00312A80"/>
    <w:rsid w:val="00332CAF"/>
    <w:rsid w:val="00424445"/>
    <w:rsid w:val="004F3CF3"/>
    <w:rsid w:val="00503200"/>
    <w:rsid w:val="00562F65"/>
    <w:rsid w:val="00565069"/>
    <w:rsid w:val="00571502"/>
    <w:rsid w:val="00583CC5"/>
    <w:rsid w:val="0059786B"/>
    <w:rsid w:val="005B540D"/>
    <w:rsid w:val="005E06C5"/>
    <w:rsid w:val="005E2B8C"/>
    <w:rsid w:val="005E6862"/>
    <w:rsid w:val="00675238"/>
    <w:rsid w:val="00697787"/>
    <w:rsid w:val="006A01A9"/>
    <w:rsid w:val="00703DD4"/>
    <w:rsid w:val="0071399D"/>
    <w:rsid w:val="00770FBD"/>
    <w:rsid w:val="007A3E39"/>
    <w:rsid w:val="007D593E"/>
    <w:rsid w:val="007E7DFF"/>
    <w:rsid w:val="00826202"/>
    <w:rsid w:val="008515B9"/>
    <w:rsid w:val="008903EE"/>
    <w:rsid w:val="00893DE1"/>
    <w:rsid w:val="008F0397"/>
    <w:rsid w:val="0090768A"/>
    <w:rsid w:val="00911FDE"/>
    <w:rsid w:val="009124A3"/>
    <w:rsid w:val="00913791"/>
    <w:rsid w:val="009244F9"/>
    <w:rsid w:val="0093661D"/>
    <w:rsid w:val="00950D80"/>
    <w:rsid w:val="009573D3"/>
    <w:rsid w:val="00963747"/>
    <w:rsid w:val="0096669B"/>
    <w:rsid w:val="00994861"/>
    <w:rsid w:val="009B08B5"/>
    <w:rsid w:val="009C5955"/>
    <w:rsid w:val="009D3AA4"/>
    <w:rsid w:val="009D6E57"/>
    <w:rsid w:val="009D7E61"/>
    <w:rsid w:val="009F78F7"/>
    <w:rsid w:val="00A03C83"/>
    <w:rsid w:val="00A33670"/>
    <w:rsid w:val="00A77A7D"/>
    <w:rsid w:val="00A95B5F"/>
    <w:rsid w:val="00AB0FD4"/>
    <w:rsid w:val="00AC704E"/>
    <w:rsid w:val="00AD3B63"/>
    <w:rsid w:val="00B71D3D"/>
    <w:rsid w:val="00B94494"/>
    <w:rsid w:val="00BD77F1"/>
    <w:rsid w:val="00BF45DF"/>
    <w:rsid w:val="00C05316"/>
    <w:rsid w:val="00C2502F"/>
    <w:rsid w:val="00C4114B"/>
    <w:rsid w:val="00C5302C"/>
    <w:rsid w:val="00C63BC4"/>
    <w:rsid w:val="00C67DB5"/>
    <w:rsid w:val="00CB314E"/>
    <w:rsid w:val="00CD0246"/>
    <w:rsid w:val="00CD46D8"/>
    <w:rsid w:val="00CD6EC9"/>
    <w:rsid w:val="00D2067A"/>
    <w:rsid w:val="00D848CB"/>
    <w:rsid w:val="00D87F4B"/>
    <w:rsid w:val="00E220DB"/>
    <w:rsid w:val="00E33B13"/>
    <w:rsid w:val="00E62CF5"/>
    <w:rsid w:val="00E85545"/>
    <w:rsid w:val="00EE0C73"/>
    <w:rsid w:val="00F20132"/>
    <w:rsid w:val="00F32954"/>
    <w:rsid w:val="00F32A9A"/>
    <w:rsid w:val="00F46FBB"/>
    <w:rsid w:val="00F70321"/>
    <w:rsid w:val="00F83EDE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1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B08-EDFE-4052-A588-33672140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2138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33</cp:revision>
  <cp:lastPrinted>2024-10-11T05:48:00Z</cp:lastPrinted>
  <dcterms:created xsi:type="dcterms:W3CDTF">2024-02-22T06:55:00Z</dcterms:created>
  <dcterms:modified xsi:type="dcterms:W3CDTF">2024-10-21T10:28:00Z</dcterms:modified>
</cp:coreProperties>
</file>