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414741/2024/Vaš UID: spuess920e2e0e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Sídlo: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Husinecká 1024/11 a, PSČ 130 00 , IČO: 01312774 , DIČ: CZ01312774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 který právně jedná Ing. Lenka Dráhová, vedoucí Pobočky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adresa Velká Krajská 1,412 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680" w:right="0" w:hanging="4680"/>
        <w:jc w:val="left"/>
      </w:pPr>
      <w:r>
        <w:rPr>
          <w:rStyle w:val="CharStyle3"/>
        </w:rPr>
        <w:t>(dále jen „pronajímatel“) - 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Viktor Sedlák, </w:t>
      </w:r>
      <w:r>
        <w:rPr>
          <w:rStyle w:val="CharStyle3"/>
        </w:rPr>
        <w:t>r. č.: 48xxxx/xxx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Bytem: xxxxxxxxxxx, 412 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Doručovací adresa: xxxxxxxxxx, 412 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(dále jen "nájemce") 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uzavírají tuto dohodu o ukončení nájemní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159N09/38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bookmarkStart w:id="3" w:name="bookmark3"/>
      <w:r>
        <w:rPr>
          <w:rStyle w:val="CharStyle5"/>
          <w:b/>
          <w:bCs/>
        </w:rPr>
        <w:t>ČI. I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both"/>
      </w:pPr>
      <w:r>
        <w:rPr>
          <w:rStyle w:val="CharStyle3"/>
        </w:rPr>
        <w:t xml:space="preserve">Pronajímatel a nájemce uzavřeli dne 21.10.2009 nájemní smlouvu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159N09/38 ( dod č. 1-13 a Oznámení o změně výše nájemného), dále jen ("smlouva") na pronájem částí pozemků </w:t>
      </w:r>
      <w:r>
        <w:rPr>
          <w:rStyle w:val="CharStyle3"/>
          <w:b/>
          <w:bCs/>
        </w:rPr>
        <w:t>v k.ú. Býčkovice, Trnovany u Litoměřic, Třeboutice a Velký Újezd u Litoměřic.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280" w:right="0" w:firstLine="0"/>
        <w:jc w:val="left"/>
      </w:pPr>
      <w:bookmarkStart w:id="5" w:name="bookmark5"/>
      <w:r>
        <w:rPr>
          <w:rStyle w:val="CharStyle5"/>
          <w:b/>
          <w:bCs/>
        </w:rPr>
        <w:t>ČI. II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760"/>
        <w:jc w:val="both"/>
      </w:pPr>
      <w:r>
        <w:rPr>
          <w:rStyle w:val="CharStyle3"/>
        </w:rPr>
        <w:t xml:space="preserve">Pronajímatel a nájemce se dohodli na ukončení nájemní smlouvy specifikované v čl. I této dohody, a </w:t>
      </w:r>
      <w:r>
        <w:rPr>
          <w:rStyle w:val="CharStyle3"/>
          <w:b/>
          <w:bCs/>
          <w:u w:val="single"/>
        </w:rPr>
        <w:t xml:space="preserve">to k datu 31.10.2024 </w:t>
      </w:r>
      <w:r>
        <w:rPr>
          <w:rStyle w:val="CharStyle3"/>
          <w:u w:val="single"/>
        </w:rPr>
        <w:t>z důvodu neužívání a přechodu na jiného pachtýře - xxxxxxxxx,</w:t>
      </w:r>
      <w:r>
        <w:rPr>
          <w:rStyle w:val="CharStyle3"/>
        </w:rPr>
        <w:t xml:space="preserve"> kromě KN 205/5 v k.ú. Trnovany u Litoměřic, KN 340/14 a 340/15 v k.ú. Třeboutice, KN 140/8 a 141/2 v k.ú. Velký Újezd u Litoměřic, které nejsou zemědělsky užívané.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280" w:right="0" w:firstLine="0"/>
        <w:jc w:val="left"/>
      </w:pPr>
      <w:bookmarkStart w:id="7" w:name="bookmark7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40"/>
        <w:jc w:val="both"/>
      </w:pPr>
      <w:r>
        <w:rPr>
          <w:rStyle w:val="CharStyle3"/>
        </w:rPr>
        <w:t xml:space="preserve">Po prověření předpisů a plnění nájemného z nájemní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159N09/38 byl zjištěn </w:t>
      </w:r>
      <w:r>
        <w:rPr>
          <w:rStyle w:val="CharStyle3"/>
          <w:u w:val="single"/>
        </w:rPr>
        <w:t xml:space="preserve">předpis nájemného za období 1.10.2024 - 31.10.2024 ve výši </w:t>
      </w:r>
      <w:r>
        <w:rPr>
          <w:rStyle w:val="CharStyle3"/>
          <w:b/>
          <w:bCs/>
          <w:u w:val="single"/>
        </w:rPr>
        <w:t>6.911,-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 xml:space="preserve">Tento předpis nájemného bude uhrazen nájemcem </w:t>
      </w:r>
      <w:r>
        <w:rPr>
          <w:rStyle w:val="CharStyle3"/>
          <w:u w:val="single"/>
        </w:rPr>
        <w:t>v co nejkratší době</w:t>
      </w:r>
      <w:r>
        <w:rPr>
          <w:rStyle w:val="CharStyle3"/>
        </w:rPr>
        <w:t xml:space="preserve">, nejpozději k 31.12.2024 na účet pronajímatele vedený u České národní banky, číslo účtu : </w:t>
      </w:r>
      <w:r>
        <w:rPr>
          <w:rStyle w:val="CharStyle3"/>
          <w:b/>
          <w:bCs/>
        </w:rPr>
        <w:t>60011-3723001 / 0710 , variabilní symbol 15910938.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Čl. IV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Tato dohoda je vyhotovena v 2 stejnopisech, z nichž každý má platnost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Jeden stejnopis přebírá nájemce a jeden je určen pro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bookmarkStart w:id="9" w:name="bookmark9"/>
      <w:r>
        <w:rPr>
          <w:rStyle w:val="CharStyle5"/>
          <w:b/>
          <w:bCs/>
        </w:rPr>
        <w:t>Čl. V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40"/>
        <w:jc w:val="left"/>
      </w:pPr>
      <w:r>
        <w:rPr>
          <w:rStyle w:val="CharStyle3"/>
        </w:rPr>
        <w:t>Tato dohoda nabývá platnosti dnem jejího podpisu oběma účastníky dohody.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bookmarkStart w:id="11" w:name="bookmark11"/>
      <w:r>
        <w:rPr>
          <w:rStyle w:val="CharStyle5"/>
          <w:b/>
          <w:bCs/>
        </w:rPr>
        <w:t>Čl. VI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40"/>
        <w:jc w:val="both"/>
      </w:pPr>
      <w:r>
        <w:rPr>
          <w:rStyle w:val="CharStyle3"/>
        </w:rPr>
        <w:t>Účastníci dohody po jejím přečtení prohlašují, že s jejím obsahem souhlasí a že tato dohoda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rStyle w:val="CharStyle3"/>
        </w:rPr>
        <w:t>V Litoměřicích, dne 21. 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4371340</wp:posOffset>
                </wp:positionH>
                <wp:positionV relativeFrom="paragraph">
                  <wp:posOffset>12700</wp:posOffset>
                </wp:positionV>
                <wp:extent cx="987425" cy="6540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Viktor Sedlák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4.19999999999999pt;margin-top:1.pt;width:77.75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Viktor Sedlák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pronajímatel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Tato dohoda o ukončení nájemní smlouvy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0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0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35" w:val="left"/>
          <w:tab w:leader="dot" w:pos="270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01" w:val="left"/>
          <w:tab w:pos="4010" w:val="left"/>
          <w:tab w:leader="dot" w:pos="69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</w:t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6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41" w:right="721" w:bottom="748" w:left="648" w:header="113" w:footer="32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left="43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0050AA46F26A241021083029</dc:title>
  <dc:subject/>
  <dc:creator>vasakovad</dc:creator>
  <cp:keywords/>
</cp:coreProperties>
</file>