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numPr>
          <w:ilvl w:val="0"/>
          <w:numId w:val="1"/>
        </w:numPr>
        <w:framePr w:w="9192" w:h="4082" w:hRule="exact" w:wrap="none" w:vAnchor="page" w:hAnchor="page" w:x="1384" w:y="1198"/>
        <w:tabs>
          <w:tab w:leader="none" w:pos="799" w:val="left"/>
        </w:tabs>
        <w:widowControl w:val="0"/>
        <w:keepNext w:val="0"/>
        <w:keepLines w:val="0"/>
        <w:shd w:val="clear" w:color="auto" w:fill="auto"/>
        <w:bidi w:val="0"/>
        <w:jc w:val="left"/>
        <w:spacing w:before="0" w:after="0"/>
        <w:ind w:left="460" w:right="0" w:firstLine="0"/>
      </w:pPr>
      <w:bookmarkStart w:id="0" w:name="bookmark0"/>
      <w:r>
        <w:rPr>
          <w:lang w:val="cs-CZ" w:eastAsia="cs-CZ" w:bidi="cs-CZ"/>
          <w:w w:val="100"/>
          <w:spacing w:val="0"/>
          <w:color w:val="000000"/>
          <w:position w:val="0"/>
        </w:rPr>
        <w:t>Doprava</w:t>
      </w:r>
      <w:bookmarkEnd w:id="0"/>
    </w:p>
    <w:p>
      <w:pPr>
        <w:pStyle w:val="Style4"/>
        <w:framePr w:w="9192" w:h="4082" w:hRule="exact" w:wrap="none" w:vAnchor="page" w:hAnchor="page" w:x="1384" w:y="119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Dopravu zajišťuje Dodavatel.</w:t>
      </w:r>
    </w:p>
    <w:p>
      <w:pPr>
        <w:pStyle w:val="Style4"/>
        <w:framePr w:w="9192" w:h="4082" w:hRule="exact" w:wrap="none" w:vAnchor="page" w:hAnchor="page" w:x="1384" w:y="1198"/>
        <w:widowControl w:val="0"/>
        <w:keepNext w:val="0"/>
        <w:keepLines w:val="0"/>
        <w:shd w:val="clear" w:color="auto" w:fill="auto"/>
        <w:bidi w:val="0"/>
        <w:jc w:val="left"/>
        <w:spacing w:before="0" w:after="251" w:line="235" w:lineRule="exact"/>
        <w:ind w:left="0" w:right="0" w:firstLine="0"/>
      </w:pPr>
      <w:r>
        <w:rPr>
          <w:lang w:val="cs-CZ" w:eastAsia="cs-CZ" w:bidi="cs-CZ"/>
          <w:w w:val="100"/>
          <w:spacing w:val="0"/>
          <w:color w:val="000000"/>
          <w:position w:val="0"/>
        </w:rPr>
        <w:t xml:space="preserve">Autobus bude přistaven na adresu: Českomalínská </w:t>
      </w:r>
      <w:r>
        <w:rPr>
          <w:rStyle w:val="CharStyle6"/>
        </w:rPr>
        <w:t>35</w:t>
      </w:r>
      <w:r>
        <w:rPr>
          <w:rStyle w:val="CharStyle7"/>
          <w:b/>
          <w:bCs/>
        </w:rPr>
        <w:t xml:space="preserve">, </w:t>
      </w:r>
      <w:r>
        <w:rPr>
          <w:lang w:val="cs-CZ" w:eastAsia="cs-CZ" w:bidi="cs-CZ"/>
          <w:w w:val="100"/>
          <w:spacing w:val="0"/>
          <w:color w:val="000000"/>
          <w:position w:val="0"/>
        </w:rPr>
        <w:t xml:space="preserve">Praha 6 v den odjezdu tj. 15. 5. 2017 </w:t>
      </w:r>
      <w:r>
        <w:rPr>
          <w:rStyle w:val="CharStyle8"/>
        </w:rPr>
        <w:t xml:space="preserve">v </w:t>
      </w:r>
      <w:r>
        <w:rPr>
          <w:lang w:val="cs-CZ" w:eastAsia="cs-CZ" w:bidi="cs-CZ"/>
          <w:w w:val="100"/>
          <w:spacing w:val="0"/>
          <w:color w:val="000000"/>
          <w:position w:val="0"/>
        </w:rPr>
        <w:t>8:30. Odjezd z areálu v 9:00. Odjezd z místa ubytování 19. 5. 2017 v cca 10:00. Předpokládaný příjezd k areálu Školy mezi 13:00 a 14:00.</w:t>
      </w:r>
    </w:p>
    <w:p>
      <w:pPr>
        <w:pStyle w:val="Style2"/>
        <w:numPr>
          <w:ilvl w:val="0"/>
          <w:numId w:val="1"/>
        </w:numPr>
        <w:framePr w:w="9192" w:h="4082" w:hRule="exact" w:wrap="none" w:vAnchor="page" w:hAnchor="page" w:x="1384" w:y="1198"/>
        <w:tabs>
          <w:tab w:leader="none" w:pos="799" w:val="left"/>
        </w:tabs>
        <w:widowControl w:val="0"/>
        <w:keepNext w:val="0"/>
        <w:keepLines w:val="0"/>
        <w:shd w:val="clear" w:color="auto" w:fill="auto"/>
        <w:bidi w:val="0"/>
        <w:jc w:val="left"/>
        <w:spacing w:before="0" w:after="240"/>
        <w:ind w:left="460" w:right="0" w:firstLine="0"/>
      </w:pPr>
      <w:bookmarkStart w:id="1" w:name="bookmark1"/>
      <w:r>
        <w:rPr>
          <w:lang w:val="cs-CZ" w:eastAsia="cs-CZ" w:bidi="cs-CZ"/>
          <w:w w:val="100"/>
          <w:spacing w:val="0"/>
          <w:color w:val="000000"/>
          <w:position w:val="0"/>
        </w:rPr>
        <w:t>Program školy v přírodě</w:t>
      </w:r>
      <w:bookmarkEnd w:id="1"/>
    </w:p>
    <w:p>
      <w:pPr>
        <w:pStyle w:val="Style2"/>
        <w:framePr w:w="9192" w:h="4082" w:hRule="exact" w:wrap="none" w:vAnchor="page" w:hAnchor="page" w:x="1384" w:y="1198"/>
        <w:widowControl w:val="0"/>
        <w:keepNext w:val="0"/>
        <w:keepLines w:val="0"/>
        <w:shd w:val="clear" w:color="auto" w:fill="auto"/>
        <w:bidi w:val="0"/>
        <w:jc w:val="left"/>
        <w:spacing w:before="0" w:after="0"/>
        <w:ind w:left="840" w:right="0" w:firstLine="0"/>
      </w:pPr>
      <w:bookmarkStart w:id="2" w:name="bookmark2"/>
      <w:r>
        <w:rPr>
          <w:lang w:val="cs-CZ" w:eastAsia="cs-CZ" w:bidi="cs-CZ"/>
          <w:w w:val="100"/>
          <w:spacing w:val="0"/>
          <w:color w:val="000000"/>
          <w:position w:val="0"/>
        </w:rPr>
        <w:t>Vybrané téma pobytu: PŘÍRODA JE KAMARÁD</w:t>
      </w:r>
      <w:bookmarkEnd w:id="2"/>
    </w:p>
    <w:p>
      <w:pPr>
        <w:pStyle w:val="Style4"/>
        <w:framePr w:w="9192" w:h="4082" w:hRule="exact" w:wrap="none" w:vAnchor="page" w:hAnchor="page" w:x="1384" w:y="1198"/>
        <w:widowControl w:val="0"/>
        <w:keepNext w:val="0"/>
        <w:keepLines w:val="0"/>
        <w:shd w:val="clear" w:color="auto" w:fill="auto"/>
        <w:bidi w:val="0"/>
        <w:jc w:val="both"/>
        <w:spacing w:before="0" w:after="240" w:line="230" w:lineRule="exact"/>
        <w:ind w:left="0" w:right="0" w:firstLine="0"/>
      </w:pPr>
      <w:r>
        <w:rPr>
          <w:lang w:val="cs-CZ" w:eastAsia="cs-CZ" w:bidi="cs-CZ"/>
          <w:w w:val="100"/>
          <w:spacing w:val="0"/>
          <w:color w:val="000000"/>
          <w:position w:val="0"/>
        </w:rPr>
        <w:t>Dodavatel se zavazuje zajistit program od 13:00 hodin do večerky a noční hlídání pro účastníky pobytu v době od večerky do 7:00 hodin ráno. Konkrétní podoba programu bude dohodnuta písemně, a to nejpozději 10 dnů před začátkem Pobytu.</w:t>
      </w:r>
    </w:p>
    <w:p>
      <w:pPr>
        <w:pStyle w:val="Style4"/>
        <w:framePr w:w="9192" w:h="4082" w:hRule="exact" w:wrap="none" w:vAnchor="page" w:hAnchor="page" w:x="1384" w:y="1198"/>
        <w:widowControl w:val="0"/>
        <w:keepNext w:val="0"/>
        <w:keepLines w:val="0"/>
        <w:shd w:val="clear" w:color="auto" w:fill="auto"/>
        <w:bidi w:val="0"/>
        <w:jc w:val="left"/>
        <w:spacing w:before="0" w:after="247" w:line="230" w:lineRule="exact"/>
        <w:ind w:left="0" w:right="0" w:firstLine="0"/>
      </w:pPr>
      <w:r>
        <w:rPr>
          <w:lang w:val="cs-CZ" w:eastAsia="cs-CZ" w:bidi="cs-CZ"/>
          <w:w w:val="100"/>
          <w:spacing w:val="0"/>
          <w:color w:val="000000"/>
          <w:position w:val="0"/>
        </w:rPr>
        <w:t>Na každých 15 dětí bude k dispozici jeden instruktor, dále podle vyhlášky MŠMT, pokud nebude domluveno jinak. Taková domluva musí být sepsána a podepsána zástupci obou stran.</w:t>
      </w:r>
    </w:p>
    <w:p>
      <w:pPr>
        <w:pStyle w:val="Style2"/>
        <w:numPr>
          <w:ilvl w:val="0"/>
          <w:numId w:val="1"/>
        </w:numPr>
        <w:framePr w:w="9192" w:h="4082" w:hRule="exact" w:wrap="none" w:vAnchor="page" w:hAnchor="page" w:x="1384" w:y="1198"/>
        <w:tabs>
          <w:tab w:leader="none" w:pos="799" w:val="left"/>
        </w:tabs>
        <w:widowControl w:val="0"/>
        <w:keepNext w:val="0"/>
        <w:keepLines w:val="0"/>
        <w:shd w:val="clear" w:color="auto" w:fill="auto"/>
        <w:bidi w:val="0"/>
        <w:jc w:val="left"/>
        <w:spacing w:before="0" w:after="0"/>
        <w:ind w:left="460" w:right="0" w:firstLine="0"/>
      </w:pPr>
      <w:bookmarkStart w:id="3" w:name="bookmark3"/>
      <w:r>
        <w:rPr>
          <w:lang w:val="cs-CZ" w:eastAsia="cs-CZ" w:bidi="cs-CZ"/>
          <w:w w:val="100"/>
          <w:spacing w:val="0"/>
          <w:color w:val="000000"/>
          <w:position w:val="0"/>
        </w:rPr>
        <w:t>Cenová ujednání, počet účastníků</w:t>
      </w:r>
      <w:bookmarkEnd w:id="3"/>
    </w:p>
    <w:p>
      <w:pPr>
        <w:pStyle w:val="Style9"/>
        <w:framePr w:wrap="none" w:vAnchor="page" w:hAnchor="page" w:x="1461" w:y="5465"/>
        <w:widowControl w:val="0"/>
        <w:keepNext w:val="0"/>
        <w:keepLines w:val="0"/>
        <w:shd w:val="clear" w:color="auto" w:fill="auto"/>
        <w:bidi w:val="0"/>
        <w:jc w:val="left"/>
        <w:spacing w:before="0" w:after="0"/>
        <w:ind w:left="0" w:right="0" w:firstLine="0"/>
      </w:pPr>
      <w:r>
        <w:rPr>
          <w:rStyle w:val="CharStyle11"/>
        </w:rPr>
        <w:t>Předběžný počet žáků: 22</w:t>
      </w:r>
    </w:p>
    <w:tbl>
      <w:tblPr>
        <w:tblOverlap w:val="never"/>
        <w:tblLayout w:type="fixed"/>
        <w:jc w:val="left"/>
      </w:tblPr>
      <w:tblGrid>
        <w:gridCol w:w="1963"/>
        <w:gridCol w:w="955"/>
        <w:gridCol w:w="6144"/>
      </w:tblGrid>
      <w:tr>
        <w:trPr>
          <w:trHeight w:val="269" w:hRule="exact"/>
        </w:trPr>
        <w:tc>
          <w:tcPr>
            <w:shd w:val="clear" w:color="auto" w:fill="FFFFFF"/>
            <w:tcBorders>
              <w:left w:val="single" w:sz="4"/>
              <w:top w:val="single" w:sz="4"/>
            </w:tcBorders>
            <w:vAlign w:val="bottom"/>
          </w:tcPr>
          <w:p>
            <w:pPr>
              <w:pStyle w:val="Style4"/>
              <w:framePr w:w="9062" w:h="778" w:wrap="none" w:vAnchor="page" w:hAnchor="page" w:x="1470" w:y="5710"/>
              <w:tabs>
                <w:tab w:leader="none" w:pos="715" w:val="left"/>
              </w:tabs>
              <w:widowControl w:val="0"/>
              <w:keepNext w:val="0"/>
              <w:keepLines w:val="0"/>
              <w:shd w:val="clear" w:color="auto" w:fill="auto"/>
              <w:bidi w:val="0"/>
              <w:jc w:val="both"/>
              <w:spacing w:before="0" w:after="0"/>
              <w:ind w:left="0" w:right="0" w:firstLine="0"/>
            </w:pPr>
            <w:r>
              <w:rPr>
                <w:rStyle w:val="CharStyle12"/>
              </w:rPr>
              <w:t>I.</w:t>
              <w:tab/>
              <w:t>stupeň</w:t>
            </w:r>
          </w:p>
        </w:tc>
        <w:tc>
          <w:tcPr>
            <w:shd w:val="clear" w:color="auto" w:fill="FFFFFF"/>
            <w:tcBorders>
              <w:left w:val="single" w:sz="4"/>
              <w:top w:val="single" w:sz="4"/>
            </w:tcBorders>
            <w:vAlign w:val="bottom"/>
          </w:tcPr>
          <w:p>
            <w:pPr>
              <w:pStyle w:val="Style4"/>
              <w:framePr w:w="9062" w:h="778" w:wrap="none" w:vAnchor="page" w:hAnchor="page" w:x="1470" w:y="5710"/>
              <w:widowControl w:val="0"/>
              <w:keepNext w:val="0"/>
              <w:keepLines w:val="0"/>
              <w:shd w:val="clear" w:color="auto" w:fill="auto"/>
              <w:bidi w:val="0"/>
              <w:jc w:val="left"/>
              <w:spacing w:before="0" w:after="0"/>
              <w:ind w:left="0" w:right="0" w:firstLine="0"/>
            </w:pPr>
            <w:r>
              <w:rPr>
                <w:rStyle w:val="CharStyle13"/>
              </w:rPr>
              <w:t>22</w:t>
            </w:r>
          </w:p>
        </w:tc>
        <w:tc>
          <w:tcPr>
            <w:shd w:val="clear" w:color="auto" w:fill="FFFFFF"/>
            <w:tcBorders>
              <w:left w:val="single" w:sz="4"/>
              <w:right w:val="single" w:sz="4"/>
              <w:top w:val="single" w:sz="4"/>
            </w:tcBorders>
            <w:vAlign w:val="bottom"/>
          </w:tcPr>
          <w:p>
            <w:pPr>
              <w:pStyle w:val="Style4"/>
              <w:framePr w:w="9062" w:h="778" w:wrap="none" w:vAnchor="page" w:hAnchor="page" w:x="1470" w:y="5710"/>
              <w:widowControl w:val="0"/>
              <w:keepNext w:val="0"/>
              <w:keepLines w:val="0"/>
              <w:shd w:val="clear" w:color="auto" w:fill="auto"/>
              <w:bidi w:val="0"/>
              <w:jc w:val="left"/>
              <w:spacing w:before="0" w:after="0"/>
              <w:ind w:left="0" w:right="0" w:firstLine="0"/>
            </w:pPr>
            <w:r>
              <w:rPr>
                <w:rStyle w:val="CharStyle13"/>
              </w:rPr>
              <w:t xml:space="preserve">2. </w:t>
            </w:r>
            <w:r>
              <w:rPr>
                <w:rStyle w:val="CharStyle14"/>
              </w:rPr>
              <w:t>A</w:t>
            </w:r>
          </w:p>
        </w:tc>
      </w:tr>
      <w:tr>
        <w:trPr>
          <w:trHeight w:val="240" w:hRule="exact"/>
        </w:trPr>
        <w:tc>
          <w:tcPr>
            <w:shd w:val="clear" w:color="auto" w:fill="FFFFFF"/>
            <w:tcBorders>
              <w:left w:val="single" w:sz="4"/>
              <w:top w:val="single" w:sz="4"/>
            </w:tcBorders>
            <w:vAlign w:val="bottom"/>
          </w:tcPr>
          <w:p>
            <w:pPr>
              <w:pStyle w:val="Style4"/>
              <w:framePr w:w="9062" w:h="778" w:wrap="none" w:vAnchor="page" w:hAnchor="page" w:x="1470" w:y="5710"/>
              <w:tabs>
                <w:tab w:leader="none" w:pos="715" w:val="left"/>
              </w:tabs>
              <w:widowControl w:val="0"/>
              <w:keepNext w:val="0"/>
              <w:keepLines w:val="0"/>
              <w:shd w:val="clear" w:color="auto" w:fill="auto"/>
              <w:bidi w:val="0"/>
              <w:jc w:val="both"/>
              <w:spacing w:before="0" w:after="0"/>
              <w:ind w:left="0" w:right="0" w:firstLine="0"/>
            </w:pPr>
            <w:r>
              <w:rPr>
                <w:rStyle w:val="CharStyle12"/>
              </w:rPr>
              <w:t>II.</w:t>
              <w:tab/>
              <w:t>stupeň</w:t>
            </w:r>
          </w:p>
        </w:tc>
        <w:tc>
          <w:tcPr>
            <w:shd w:val="clear" w:color="auto" w:fill="FFFFFF"/>
            <w:tcBorders>
              <w:left w:val="single" w:sz="4"/>
              <w:top w:val="single" w:sz="4"/>
            </w:tcBorders>
            <w:vAlign w:val="top"/>
          </w:tcPr>
          <w:p>
            <w:pPr>
              <w:framePr w:w="9062" w:h="778" w:wrap="none" w:vAnchor="page" w:hAnchor="page" w:x="1470" w:y="5710"/>
              <w:widowControl w:val="0"/>
              <w:rPr>
                <w:sz w:val="10"/>
                <w:szCs w:val="10"/>
              </w:rPr>
            </w:pPr>
          </w:p>
        </w:tc>
        <w:tc>
          <w:tcPr>
            <w:shd w:val="clear" w:color="auto" w:fill="FFFFFF"/>
            <w:tcBorders>
              <w:left w:val="single" w:sz="4"/>
              <w:right w:val="single" w:sz="4"/>
              <w:top w:val="single" w:sz="4"/>
            </w:tcBorders>
            <w:vAlign w:val="top"/>
          </w:tcPr>
          <w:p>
            <w:pPr>
              <w:framePr w:w="9062" w:h="778" w:wrap="none" w:vAnchor="page" w:hAnchor="page" w:x="1470" w:y="5710"/>
              <w:widowControl w:val="0"/>
              <w:rPr>
                <w:sz w:val="10"/>
                <w:szCs w:val="10"/>
              </w:rPr>
            </w:pPr>
          </w:p>
        </w:tc>
      </w:tr>
      <w:tr>
        <w:trPr>
          <w:trHeight w:val="269" w:hRule="exact"/>
        </w:trPr>
        <w:tc>
          <w:tcPr>
            <w:shd w:val="clear" w:color="auto" w:fill="FFFFFF"/>
            <w:tcBorders>
              <w:left w:val="single" w:sz="4"/>
              <w:top w:val="single" w:sz="4"/>
              <w:bottom w:val="single" w:sz="4"/>
            </w:tcBorders>
            <w:vAlign w:val="top"/>
          </w:tcPr>
          <w:p>
            <w:pPr>
              <w:pStyle w:val="Style4"/>
              <w:framePr w:w="9062" w:h="778" w:wrap="none" w:vAnchor="page" w:hAnchor="page" w:x="1470" w:y="5710"/>
              <w:widowControl w:val="0"/>
              <w:keepNext w:val="0"/>
              <w:keepLines w:val="0"/>
              <w:shd w:val="clear" w:color="auto" w:fill="auto"/>
              <w:bidi w:val="0"/>
              <w:jc w:val="both"/>
              <w:spacing w:before="0" w:after="0"/>
              <w:ind w:left="0" w:right="0" w:firstLine="0"/>
            </w:pPr>
            <w:r>
              <w:rPr>
                <w:rStyle w:val="CharStyle12"/>
              </w:rPr>
              <w:t>Pedagogové</w:t>
            </w:r>
          </w:p>
        </w:tc>
        <w:tc>
          <w:tcPr>
            <w:shd w:val="clear" w:color="auto" w:fill="FFFFFF"/>
            <w:tcBorders>
              <w:left w:val="single" w:sz="4"/>
              <w:top w:val="single" w:sz="4"/>
              <w:bottom w:val="single" w:sz="4"/>
            </w:tcBorders>
            <w:vAlign w:val="bottom"/>
          </w:tcPr>
          <w:p>
            <w:pPr>
              <w:pStyle w:val="Style4"/>
              <w:framePr w:w="9062" w:h="778" w:wrap="none" w:vAnchor="page" w:hAnchor="page" w:x="1470" w:y="5710"/>
              <w:widowControl w:val="0"/>
              <w:keepNext w:val="0"/>
              <w:keepLines w:val="0"/>
              <w:shd w:val="clear" w:color="auto" w:fill="auto"/>
              <w:bidi w:val="0"/>
              <w:jc w:val="left"/>
              <w:spacing w:before="0" w:after="0"/>
              <w:ind w:left="0" w:right="0" w:firstLine="0"/>
            </w:pPr>
            <w:r>
              <w:rPr>
                <w:rStyle w:val="CharStyle13"/>
              </w:rPr>
              <w:t>1</w:t>
            </w:r>
          </w:p>
        </w:tc>
        <w:tc>
          <w:tcPr>
            <w:shd w:val="clear" w:color="auto" w:fill="FFFFFF"/>
            <w:tcBorders>
              <w:left w:val="single" w:sz="4"/>
              <w:right w:val="single" w:sz="4"/>
              <w:top w:val="single" w:sz="4"/>
              <w:bottom w:val="single" w:sz="4"/>
            </w:tcBorders>
            <w:vAlign w:val="top"/>
          </w:tcPr>
          <w:p>
            <w:pPr>
              <w:framePr w:w="9062" w:h="778" w:wrap="none" w:vAnchor="page" w:hAnchor="page" w:x="1470" w:y="5710"/>
              <w:widowControl w:val="0"/>
              <w:rPr>
                <w:sz w:val="10"/>
                <w:szCs w:val="10"/>
              </w:rPr>
            </w:pPr>
          </w:p>
        </w:tc>
      </w:tr>
    </w:tbl>
    <w:p>
      <w:pPr>
        <w:pStyle w:val="Style4"/>
        <w:framePr w:w="9192" w:h="9602" w:hRule="exact" w:wrap="none" w:vAnchor="page" w:hAnchor="page" w:x="1384" w:y="6679"/>
        <w:widowControl w:val="0"/>
        <w:keepNext w:val="0"/>
        <w:keepLines w:val="0"/>
        <w:shd w:val="clear" w:color="auto" w:fill="auto"/>
        <w:bidi w:val="0"/>
        <w:jc w:val="left"/>
        <w:spacing w:before="0" w:after="233"/>
        <w:ind w:left="0" w:right="0" w:firstLine="0"/>
      </w:pPr>
      <w:r>
        <w:rPr>
          <w:lang w:val="cs-CZ" w:eastAsia="cs-CZ" w:bidi="cs-CZ"/>
          <w:w w:val="100"/>
          <w:spacing w:val="0"/>
          <w:color w:val="000000"/>
          <w:position w:val="0"/>
        </w:rPr>
        <w:t>Závazně je počet žáků nutné potvrdit nejpozději do 30 dnů před začátkem pobytu.</w:t>
      </w:r>
    </w:p>
    <w:p>
      <w:pPr>
        <w:pStyle w:val="Style4"/>
        <w:framePr w:w="9192" w:h="9602" w:hRule="exact" w:wrap="none" w:vAnchor="page" w:hAnchor="page" w:x="1384" w:y="6679"/>
        <w:widowControl w:val="0"/>
        <w:keepNext w:val="0"/>
        <w:keepLines w:val="0"/>
        <w:shd w:val="clear" w:color="auto" w:fill="auto"/>
        <w:bidi w:val="0"/>
        <w:jc w:val="left"/>
        <w:spacing w:before="0" w:after="240" w:line="230" w:lineRule="exact"/>
        <w:ind w:left="0" w:right="0" w:firstLine="0"/>
      </w:pPr>
      <w:r>
        <w:rPr>
          <w:rStyle w:val="CharStyle8"/>
        </w:rPr>
        <w:t xml:space="preserve">Cena za pobyt </w:t>
      </w:r>
      <w:r>
        <w:rPr>
          <w:lang w:val="cs-CZ" w:eastAsia="cs-CZ" w:bidi="cs-CZ"/>
          <w:w w:val="100"/>
          <w:spacing w:val="0"/>
          <w:color w:val="000000"/>
          <w:position w:val="0"/>
        </w:rPr>
        <w:t xml:space="preserve">činí 3 </w:t>
      </w:r>
      <w:r>
        <w:rPr>
          <w:rStyle w:val="CharStyle8"/>
        </w:rPr>
        <w:t xml:space="preserve">190 Kč </w:t>
      </w:r>
      <w:r>
        <w:rPr>
          <w:lang w:val="cs-CZ" w:eastAsia="cs-CZ" w:bidi="cs-CZ"/>
          <w:w w:val="100"/>
          <w:spacing w:val="0"/>
          <w:color w:val="000000"/>
          <w:position w:val="0"/>
        </w:rPr>
        <w:t>za žáka včetně DPH. Tato cena je zaručena při dodržení výše uvedeného předběžného počtu žáků s tolerancí -1 žáků.</w:t>
      </w:r>
    </w:p>
    <w:p>
      <w:pPr>
        <w:pStyle w:val="Style4"/>
        <w:framePr w:w="9192" w:h="9602" w:hRule="exact" w:wrap="none" w:vAnchor="page" w:hAnchor="page" w:x="1384" w:y="6679"/>
        <w:widowControl w:val="0"/>
        <w:keepNext w:val="0"/>
        <w:keepLines w:val="0"/>
        <w:shd w:val="clear" w:color="auto" w:fill="auto"/>
        <w:bidi w:val="0"/>
        <w:jc w:val="left"/>
        <w:spacing w:before="0" w:after="240" w:line="230" w:lineRule="exact"/>
        <w:ind w:left="0" w:right="0" w:firstLine="0"/>
      </w:pPr>
      <w:r>
        <w:rPr>
          <w:rStyle w:val="CharStyle8"/>
        </w:rPr>
        <w:t xml:space="preserve">Cena za pobyt zahrnuje: </w:t>
      </w:r>
      <w:r>
        <w:rPr>
          <w:lang w:val="cs-CZ" w:eastAsia="cs-CZ" w:bidi="cs-CZ"/>
          <w:w w:val="100"/>
          <w:spacing w:val="0"/>
          <w:color w:val="000000"/>
          <w:position w:val="0"/>
        </w:rPr>
        <w:t>dopravu, ubytování včetně ubytovacího poplatku, stravu 5x denně včetně pitného režimu, program po celou dobu pobytu včetně vybavení, 1 instruktora na každých 15 žáků, zdravotníka včetně lékárničky, noční hlídání (instruktor), pobyt pro pedagogy (1) zdarma (jídlo 5x denně, ubytování, doprava), pojištění na storno pobytu v případě nemoci.</w:t>
      </w:r>
    </w:p>
    <w:p>
      <w:pPr>
        <w:pStyle w:val="Style4"/>
        <w:framePr w:w="9192" w:h="9602" w:hRule="exact" w:wrap="none" w:vAnchor="page" w:hAnchor="page" w:x="1384" w:y="6679"/>
        <w:widowControl w:val="0"/>
        <w:keepNext w:val="0"/>
        <w:keepLines w:val="0"/>
        <w:shd w:val="clear" w:color="auto" w:fill="auto"/>
        <w:bidi w:val="0"/>
        <w:jc w:val="left"/>
        <w:spacing w:before="0" w:after="240" w:line="230" w:lineRule="exact"/>
        <w:ind w:left="0" w:right="0" w:firstLine="0"/>
      </w:pPr>
      <w:r>
        <w:rPr>
          <w:lang w:val="cs-CZ" w:eastAsia="cs-CZ" w:bidi="cs-CZ"/>
          <w:w w:val="100"/>
          <w:spacing w:val="0"/>
          <w:color w:val="000000"/>
          <w:position w:val="0"/>
        </w:rPr>
        <w:t>Pojištění na storno znamená, že při neúčasti žáka na pobytu ze zdravotních důvodů mu bude na základě lékařské zprávy vrácena pojišťovnou částka ve výši 80% ze storno poplatku uvedeného v této smlouvě.</w:t>
      </w:r>
    </w:p>
    <w:p>
      <w:pPr>
        <w:pStyle w:val="Style4"/>
        <w:framePr w:w="9192" w:h="9602" w:hRule="exact" w:wrap="none" w:vAnchor="page" w:hAnchor="page" w:x="1384" w:y="6679"/>
        <w:widowControl w:val="0"/>
        <w:keepNext w:val="0"/>
        <w:keepLines w:val="0"/>
        <w:shd w:val="clear" w:color="auto" w:fill="auto"/>
        <w:bidi w:val="0"/>
        <w:jc w:val="left"/>
        <w:spacing w:before="0" w:after="247" w:line="230" w:lineRule="exact"/>
        <w:ind w:left="0" w:right="0" w:firstLine="0"/>
      </w:pPr>
      <w:r>
        <w:rPr>
          <w:rStyle w:val="CharStyle8"/>
        </w:rPr>
        <w:t xml:space="preserve">Cena za pobyt nezahrnuje: </w:t>
      </w:r>
      <w:r>
        <w:rPr>
          <w:lang w:val="cs-CZ" w:eastAsia="cs-CZ" w:bidi="cs-CZ"/>
          <w:w w:val="100"/>
          <w:spacing w:val="0"/>
          <w:color w:val="000000"/>
          <w:position w:val="0"/>
        </w:rPr>
        <w:t>úrazové pojištění a pojištění odpovědnosti 3. osobě cenu za celodenní výlet, která činí cca 250,- Kč na osobu.</w:t>
      </w:r>
    </w:p>
    <w:p>
      <w:pPr>
        <w:pStyle w:val="Style15"/>
        <w:framePr w:w="9192" w:h="9602" w:hRule="exact" w:wrap="none" w:vAnchor="page" w:hAnchor="page" w:x="1384" w:y="6679"/>
        <w:widowControl w:val="0"/>
        <w:keepNext w:val="0"/>
        <w:keepLines w:val="0"/>
        <w:shd w:val="clear" w:color="auto" w:fill="auto"/>
        <w:bidi w:val="0"/>
        <w:jc w:val="left"/>
        <w:spacing w:before="0" w:after="230"/>
        <w:ind w:left="0" w:right="0" w:firstLine="0"/>
      </w:pPr>
      <w:r>
        <w:rPr>
          <w:lang w:val="cs-CZ" w:eastAsia="cs-CZ" w:bidi="cs-CZ"/>
          <w:w w:val="100"/>
          <w:spacing w:val="0"/>
          <w:color w:val="000000"/>
          <w:position w:val="0"/>
        </w:rPr>
        <w:t xml:space="preserve">Celková cena </w:t>
      </w:r>
      <w:r>
        <w:rPr>
          <w:rStyle w:val="CharStyle17"/>
          <w:b w:val="0"/>
          <w:bCs w:val="0"/>
        </w:rPr>
        <w:t xml:space="preserve">za pobyt činí </w:t>
      </w:r>
      <w:r>
        <w:rPr>
          <w:lang w:val="cs-CZ" w:eastAsia="cs-CZ" w:bidi="cs-CZ"/>
          <w:w w:val="100"/>
          <w:spacing w:val="0"/>
          <w:color w:val="000000"/>
          <w:position w:val="0"/>
        </w:rPr>
        <w:t xml:space="preserve">70 180 Kč </w:t>
      </w:r>
      <w:r>
        <w:rPr>
          <w:rStyle w:val="CharStyle17"/>
          <w:b w:val="0"/>
          <w:bCs w:val="0"/>
        </w:rPr>
        <w:t xml:space="preserve">vč. </w:t>
      </w:r>
      <w:r>
        <w:rPr>
          <w:lang w:val="cs-CZ" w:eastAsia="cs-CZ" w:bidi="cs-CZ"/>
          <w:w w:val="100"/>
          <w:spacing w:val="0"/>
          <w:color w:val="000000"/>
          <w:position w:val="0"/>
        </w:rPr>
        <w:t>DPH</w:t>
      </w:r>
    </w:p>
    <w:p>
      <w:pPr>
        <w:pStyle w:val="Style4"/>
        <w:framePr w:w="9192" w:h="9602" w:hRule="exact" w:wrap="none" w:vAnchor="page" w:hAnchor="page" w:x="1384" w:y="6679"/>
        <w:widowControl w:val="0"/>
        <w:keepNext w:val="0"/>
        <w:keepLines w:val="0"/>
        <w:shd w:val="clear" w:color="auto" w:fill="auto"/>
        <w:bidi w:val="0"/>
        <w:jc w:val="left"/>
        <w:spacing w:before="0" w:after="244" w:line="235" w:lineRule="exact"/>
        <w:ind w:left="0" w:right="0" w:firstLine="0"/>
      </w:pPr>
      <w:r>
        <w:rPr>
          <w:lang w:val="cs-CZ" w:eastAsia="cs-CZ" w:bidi="cs-CZ"/>
          <w:w w:val="100"/>
          <w:spacing w:val="0"/>
          <w:color w:val="000000"/>
          <w:position w:val="0"/>
        </w:rPr>
        <w:t>V případě, že klesne počet žáků pod toleranci uvedenou v odst. 2. tohoto článku, nabývají platnosti následující storno podmínky z ceny pobytu žáka:</w:t>
      </w:r>
    </w:p>
    <w:p>
      <w:pPr>
        <w:pStyle w:val="Style4"/>
        <w:numPr>
          <w:ilvl w:val="0"/>
          <w:numId w:val="3"/>
        </w:numPr>
        <w:framePr w:w="9192" w:h="9602" w:hRule="exact" w:wrap="none" w:vAnchor="page" w:hAnchor="page" w:x="1384" w:y="6679"/>
        <w:tabs>
          <w:tab w:leader="none" w:pos="226" w:val="left"/>
          <w:tab w:leader="none" w:pos="799" w:val="left"/>
        </w:tabs>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1 500</w:t>
        <w:tab/>
        <w:t>Kč z ceny pobytu žáka při zrušení účasti do 30 dnů před zahájením pobytu</w:t>
      </w:r>
    </w:p>
    <w:p>
      <w:pPr>
        <w:pStyle w:val="Style4"/>
        <w:numPr>
          <w:ilvl w:val="0"/>
          <w:numId w:val="3"/>
        </w:numPr>
        <w:framePr w:w="9192" w:h="9602" w:hRule="exact" w:wrap="none" w:vAnchor="page" w:hAnchor="page" w:x="1384" w:y="6679"/>
        <w:tabs>
          <w:tab w:leader="none" w:pos="226" w:val="left"/>
          <w:tab w:leader="none" w:pos="800" w:val="left"/>
          <w:tab w:leader="none" w:pos="1375" w:val="left"/>
          <w:tab w:leader="none" w:pos="2008" w:val="left"/>
          <w:tab w:leader="none" w:pos="2450" w:val="left"/>
          <w:tab w:leader="none" w:pos="6682" w:val="right"/>
        </w:tabs>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50%</w:t>
        <w:tab/>
        <w:t>z ceny</w:t>
        <w:tab/>
        <w:t>pobytu</w:t>
        <w:tab/>
        <w:t>žáka</w:t>
        <w:tab/>
        <w:t>při zrušení účasti</w:t>
        <w:tab/>
        <w:t>do 21 dnů před zahájením pobytu</w:t>
      </w:r>
    </w:p>
    <w:p>
      <w:pPr>
        <w:pStyle w:val="Style4"/>
        <w:numPr>
          <w:ilvl w:val="0"/>
          <w:numId w:val="3"/>
        </w:numPr>
        <w:framePr w:w="9192" w:h="9602" w:hRule="exact" w:wrap="none" w:vAnchor="page" w:hAnchor="page" w:x="1384" w:y="6679"/>
        <w:tabs>
          <w:tab w:leader="none" w:pos="226" w:val="left"/>
          <w:tab w:leader="none" w:pos="805" w:val="left"/>
          <w:tab w:leader="none" w:pos="1376" w:val="left"/>
          <w:tab w:leader="none" w:pos="2010" w:val="left"/>
          <w:tab w:leader="none" w:pos="2451" w:val="left"/>
          <w:tab w:leader="none" w:pos="6682" w:val="right"/>
        </w:tabs>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75%</w:t>
        <w:tab/>
        <w:t>z ceny</w:t>
        <w:tab/>
        <w:t>pobytu</w:t>
        <w:tab/>
        <w:t>žáka</w:t>
        <w:tab/>
        <w:t>při zrušení účasti</w:t>
        <w:tab/>
        <w:t>do 14 dnů před zahájením pobytu</w:t>
      </w:r>
    </w:p>
    <w:p>
      <w:pPr>
        <w:pStyle w:val="Style4"/>
        <w:numPr>
          <w:ilvl w:val="0"/>
          <w:numId w:val="3"/>
        </w:numPr>
        <w:framePr w:w="9192" w:h="9602" w:hRule="exact" w:wrap="none" w:vAnchor="page" w:hAnchor="page" w:x="1384" w:y="6679"/>
        <w:tabs>
          <w:tab w:leader="none" w:pos="226" w:val="left"/>
          <w:tab w:leader="none" w:pos="805" w:val="left"/>
          <w:tab w:leader="none" w:pos="1376" w:val="left"/>
          <w:tab w:leader="none" w:pos="2010" w:val="left"/>
          <w:tab w:leader="none" w:pos="2451" w:val="left"/>
          <w:tab w:leader="none" w:pos="6682" w:val="right"/>
        </w:tabs>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85%</w:t>
        <w:tab/>
        <w:t>z ceny</w:t>
        <w:tab/>
        <w:t>pobytu</w:t>
        <w:tab/>
        <w:t>žáka</w:t>
        <w:tab/>
        <w:t>při zrušení účasti</w:t>
        <w:tab/>
        <w:t>do 7 dnů před zahájením pobytu</w:t>
      </w:r>
    </w:p>
    <w:p>
      <w:pPr>
        <w:pStyle w:val="Style4"/>
        <w:numPr>
          <w:ilvl w:val="0"/>
          <w:numId w:val="3"/>
        </w:numPr>
        <w:framePr w:w="9192" w:h="9602" w:hRule="exact" w:wrap="none" w:vAnchor="page" w:hAnchor="page" w:x="1384" w:y="6679"/>
        <w:tabs>
          <w:tab w:leader="none" w:pos="229" w:val="left"/>
        </w:tabs>
        <w:widowControl w:val="0"/>
        <w:keepNext w:val="0"/>
        <w:keepLines w:val="0"/>
        <w:shd w:val="clear" w:color="auto" w:fill="auto"/>
        <w:bidi w:val="0"/>
        <w:jc w:val="left"/>
        <w:spacing w:before="0" w:after="240" w:line="230" w:lineRule="exact"/>
        <w:ind w:left="0" w:right="0" w:firstLine="0"/>
      </w:pPr>
      <w:r>
        <w:rPr>
          <w:lang w:val="cs-CZ" w:eastAsia="cs-CZ" w:bidi="cs-CZ"/>
          <w:w w:val="100"/>
          <w:spacing w:val="0"/>
          <w:color w:val="000000"/>
          <w:position w:val="0"/>
        </w:rPr>
        <w:t>100% z ceny pobytu žáka při zrušení účasti do 3 dnů a méně před zahájením pobytu</w:t>
      </w:r>
    </w:p>
    <w:p>
      <w:pPr>
        <w:pStyle w:val="Style4"/>
        <w:framePr w:w="9192" w:h="9602" w:hRule="exact" w:wrap="none" w:vAnchor="page" w:hAnchor="page" w:x="1384" w:y="6679"/>
        <w:widowControl w:val="0"/>
        <w:keepNext w:val="0"/>
        <w:keepLines w:val="0"/>
        <w:shd w:val="clear" w:color="auto" w:fill="auto"/>
        <w:bidi w:val="0"/>
        <w:jc w:val="both"/>
        <w:spacing w:before="0" w:after="240" w:line="230" w:lineRule="exact"/>
        <w:ind w:left="0" w:right="0" w:firstLine="0"/>
      </w:pPr>
      <w:r>
        <w:rPr>
          <w:lang w:val="cs-CZ" w:eastAsia="cs-CZ" w:bidi="cs-CZ"/>
          <w:w w:val="100"/>
          <w:spacing w:val="0"/>
          <w:color w:val="000000"/>
          <w:position w:val="0"/>
        </w:rPr>
        <w:t>Při onemocnění žáka před odjezdem, bude žákovi na základě potvrzení od lékaře vrácena částka za pobyt snížená o částku 1 500 Kč. Lékařská zpráva musí být vystavena s datem předcházejícím den odjezdu na Pobyt.</w:t>
      </w:r>
    </w:p>
    <w:p>
      <w:pPr>
        <w:pStyle w:val="Style4"/>
        <w:framePr w:w="9192" w:h="9602" w:hRule="exact" w:wrap="none" w:vAnchor="page" w:hAnchor="page" w:x="1384" w:y="6679"/>
        <w:widowControl w:val="0"/>
        <w:keepNext w:val="0"/>
        <w:keepLines w:val="0"/>
        <w:shd w:val="clear" w:color="auto" w:fill="auto"/>
        <w:bidi w:val="0"/>
        <w:jc w:val="both"/>
        <w:spacing w:before="0" w:after="240" w:line="230" w:lineRule="exact"/>
        <w:ind w:left="0" w:right="0" w:firstLine="0"/>
      </w:pPr>
      <w:r>
        <w:rPr>
          <w:lang w:val="cs-CZ" w:eastAsia="cs-CZ" w:bidi="cs-CZ"/>
          <w:w w:val="100"/>
          <w:spacing w:val="0"/>
          <w:color w:val="000000"/>
          <w:position w:val="0"/>
        </w:rPr>
        <w:t>Při onemocnění nebo úrazu žáka v průběhu pobytu, bude žákovi vrácena částka za příslušný počet nocí, které zbývaly do konce pobytu ve výši 300 Kč za každou tuto noc. Nepočítá se pak první noc neúčasti na Pobytu.</w:t>
      </w:r>
    </w:p>
    <w:p>
      <w:pPr>
        <w:pStyle w:val="Style4"/>
        <w:framePr w:w="9192" w:h="9602" w:hRule="exact" w:wrap="none" w:vAnchor="page" w:hAnchor="page" w:x="1384" w:y="6679"/>
        <w:widowControl w:val="0"/>
        <w:keepNext w:val="0"/>
        <w:keepLines w:val="0"/>
        <w:shd w:val="clear" w:color="auto" w:fill="auto"/>
        <w:bidi w:val="0"/>
        <w:jc w:val="left"/>
        <w:spacing w:before="0" w:after="0" w:line="230" w:lineRule="exact"/>
        <w:ind w:left="0" w:right="0" w:firstLine="0"/>
      </w:pPr>
      <w:r>
        <w:rPr>
          <w:rStyle w:val="CharStyle8"/>
        </w:rPr>
        <w:t xml:space="preserve">Způsob úhrady </w:t>
      </w:r>
      <w:r>
        <w:rPr>
          <w:lang w:val="cs-CZ" w:eastAsia="cs-CZ" w:bidi="cs-CZ"/>
          <w:w w:val="100"/>
          <w:spacing w:val="0"/>
          <w:color w:val="000000"/>
          <w:position w:val="0"/>
        </w:rPr>
        <w:t>si smluvní strany dohodly tak, že:</w:t>
      </w:r>
    </w:p>
    <w:p>
      <w:pPr>
        <w:pStyle w:val="Style4"/>
        <w:numPr>
          <w:ilvl w:val="0"/>
          <w:numId w:val="3"/>
        </w:numPr>
        <w:framePr w:w="9192" w:h="9602" w:hRule="exact" w:wrap="none" w:vAnchor="page" w:hAnchor="page" w:x="1384" w:y="6679"/>
        <w:tabs>
          <w:tab w:leader="none" w:pos="229" w:val="left"/>
        </w:tabs>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 xml:space="preserve">1. záloha dle zálohové faktury, ve výši 33 </w:t>
      </w:r>
      <w:r>
        <w:rPr>
          <w:rStyle w:val="CharStyle8"/>
        </w:rPr>
        <w:t xml:space="preserve">000 Kč </w:t>
      </w:r>
      <w:r>
        <w:rPr>
          <w:lang w:val="cs-CZ" w:eastAsia="cs-CZ" w:bidi="cs-CZ"/>
          <w:w w:val="100"/>
          <w:spacing w:val="0"/>
          <w:color w:val="000000"/>
          <w:position w:val="0"/>
        </w:rPr>
        <w:t xml:space="preserve">je splatná </w:t>
      </w:r>
      <w:r>
        <w:rPr>
          <w:rStyle w:val="CharStyle8"/>
        </w:rPr>
        <w:t xml:space="preserve">15. </w:t>
      </w:r>
      <w:r>
        <w:rPr>
          <w:lang w:val="cs-CZ" w:eastAsia="cs-CZ" w:bidi="cs-CZ"/>
          <w:w w:val="100"/>
          <w:spacing w:val="0"/>
          <w:color w:val="000000"/>
          <w:position w:val="0"/>
        </w:rPr>
        <w:t xml:space="preserve">3. </w:t>
      </w:r>
      <w:r>
        <w:rPr>
          <w:rStyle w:val="CharStyle8"/>
        </w:rPr>
        <w:t xml:space="preserve">2017 </w:t>
      </w:r>
      <w:r>
        <w:rPr>
          <w:lang w:val="cs-CZ" w:eastAsia="cs-CZ" w:bidi="cs-CZ"/>
          <w:w w:val="100"/>
          <w:spacing w:val="0"/>
          <w:color w:val="000000"/>
          <w:position w:val="0"/>
        </w:rPr>
        <w:t>(1 500,- Kč/dítě).</w:t>
      </w:r>
    </w:p>
    <w:p>
      <w:pPr>
        <w:pStyle w:val="Style4"/>
        <w:numPr>
          <w:ilvl w:val="0"/>
          <w:numId w:val="3"/>
        </w:numPr>
        <w:framePr w:w="9192" w:h="9602" w:hRule="exact" w:wrap="none" w:vAnchor="page" w:hAnchor="page" w:x="1384" w:y="6679"/>
        <w:tabs>
          <w:tab w:leader="none" w:pos="226" w:val="left"/>
        </w:tabs>
        <w:widowControl w:val="0"/>
        <w:keepNext w:val="0"/>
        <w:keepLines w:val="0"/>
        <w:shd w:val="clear" w:color="auto" w:fill="auto"/>
        <w:bidi w:val="0"/>
        <w:jc w:val="left"/>
        <w:spacing w:before="0" w:after="244" w:line="230" w:lineRule="exact"/>
        <w:ind w:left="0" w:right="0" w:firstLine="0"/>
      </w:pPr>
      <w:r>
        <w:rPr>
          <w:lang w:val="cs-CZ" w:eastAsia="cs-CZ" w:bidi="cs-CZ"/>
          <w:w w:val="100"/>
          <w:spacing w:val="0"/>
          <w:color w:val="000000"/>
          <w:position w:val="0"/>
        </w:rPr>
        <w:t xml:space="preserve">2. Záloha ve výši </w:t>
      </w:r>
      <w:r>
        <w:rPr>
          <w:rStyle w:val="CharStyle8"/>
        </w:rPr>
        <w:t xml:space="preserve">37 180 Kč </w:t>
      </w:r>
      <w:r>
        <w:rPr>
          <w:lang w:val="cs-CZ" w:eastAsia="cs-CZ" w:bidi="cs-CZ"/>
          <w:w w:val="100"/>
          <w:spacing w:val="0"/>
          <w:color w:val="000000"/>
          <w:position w:val="0"/>
        </w:rPr>
        <w:t xml:space="preserve">bude na základě vystavené faktury splatná do </w:t>
      </w:r>
      <w:r>
        <w:rPr>
          <w:rStyle w:val="CharStyle8"/>
        </w:rPr>
        <w:t>30.4. 2017.</w:t>
      </w:r>
    </w:p>
    <w:p>
      <w:pPr>
        <w:pStyle w:val="Style4"/>
        <w:framePr w:w="9192" w:h="9602" w:hRule="exact" w:wrap="none" w:vAnchor="page" w:hAnchor="page" w:x="1384" w:y="6679"/>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Platby budou označeny ve zprávě pro příjemce názvem školy, jako variabilní číslo bude uvedeno číslo zálohové faktury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1384" w:y="1246"/>
        <w:widowControl w:val="0"/>
        <w:keepNext w:val="0"/>
        <w:keepLines w:val="0"/>
        <w:shd w:val="clear" w:color="auto" w:fill="auto"/>
        <w:bidi w:val="0"/>
        <w:jc w:val="left"/>
        <w:spacing w:before="0" w:after="0"/>
        <w:ind w:left="440" w:right="0" w:firstLine="0"/>
      </w:pPr>
      <w:bookmarkStart w:id="4" w:name="bookmark4"/>
      <w:r>
        <w:rPr>
          <w:lang w:val="cs-CZ" w:eastAsia="cs-CZ" w:bidi="cs-CZ"/>
          <w:w w:val="100"/>
          <w:spacing w:val="0"/>
          <w:color w:val="000000"/>
          <w:position w:val="0"/>
        </w:rPr>
        <w:t>8. Závěrečná ujednání</w:t>
      </w:r>
      <w:bookmarkEnd w:id="4"/>
    </w:p>
    <w:p>
      <w:pPr>
        <w:pStyle w:val="Style4"/>
        <w:framePr w:w="9192" w:h="4271" w:hRule="exact" w:wrap="none" w:vAnchor="page" w:hAnchor="page" w:x="1384" w:y="1715"/>
        <w:widowControl w:val="0"/>
        <w:keepNext w:val="0"/>
        <w:keepLines w:val="0"/>
        <w:shd w:val="clear" w:color="auto" w:fill="auto"/>
        <w:bidi w:val="0"/>
        <w:jc w:val="left"/>
        <w:spacing w:before="0" w:after="240" w:line="230" w:lineRule="exact"/>
        <w:ind w:left="0" w:right="0" w:firstLine="0"/>
      </w:pPr>
      <w:r>
        <w:rPr>
          <w:lang w:val="cs-CZ" w:eastAsia="cs-CZ" w:bidi="cs-CZ"/>
          <w:w w:val="100"/>
          <w:spacing w:val="0"/>
          <w:color w:val="000000"/>
          <w:position w:val="0"/>
        </w:rPr>
        <w:t>Právní vztahy touto smlouvou neupravené se řídí příslušnými obecně platnými právními předpisy, zejména příslušnými ustanoveními občanského zákoníku.</w:t>
      </w:r>
    </w:p>
    <w:p>
      <w:pPr>
        <w:pStyle w:val="Style4"/>
        <w:framePr w:w="9192" w:h="4271" w:hRule="exact" w:wrap="none" w:vAnchor="page" w:hAnchor="page" w:x="1384" w:y="1715"/>
        <w:widowControl w:val="0"/>
        <w:keepNext w:val="0"/>
        <w:keepLines w:val="0"/>
        <w:shd w:val="clear" w:color="auto" w:fill="auto"/>
        <w:bidi w:val="0"/>
        <w:jc w:val="left"/>
        <w:spacing w:before="0" w:after="240" w:line="230" w:lineRule="exact"/>
        <w:ind w:left="0" w:right="0" w:firstLine="0"/>
      </w:pPr>
      <w:r>
        <w:rPr>
          <w:lang w:val="cs-CZ" w:eastAsia="cs-CZ" w:bidi="cs-CZ"/>
          <w:w w:val="100"/>
          <w:spacing w:val="0"/>
          <w:color w:val="000000"/>
          <w:position w:val="0"/>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pPr>
        <w:pStyle w:val="Style4"/>
        <w:framePr w:w="9192" w:h="4271" w:hRule="exact" w:wrap="none" w:vAnchor="page" w:hAnchor="page" w:x="1384" w:y="1715"/>
        <w:widowControl w:val="0"/>
        <w:keepNext w:val="0"/>
        <w:keepLines w:val="0"/>
        <w:shd w:val="clear" w:color="auto" w:fill="auto"/>
        <w:bidi w:val="0"/>
        <w:jc w:val="left"/>
        <w:spacing w:before="0" w:after="240" w:line="230" w:lineRule="exact"/>
        <w:ind w:left="0" w:right="480" w:firstLine="0"/>
      </w:pPr>
      <w:r>
        <w:rPr>
          <w:lang w:val="cs-CZ" w:eastAsia="cs-CZ" w:bidi="cs-CZ"/>
          <w:w w:val="100"/>
          <w:spacing w:val="0"/>
          <w:color w:val="000000"/>
          <w:position w:val="0"/>
        </w:rPr>
        <w:t>Tato smlouva se sepisuje ve dvou vyhotoveních, z nichž každé má hodnotu originálu. Každá smluvní strana obdrží jedno vyhotovení.</w:t>
      </w:r>
    </w:p>
    <w:p>
      <w:pPr>
        <w:pStyle w:val="Style4"/>
        <w:framePr w:w="9192" w:h="4271" w:hRule="exact" w:wrap="none" w:vAnchor="page" w:hAnchor="page" w:x="1384" w:y="1715"/>
        <w:widowControl w:val="0"/>
        <w:keepNext w:val="0"/>
        <w:keepLines w:val="0"/>
        <w:shd w:val="clear" w:color="auto" w:fill="auto"/>
        <w:bidi w:val="0"/>
        <w:jc w:val="left"/>
        <w:spacing w:before="0" w:after="247" w:line="230" w:lineRule="exact"/>
        <w:ind w:left="0" w:right="0" w:firstLine="0"/>
      </w:pPr>
      <w:r>
        <w:rPr>
          <w:lang w:val="cs-CZ" w:eastAsia="cs-CZ" w:bidi="cs-CZ"/>
          <w:w w:val="100"/>
          <w:spacing w:val="0"/>
          <w:color w:val="000000"/>
          <w:position w:val="0"/>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pPr>
        <w:pStyle w:val="Style4"/>
        <w:framePr w:w="9192" w:h="4271" w:hRule="exact" w:wrap="none" w:vAnchor="page" w:hAnchor="page" w:x="1384" w:y="1715"/>
        <w:widowControl w:val="0"/>
        <w:keepNext w:val="0"/>
        <w:keepLines w:val="0"/>
        <w:shd w:val="clear" w:color="auto" w:fill="auto"/>
        <w:bidi w:val="0"/>
        <w:jc w:val="left"/>
        <w:spacing w:before="0" w:after="233"/>
        <w:ind w:left="0" w:right="0" w:firstLine="0"/>
      </w:pPr>
      <w:r>
        <w:rPr>
          <w:lang w:val="cs-CZ" w:eastAsia="cs-CZ" w:bidi="cs-CZ"/>
          <w:w w:val="100"/>
          <w:spacing w:val="0"/>
          <w:color w:val="000000"/>
          <w:position w:val="0"/>
        </w:rPr>
        <w:t>Smluvní strany nepřebírají riziko změny okolností ve smyslu § 1765 odst. 2 občanského zákoníku.</w:t>
      </w:r>
    </w:p>
    <w:p>
      <w:pPr>
        <w:pStyle w:val="Style4"/>
        <w:framePr w:w="9192" w:h="4271" w:hRule="exact" w:wrap="none" w:vAnchor="page" w:hAnchor="page" w:x="1384" w:y="1715"/>
        <w:widowControl w:val="0"/>
        <w:keepNext w:val="0"/>
        <w:keepLines w:val="0"/>
        <w:shd w:val="clear" w:color="auto" w:fill="auto"/>
        <w:bidi w:val="0"/>
        <w:jc w:val="left"/>
        <w:spacing w:before="0" w:after="0" w:line="230" w:lineRule="exact"/>
        <w:ind w:left="0" w:right="0" w:firstLine="0"/>
      </w:pPr>
      <w:r>
        <w:rPr>
          <w:lang w:val="cs-CZ" w:eastAsia="cs-CZ" w:bidi="cs-CZ"/>
          <w:w w:val="100"/>
          <w:spacing w:val="0"/>
          <w:color w:val="000000"/>
          <w:position w:val="0"/>
        </w:rPr>
        <w:t>Smluvní strany po přečtení této smlouvy prohlašují, že tato smlouva byla sepsána dle jejich pravé a svobodné vůle a na důkaz toho připojují svoje vlastnoruční podpisy.</w:t>
      </w:r>
    </w:p>
    <w:p>
      <w:pPr>
        <w:pStyle w:val="Style4"/>
        <w:framePr w:wrap="none" w:vAnchor="page" w:hAnchor="page" w:x="1384" w:y="7572"/>
        <w:widowControl w:val="0"/>
        <w:keepNext w:val="0"/>
        <w:keepLines w:val="0"/>
        <w:shd w:val="clear" w:color="auto" w:fill="auto"/>
        <w:bidi w:val="0"/>
        <w:jc w:val="left"/>
        <w:spacing w:before="0" w:after="0"/>
        <w:ind w:left="14" w:right="0" w:firstLine="0"/>
      </w:pPr>
      <w:r>
        <w:rPr>
          <w:lang w:val="cs-CZ" w:eastAsia="cs-CZ" w:bidi="cs-CZ"/>
          <w:w w:val="100"/>
          <w:spacing w:val="0"/>
          <w:color w:val="000000"/>
          <w:position w:val="0"/>
        </w:rPr>
        <w:t>V Praze dne:</w:t>
      </w:r>
    </w:p>
    <w:p>
      <w:pPr>
        <w:framePr w:wrap="none" w:vAnchor="page" w:hAnchor="page" w:x="6481" w:y="754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5pt;height:16pt;">
            <v:imagedata r:id="rId5" r:href="rId6"/>
          </v:shape>
        </w:pict>
      </w:r>
    </w:p>
    <w:p>
      <w:pPr>
        <w:pStyle w:val="Style15"/>
        <w:framePr w:wrap="none" w:vAnchor="page" w:hAnchor="page" w:x="2089" w:y="896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Škola</w:t>
      </w:r>
    </w:p>
    <w:p>
      <w:pPr>
        <w:pStyle w:val="Style18"/>
        <w:framePr w:wrap="none" w:vAnchor="page" w:hAnchor="page" w:x="1384" w:y="8956"/>
        <w:widowControl w:val="0"/>
        <w:keepNext w:val="0"/>
        <w:keepLines w:val="0"/>
        <w:shd w:val="clear" w:color="auto" w:fill="auto"/>
        <w:bidi w:val="0"/>
        <w:jc w:val="left"/>
        <w:spacing w:before="0" w:after="0"/>
        <w:ind w:left="5650" w:right="0" w:firstLine="0"/>
      </w:pPr>
      <w:bookmarkStart w:id="5" w:name="bookmark5"/>
      <w:r>
        <w:rPr>
          <w:lang w:val="cs-CZ" w:eastAsia="cs-CZ" w:bidi="cs-CZ"/>
          <w:w w:val="100"/>
          <w:spacing w:val="0"/>
          <w:color w:val="000000"/>
          <w:position w:val="0"/>
        </w:rPr>
        <w:t>Dodavatel</w:t>
      </w:r>
      <w:bookmarkEnd w:id="5"/>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cs-CZ" w:eastAsia="cs-CZ" w:bidi="cs-CZ"/>
        <w:b/>
        <w:bCs/>
        <w:i w:val="0"/>
        <w:iCs w:val="0"/>
        <w:u w:val="none"/>
        <w:strike w:val="0"/>
        <w:smallCaps w:val="0"/>
        <w:sz w:val="19"/>
        <w:szCs w:val="19"/>
        <w:rFonts w:ascii="Cambria" w:eastAsia="Cambria" w:hAnsi="Cambria" w:cs="Cambria"/>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Cambria" w:eastAsia="Cambria" w:hAnsi="Cambria" w:cs="Cambri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bCs/>
      <w:i w:val="0"/>
      <w:iCs w:val="0"/>
      <w:u w:val="none"/>
      <w:strike w:val="0"/>
      <w:smallCaps w:val="0"/>
      <w:sz w:val="19"/>
      <w:szCs w:val="19"/>
      <w:rFonts w:ascii="Cambria" w:eastAsia="Cambria" w:hAnsi="Cambria" w:cs="Cambria"/>
    </w:rPr>
  </w:style>
  <w:style w:type="character" w:customStyle="1" w:styleId="CharStyle5">
    <w:name w:val="Body text (2)_"/>
    <w:basedOn w:val="DefaultParagraphFont"/>
    <w:link w:val="Style4"/>
    <w:rPr>
      <w:b w:val="0"/>
      <w:bCs w:val="0"/>
      <w:i w:val="0"/>
      <w:iCs w:val="0"/>
      <w:u w:val="none"/>
      <w:strike w:val="0"/>
      <w:smallCaps w:val="0"/>
      <w:sz w:val="19"/>
      <w:szCs w:val="19"/>
      <w:rFonts w:ascii="Cambria" w:eastAsia="Cambria" w:hAnsi="Cambria" w:cs="Cambria"/>
    </w:rPr>
  </w:style>
  <w:style w:type="character" w:customStyle="1" w:styleId="CharStyle6">
    <w:name w:val="Body text (2) + 11 pt"/>
    <w:basedOn w:val="CharStyle5"/>
    <w:rPr>
      <w:lang w:val="cs-CZ" w:eastAsia="cs-CZ" w:bidi="cs-CZ"/>
      <w:sz w:val="22"/>
      <w:szCs w:val="22"/>
      <w:w w:val="100"/>
      <w:spacing w:val="0"/>
      <w:color w:val="000000"/>
      <w:position w:val="0"/>
    </w:rPr>
  </w:style>
  <w:style w:type="character" w:customStyle="1" w:styleId="CharStyle7">
    <w:name w:val="Body text (2) + 8.5 pt,Bold"/>
    <w:basedOn w:val="CharStyle5"/>
    <w:rPr>
      <w:lang w:val="cs-CZ" w:eastAsia="cs-CZ" w:bidi="cs-CZ"/>
      <w:b/>
      <w:bCs/>
      <w:sz w:val="17"/>
      <w:szCs w:val="17"/>
      <w:w w:val="100"/>
      <w:spacing w:val="0"/>
      <w:color w:val="000000"/>
      <w:position w:val="0"/>
    </w:rPr>
  </w:style>
  <w:style w:type="character" w:customStyle="1" w:styleId="CharStyle8">
    <w:name w:val="Body text (2) + Bold"/>
    <w:basedOn w:val="CharStyle5"/>
    <w:rPr>
      <w:lang w:val="cs-CZ" w:eastAsia="cs-CZ" w:bidi="cs-CZ"/>
      <w:b/>
      <w:bCs/>
      <w:w w:val="100"/>
      <w:spacing w:val="0"/>
      <w:color w:val="000000"/>
      <w:position w:val="0"/>
    </w:rPr>
  </w:style>
  <w:style w:type="character" w:customStyle="1" w:styleId="CharStyle10">
    <w:name w:val="Table caption_"/>
    <w:basedOn w:val="DefaultParagraphFont"/>
    <w:link w:val="Style9"/>
    <w:rPr>
      <w:b w:val="0"/>
      <w:bCs w:val="0"/>
      <w:i w:val="0"/>
      <w:iCs w:val="0"/>
      <w:u w:val="none"/>
      <w:strike w:val="0"/>
      <w:smallCaps w:val="0"/>
      <w:sz w:val="19"/>
      <w:szCs w:val="19"/>
      <w:rFonts w:ascii="Cambria" w:eastAsia="Cambria" w:hAnsi="Cambria" w:cs="Cambria"/>
    </w:rPr>
  </w:style>
  <w:style w:type="character" w:customStyle="1" w:styleId="CharStyle11">
    <w:name w:val="Table caption"/>
    <w:basedOn w:val="CharStyle10"/>
    <w:rPr>
      <w:lang w:val="cs-CZ" w:eastAsia="cs-CZ" w:bidi="cs-CZ"/>
      <w:u w:val="single"/>
      <w:w w:val="100"/>
      <w:spacing w:val="0"/>
      <w:color w:val="000000"/>
      <w:position w:val="0"/>
    </w:rPr>
  </w:style>
  <w:style w:type="character" w:customStyle="1" w:styleId="CharStyle12">
    <w:name w:val="Body text (2) + Bold"/>
    <w:basedOn w:val="CharStyle5"/>
    <w:rPr>
      <w:lang w:val="cs-CZ" w:eastAsia="cs-CZ" w:bidi="cs-CZ"/>
      <w:b/>
      <w:bCs/>
      <w:w w:val="100"/>
      <w:spacing w:val="0"/>
      <w:color w:val="000000"/>
      <w:position w:val="0"/>
    </w:rPr>
  </w:style>
  <w:style w:type="character" w:customStyle="1" w:styleId="CharStyle13">
    <w:name w:val="Body text (2)"/>
    <w:basedOn w:val="CharStyle5"/>
    <w:rPr>
      <w:lang w:val="cs-CZ" w:eastAsia="cs-CZ" w:bidi="cs-CZ"/>
      <w:w w:val="100"/>
      <w:spacing w:val="0"/>
      <w:color w:val="000000"/>
      <w:position w:val="0"/>
    </w:rPr>
  </w:style>
  <w:style w:type="character" w:customStyle="1" w:styleId="CharStyle14">
    <w:name w:val="Body text (2) + Tw Cen MT Condensed Extra Bold,10 pt,Bold,Italic"/>
    <w:basedOn w:val="CharStyle5"/>
    <w:rPr>
      <w:lang w:val="cs-CZ" w:eastAsia="cs-CZ" w:bidi="cs-CZ"/>
      <w:b/>
      <w:bCs/>
      <w:i/>
      <w:iCs/>
      <w:sz w:val="20"/>
      <w:szCs w:val="20"/>
      <w:rFonts w:ascii="Tw Cen MT Condensed Extra Bold" w:eastAsia="Tw Cen MT Condensed Extra Bold" w:hAnsi="Tw Cen MT Condensed Extra Bold" w:cs="Tw Cen MT Condensed Extra Bol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9"/>
      <w:szCs w:val="19"/>
      <w:rFonts w:ascii="Cambria" w:eastAsia="Cambria" w:hAnsi="Cambria" w:cs="Cambria"/>
    </w:rPr>
  </w:style>
  <w:style w:type="character" w:customStyle="1" w:styleId="CharStyle17">
    <w:name w:val="Body text (3) + Not Bold"/>
    <w:basedOn w:val="CharStyle16"/>
    <w:rPr>
      <w:lang w:val="cs-CZ" w:eastAsia="cs-CZ" w:bidi="cs-CZ"/>
      <w:b/>
      <w:bCs/>
      <w:w w:val="100"/>
      <w:spacing w:val="0"/>
      <w:color w:val="000000"/>
      <w:position w:val="0"/>
    </w:rPr>
  </w:style>
  <w:style w:type="character" w:customStyle="1" w:styleId="CharStyle19">
    <w:name w:val="Heading #1 (2)_"/>
    <w:basedOn w:val="DefaultParagraphFont"/>
    <w:link w:val="Style18"/>
    <w:rPr>
      <w:b/>
      <w:bCs/>
      <w:i w:val="0"/>
      <w:iCs w:val="0"/>
      <w:u w:val="none"/>
      <w:strike w:val="0"/>
      <w:smallCaps w:val="0"/>
      <w:sz w:val="20"/>
      <w:szCs w:val="20"/>
      <w:rFonts w:ascii="Cambria" w:eastAsia="Cambria" w:hAnsi="Cambria" w:cs="Cambria"/>
    </w:rPr>
  </w:style>
  <w:style w:type="paragraph" w:customStyle="1" w:styleId="Style2">
    <w:name w:val="Heading #1"/>
    <w:basedOn w:val="Normal"/>
    <w:link w:val="CharStyle3"/>
    <w:pPr>
      <w:widowControl w:val="0"/>
      <w:shd w:val="clear" w:color="auto" w:fill="FFFFFF"/>
      <w:outlineLvl w:val="0"/>
      <w:spacing w:line="222" w:lineRule="exact"/>
    </w:pPr>
    <w:rPr>
      <w:b/>
      <w:bCs/>
      <w:i w:val="0"/>
      <w:iCs w:val="0"/>
      <w:u w:val="none"/>
      <w:strike w:val="0"/>
      <w:smallCaps w:val="0"/>
      <w:sz w:val="19"/>
      <w:szCs w:val="19"/>
      <w:rFonts w:ascii="Cambria" w:eastAsia="Cambria" w:hAnsi="Cambria" w:cs="Cambria"/>
    </w:rPr>
  </w:style>
  <w:style w:type="paragraph" w:customStyle="1" w:styleId="Style4">
    <w:name w:val="Body text (2)"/>
    <w:basedOn w:val="Normal"/>
    <w:link w:val="CharStyle5"/>
    <w:pPr>
      <w:widowControl w:val="0"/>
      <w:shd w:val="clear" w:color="auto" w:fill="FFFFFF"/>
      <w:spacing w:line="222" w:lineRule="exact"/>
    </w:pPr>
    <w:rPr>
      <w:b w:val="0"/>
      <w:bCs w:val="0"/>
      <w:i w:val="0"/>
      <w:iCs w:val="0"/>
      <w:u w:val="none"/>
      <w:strike w:val="0"/>
      <w:smallCaps w:val="0"/>
      <w:sz w:val="19"/>
      <w:szCs w:val="19"/>
      <w:rFonts w:ascii="Cambria" w:eastAsia="Cambria" w:hAnsi="Cambria" w:cs="Cambria"/>
    </w:rPr>
  </w:style>
  <w:style w:type="paragraph" w:customStyle="1" w:styleId="Style9">
    <w:name w:val="Table caption"/>
    <w:basedOn w:val="Normal"/>
    <w:link w:val="CharStyle10"/>
    <w:pPr>
      <w:widowControl w:val="0"/>
      <w:shd w:val="clear" w:color="auto" w:fill="FFFFFF"/>
      <w:spacing w:line="222" w:lineRule="exact"/>
    </w:pPr>
    <w:rPr>
      <w:b w:val="0"/>
      <w:bCs w:val="0"/>
      <w:i w:val="0"/>
      <w:iCs w:val="0"/>
      <w:u w:val="none"/>
      <w:strike w:val="0"/>
      <w:smallCaps w:val="0"/>
      <w:sz w:val="19"/>
      <w:szCs w:val="19"/>
      <w:rFonts w:ascii="Cambria" w:eastAsia="Cambria" w:hAnsi="Cambria" w:cs="Cambria"/>
    </w:rPr>
  </w:style>
  <w:style w:type="paragraph" w:customStyle="1" w:styleId="Style15">
    <w:name w:val="Body text (3)"/>
    <w:basedOn w:val="Normal"/>
    <w:link w:val="CharStyle16"/>
    <w:pPr>
      <w:widowControl w:val="0"/>
      <w:shd w:val="clear" w:color="auto" w:fill="FFFFFF"/>
      <w:spacing w:before="240" w:after="240" w:line="222" w:lineRule="exact"/>
    </w:pPr>
    <w:rPr>
      <w:b/>
      <w:bCs/>
      <w:i w:val="0"/>
      <w:iCs w:val="0"/>
      <w:u w:val="none"/>
      <w:strike w:val="0"/>
      <w:smallCaps w:val="0"/>
      <w:sz w:val="19"/>
      <w:szCs w:val="19"/>
      <w:rFonts w:ascii="Cambria" w:eastAsia="Cambria" w:hAnsi="Cambria" w:cs="Cambria"/>
    </w:rPr>
  </w:style>
  <w:style w:type="paragraph" w:customStyle="1" w:styleId="Style18">
    <w:name w:val="Heading #1 (2)"/>
    <w:basedOn w:val="Normal"/>
    <w:link w:val="CharStyle19"/>
    <w:pPr>
      <w:widowControl w:val="0"/>
      <w:shd w:val="clear" w:color="auto" w:fill="FFFFFF"/>
      <w:outlineLvl w:val="0"/>
      <w:spacing w:before="1160" w:line="232" w:lineRule="exact"/>
    </w:pPr>
    <w:rPr>
      <w:b/>
      <w:bCs/>
      <w:i w:val="0"/>
      <w:iCs w:val="0"/>
      <w:u w:val="none"/>
      <w:strike w:val="0"/>
      <w:smallCaps w:val="0"/>
      <w:sz w:val="20"/>
      <w:szCs w:val="20"/>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